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C7" w:rsidRPr="00552EDB" w:rsidRDefault="00074BC7" w:rsidP="00B4511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52EDB">
        <w:rPr>
          <w:rFonts w:ascii="Times New Roman" w:hAnsi="Times New Roman" w:cs="Times New Roman"/>
          <w:b/>
          <w:caps/>
          <w:sz w:val="28"/>
          <w:szCs w:val="28"/>
        </w:rPr>
        <w:t>Управління валютним ризиком банку: технологія когнітивного моделювання</w:t>
      </w:r>
      <w:bookmarkEnd w:id="0"/>
    </w:p>
    <w:p w:rsidR="00074BC7" w:rsidRPr="00552EDB" w:rsidRDefault="00074BC7" w:rsidP="00B45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4D2" w:rsidRPr="00552EDB" w:rsidRDefault="008E24D2" w:rsidP="008E24D2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52EDB">
        <w:rPr>
          <w:rFonts w:ascii="Times New Roman" w:hAnsi="Times New Roman" w:cs="Times New Roman"/>
          <w:b/>
          <w:i/>
          <w:sz w:val="28"/>
          <w:szCs w:val="28"/>
        </w:rPr>
        <w:t xml:space="preserve">Зубова </w:t>
      </w:r>
      <w:r w:rsidRPr="00552EDB">
        <w:rPr>
          <w:rFonts w:ascii="Times New Roman" w:hAnsi="Times New Roman" w:cs="Times New Roman"/>
          <w:b/>
          <w:i/>
          <w:sz w:val="28"/>
          <w:szCs w:val="28"/>
        </w:rPr>
        <w:t>Віталіна Вікторівна</w:t>
      </w:r>
      <w:r w:rsidRPr="00552EDB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8E24D2" w:rsidRPr="00552EDB" w:rsidRDefault="008E24D2" w:rsidP="008E24D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2EDB">
        <w:rPr>
          <w:rFonts w:ascii="Times New Roman" w:hAnsi="Times New Roman" w:cs="Times New Roman"/>
          <w:i/>
          <w:sz w:val="28"/>
          <w:szCs w:val="28"/>
        </w:rPr>
        <w:t>старший викладач закладу вищої освіти кафедри економічної кібернетики та прикладної економіки,</w:t>
      </w:r>
    </w:p>
    <w:p w:rsidR="008E24D2" w:rsidRPr="00552EDB" w:rsidRDefault="008E24D2" w:rsidP="008E24D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2EDB">
        <w:rPr>
          <w:rFonts w:ascii="Times New Roman" w:hAnsi="Times New Roman" w:cs="Times New Roman"/>
          <w:i/>
          <w:sz w:val="28"/>
          <w:szCs w:val="28"/>
        </w:rPr>
        <w:t>Харківський національний університет імені В.Н. Каразіна</w:t>
      </w:r>
    </w:p>
    <w:p w:rsidR="008E24D2" w:rsidRPr="00552EDB" w:rsidRDefault="008E24D2" w:rsidP="008E24D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2EDB">
        <w:rPr>
          <w:rFonts w:ascii="Times New Roman" w:hAnsi="Times New Roman" w:cs="Times New Roman"/>
          <w:i/>
          <w:sz w:val="28"/>
          <w:szCs w:val="28"/>
        </w:rPr>
        <w:t>м. Харків, Україна</w:t>
      </w:r>
    </w:p>
    <w:p w:rsidR="008E24D2" w:rsidRPr="00552EDB" w:rsidRDefault="008E24D2" w:rsidP="008E24D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52834" w:rsidRPr="00552EDB" w:rsidRDefault="00B4511D" w:rsidP="00B4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 xml:space="preserve">Управління валютним ризиком, що виникає внаслідок зміни курсів іноземних валют по відношенню до національної валюти, посідає важливе місце у системах банківського ризик-менеджменту. </w:t>
      </w:r>
    </w:p>
    <w:p w:rsidR="0090668E" w:rsidRPr="00552EDB" w:rsidRDefault="0090668E" w:rsidP="00B4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Економічна сутність валютного ризику банку полягає в тому, що він є наслідком незбалансованості активів і пасивів за кожною із валют за термінами і сумами та пов’язаний з інтернаціоналізацією ринку банківських операцій, функціонуванням транснаціональних банків і компаній, міграцією капіталу поміж країнами та зростанням обсягів спекулятивних валютних операцій.</w:t>
      </w:r>
    </w:p>
    <w:p w:rsidR="00B4511D" w:rsidRPr="00552EDB" w:rsidRDefault="00B4511D" w:rsidP="00B4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У деяких банках управління валютним ризиком здійснюється за допомогою системи лімітування валютного ризику, яка передбачає ліміти валютної позиції у розрізі валют, ліміти валютних позицій для бізнесових підрозділів, а також системи нормативів валютної позиції Національного банку України.</w:t>
      </w:r>
    </w:p>
    <w:p w:rsidR="00B4511D" w:rsidRPr="00552EDB" w:rsidRDefault="00B4511D" w:rsidP="00B4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Валютний ризик</w:t>
      </w:r>
      <w:r w:rsidR="0090668E" w:rsidRPr="00552EDB">
        <w:rPr>
          <w:rFonts w:ascii="Times New Roman" w:hAnsi="Times New Roman" w:cs="Times New Roman"/>
          <w:sz w:val="28"/>
          <w:szCs w:val="28"/>
        </w:rPr>
        <w:t xml:space="preserve"> </w:t>
      </w:r>
      <w:r w:rsidRPr="00552EDB">
        <w:rPr>
          <w:rFonts w:ascii="Times New Roman" w:hAnsi="Times New Roman" w:cs="Times New Roman"/>
          <w:sz w:val="28"/>
          <w:szCs w:val="28"/>
        </w:rPr>
        <w:t>- це ймовірність фінансових втрат у результаті зміни курсу валют, що може відбутися в період між укладенням контракту та фактичним виробництвом розрахунків за ним [1].</w:t>
      </w:r>
    </w:p>
    <w:p w:rsidR="0019704F" w:rsidRPr="00552EDB" w:rsidRDefault="0019704F" w:rsidP="00197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Валютний ризик складається з валютно-курсового ризику та ризику країни. Ризик країни – це ризик впливу зовнішнього середовища неекономічного характеру. Він складається з політичного ризику (зміна уряду) та ризику валютного контролю (можливість запровадження валютного мораторію в країні). Валютно-курсовий ризик, в свою чергу, має елементи бухгалтерського ризику. який негативно впливає на нетто-вартість активів та пасивів банку при конвертації їх у фінансовій звітності в національну валюту (трансляційний ризик), а також валютно-економічний ризику – змінює вартість банку при негативних коливаннях валютного курсу. Економічний ризик включає ризик втрат за окремою укладеною угодою при здійснення платежу в майбутньому (трансакційний ризик) та довгостроковий ризик – зміни майбутніх доходів та витрат в банку в цілому, тобто зміни грошових потоків банку [2, с. 17].</w:t>
      </w:r>
    </w:p>
    <w:p w:rsidR="00B4511D" w:rsidRPr="00552EDB" w:rsidRDefault="00B4511D" w:rsidP="00B4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Для побудови когнітивної картки управління валютним ризиком банку необхідно сформувати цільову вершину-концепту, а також виділити внутрішні та зовнішні фактори, що на неї впливають.</w:t>
      </w:r>
    </w:p>
    <w:p w:rsidR="00B4511D" w:rsidRPr="00552EDB" w:rsidRDefault="00B4511D" w:rsidP="00B4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 xml:space="preserve">У </w:t>
      </w:r>
      <w:r w:rsidR="0090668E" w:rsidRPr="00552EDB">
        <w:rPr>
          <w:rFonts w:ascii="Times New Roman" w:hAnsi="Times New Roman" w:cs="Times New Roman"/>
          <w:sz w:val="28"/>
          <w:szCs w:val="28"/>
        </w:rPr>
        <w:t>запропонованій</w:t>
      </w:r>
      <w:r w:rsidRPr="00552EDB">
        <w:rPr>
          <w:rFonts w:ascii="Times New Roman" w:hAnsi="Times New Roman" w:cs="Times New Roman"/>
          <w:sz w:val="28"/>
          <w:szCs w:val="28"/>
        </w:rPr>
        <w:t xml:space="preserve"> когнітивній карті цільова вершина-концепту – це значення при</w:t>
      </w:r>
      <w:r w:rsidR="0090668E" w:rsidRPr="00552EDB">
        <w:rPr>
          <w:rFonts w:ascii="Times New Roman" w:hAnsi="Times New Roman" w:cs="Times New Roman"/>
          <w:sz w:val="28"/>
          <w:szCs w:val="28"/>
        </w:rPr>
        <w:t>бутку (збитку) щодо курсу долару (приведений до</w:t>
      </w:r>
      <w:r w:rsidRPr="00552EDB">
        <w:rPr>
          <w:rFonts w:ascii="Times New Roman" w:hAnsi="Times New Roman" w:cs="Times New Roman"/>
          <w:sz w:val="28"/>
          <w:szCs w:val="28"/>
        </w:rPr>
        <w:t xml:space="preserve"> гривні).</w:t>
      </w:r>
    </w:p>
    <w:p w:rsidR="0090668E" w:rsidRPr="00552EDB" w:rsidRDefault="0090668E" w:rsidP="00B4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lastRenderedPageBreak/>
        <w:t>Внутрішні та зовнішні фактори, що впливають на цільову вершину, наведені були згруповані за допомогою таблиць SWOT-аналізу та представлені в таблиці 1.</w:t>
      </w:r>
    </w:p>
    <w:p w:rsidR="0090668E" w:rsidRPr="00552EDB" w:rsidRDefault="0090668E" w:rsidP="0090668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52EDB">
        <w:rPr>
          <w:rFonts w:ascii="Times New Roman" w:hAnsi="Times New Roman" w:cs="Times New Roman"/>
          <w:b/>
          <w:i/>
          <w:sz w:val="28"/>
          <w:szCs w:val="28"/>
        </w:rPr>
        <w:t>Таблиця 1</w:t>
      </w:r>
    </w:p>
    <w:p w:rsidR="004F06E7" w:rsidRPr="00552EDB" w:rsidRDefault="0090668E" w:rsidP="009066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EDB">
        <w:rPr>
          <w:rFonts w:ascii="Times New Roman" w:hAnsi="Times New Roman" w:cs="Times New Roman"/>
          <w:b/>
          <w:sz w:val="28"/>
          <w:szCs w:val="28"/>
        </w:rPr>
        <w:t>Внутрішні та зовнішні фактори, що впливають на вершину-концепту в когнітивній моделі</w:t>
      </w:r>
    </w:p>
    <w:p w:rsidR="004F06E7" w:rsidRPr="00552EDB" w:rsidRDefault="0090668E" w:rsidP="0019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068060" cy="3186546"/>
            <wp:effectExtent l="38100" t="38100" r="27940" b="3302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F06E7" w:rsidRPr="00552EDB" w:rsidRDefault="006A0240" w:rsidP="00B4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 xml:space="preserve">У попередній публікації автора </w:t>
      </w:r>
      <w:r w:rsidR="0019704F" w:rsidRPr="00552EDB">
        <w:rPr>
          <w:rFonts w:ascii="Times New Roman" w:hAnsi="Times New Roman" w:cs="Times New Roman"/>
          <w:sz w:val="28"/>
          <w:szCs w:val="28"/>
        </w:rPr>
        <w:t>[3</w:t>
      </w:r>
      <w:r w:rsidRPr="00552EDB">
        <w:rPr>
          <w:rFonts w:ascii="Times New Roman" w:hAnsi="Times New Roman" w:cs="Times New Roman"/>
          <w:sz w:val="28"/>
          <w:szCs w:val="28"/>
        </w:rPr>
        <w:t>, с. 125] н</w:t>
      </w:r>
      <w:r w:rsidR="001F7C52" w:rsidRPr="00552EDB">
        <w:rPr>
          <w:rFonts w:ascii="Times New Roman" w:hAnsi="Times New Roman" w:cs="Times New Roman"/>
          <w:sz w:val="28"/>
          <w:szCs w:val="28"/>
        </w:rPr>
        <w:t>а основі сформованих та згрупованих факторів, що впливають на валютний ризик банку, було впорядковано та реалізовано когнітивну карт</w:t>
      </w:r>
      <w:r w:rsidRPr="00552EDB">
        <w:rPr>
          <w:rFonts w:ascii="Times New Roman" w:hAnsi="Times New Roman" w:cs="Times New Roman"/>
          <w:sz w:val="28"/>
          <w:szCs w:val="28"/>
        </w:rPr>
        <w:t>у.</w:t>
      </w:r>
    </w:p>
    <w:p w:rsidR="006A0240" w:rsidRPr="00552EDB" w:rsidRDefault="006A0240" w:rsidP="00B4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В таблиці 2 наведено частину коефіцієнтів впливу вершин моделі один на одного.</w:t>
      </w:r>
    </w:p>
    <w:p w:rsidR="006A0240" w:rsidRPr="00552EDB" w:rsidRDefault="006A0240" w:rsidP="006A024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52EDB">
        <w:rPr>
          <w:rFonts w:ascii="Times New Roman" w:hAnsi="Times New Roman" w:cs="Times New Roman"/>
          <w:b/>
          <w:i/>
          <w:sz w:val="28"/>
          <w:szCs w:val="28"/>
        </w:rPr>
        <w:t>Табли</w:t>
      </w:r>
      <w:r w:rsidRPr="00552EDB">
        <w:rPr>
          <w:rFonts w:ascii="Times New Roman" w:hAnsi="Times New Roman" w:cs="Times New Roman"/>
          <w:b/>
          <w:i/>
          <w:sz w:val="28"/>
          <w:szCs w:val="28"/>
        </w:rPr>
        <w:t>ця 2</w:t>
      </w:r>
    </w:p>
    <w:p w:rsidR="006A0240" w:rsidRPr="00552EDB" w:rsidRDefault="006A0240" w:rsidP="006A02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EDB">
        <w:rPr>
          <w:rFonts w:ascii="Times New Roman" w:hAnsi="Times New Roman" w:cs="Times New Roman"/>
          <w:b/>
          <w:sz w:val="28"/>
          <w:szCs w:val="28"/>
        </w:rPr>
        <w:t>Коефіцієнти впливу вершин моделі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1304"/>
        <w:gridCol w:w="1303"/>
        <w:gridCol w:w="1290"/>
        <w:gridCol w:w="1291"/>
        <w:gridCol w:w="1304"/>
        <w:gridCol w:w="1304"/>
      </w:tblGrid>
      <w:tr w:rsidR="006A0240" w:rsidRPr="00552EDB" w:rsidTr="006A0240">
        <w:trPr>
          <w:cantSplit/>
          <w:trHeight w:val="2625"/>
          <w:jc w:val="center"/>
        </w:trPr>
        <w:tc>
          <w:tcPr>
            <w:tcW w:w="1375" w:type="dxa"/>
          </w:tcPr>
          <w:p w:rsidR="006A0240" w:rsidRPr="00552EDB" w:rsidRDefault="006A0240" w:rsidP="006A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extDirection w:val="btLr"/>
            <w:vAlign w:val="center"/>
          </w:tcPr>
          <w:p w:rsidR="006A0240" w:rsidRPr="00552EDB" w:rsidRDefault="006A0240" w:rsidP="006A0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від торгівлі іноземною валютою</w:t>
            </w:r>
          </w:p>
        </w:tc>
        <w:tc>
          <w:tcPr>
            <w:tcW w:w="1375" w:type="dxa"/>
            <w:textDirection w:val="btLr"/>
            <w:vAlign w:val="center"/>
          </w:tcPr>
          <w:p w:rsidR="006A0240" w:rsidRPr="00552EDB" w:rsidRDefault="006A0240" w:rsidP="006A0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Відношення прибутку (збитку) до курсу долару</w:t>
            </w:r>
          </w:p>
        </w:tc>
        <w:tc>
          <w:tcPr>
            <w:tcW w:w="1375" w:type="dxa"/>
            <w:textDirection w:val="btLr"/>
            <w:vAlign w:val="center"/>
          </w:tcPr>
          <w:p w:rsidR="006A0240" w:rsidRPr="00552EDB" w:rsidRDefault="006A0240" w:rsidP="006A0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Якість системи ризик менеджменту</w:t>
            </w:r>
          </w:p>
        </w:tc>
        <w:tc>
          <w:tcPr>
            <w:tcW w:w="1376" w:type="dxa"/>
            <w:textDirection w:val="btLr"/>
            <w:vAlign w:val="center"/>
          </w:tcPr>
          <w:p w:rsidR="006A0240" w:rsidRPr="00552EDB" w:rsidRDefault="006A0240" w:rsidP="006A0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Участь іноземного капіталу</w:t>
            </w:r>
          </w:p>
        </w:tc>
        <w:tc>
          <w:tcPr>
            <w:tcW w:w="1376" w:type="dxa"/>
            <w:textDirection w:val="btLr"/>
            <w:vAlign w:val="center"/>
          </w:tcPr>
          <w:p w:rsidR="006A0240" w:rsidRPr="00552EDB" w:rsidRDefault="006A0240" w:rsidP="006A0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Диференціація портфелю валют</w:t>
            </w:r>
          </w:p>
        </w:tc>
        <w:tc>
          <w:tcPr>
            <w:tcW w:w="1376" w:type="dxa"/>
            <w:textDirection w:val="btLr"/>
            <w:vAlign w:val="center"/>
          </w:tcPr>
          <w:p w:rsidR="006A0240" w:rsidRPr="00552EDB" w:rsidRDefault="006A0240" w:rsidP="006A02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Стійкість банку</w:t>
            </w:r>
          </w:p>
        </w:tc>
      </w:tr>
      <w:tr w:rsidR="006A0240" w:rsidRPr="00552EDB" w:rsidTr="006A0240">
        <w:trPr>
          <w:jc w:val="center"/>
        </w:trPr>
        <w:tc>
          <w:tcPr>
            <w:tcW w:w="1375" w:type="dxa"/>
            <w:vAlign w:val="center"/>
          </w:tcPr>
          <w:p w:rsidR="006A0240" w:rsidRPr="00552EDB" w:rsidRDefault="006A0240" w:rsidP="006A0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від торгівлі іноземною валютою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240" w:rsidRPr="00552EDB" w:rsidTr="006A0240">
        <w:trPr>
          <w:jc w:val="center"/>
        </w:trPr>
        <w:tc>
          <w:tcPr>
            <w:tcW w:w="1375" w:type="dxa"/>
            <w:vAlign w:val="center"/>
          </w:tcPr>
          <w:p w:rsidR="006A0240" w:rsidRPr="00552EDB" w:rsidRDefault="006A0240" w:rsidP="006A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Відношення прибутку (збитку) до курсу долару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240" w:rsidRPr="00552EDB" w:rsidTr="006A0240">
        <w:trPr>
          <w:jc w:val="center"/>
        </w:trPr>
        <w:tc>
          <w:tcPr>
            <w:tcW w:w="1375" w:type="dxa"/>
            <w:vAlign w:val="center"/>
          </w:tcPr>
          <w:p w:rsidR="006A0240" w:rsidRPr="00552EDB" w:rsidRDefault="006A0240" w:rsidP="006A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Якість системи ризик менеджменту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-0,32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240" w:rsidRPr="00552EDB" w:rsidTr="006A0240">
        <w:trPr>
          <w:jc w:val="center"/>
        </w:trPr>
        <w:tc>
          <w:tcPr>
            <w:tcW w:w="1375" w:type="dxa"/>
            <w:vAlign w:val="center"/>
          </w:tcPr>
          <w:p w:rsidR="006A0240" w:rsidRPr="00552EDB" w:rsidRDefault="006A0240" w:rsidP="006A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Участь іноземного капіталу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-0,51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</w:tr>
      <w:tr w:rsidR="006A0240" w:rsidRPr="00552EDB" w:rsidTr="006A0240">
        <w:trPr>
          <w:jc w:val="center"/>
        </w:trPr>
        <w:tc>
          <w:tcPr>
            <w:tcW w:w="1375" w:type="dxa"/>
            <w:vAlign w:val="center"/>
          </w:tcPr>
          <w:p w:rsidR="006A0240" w:rsidRPr="00552EDB" w:rsidRDefault="006A0240" w:rsidP="006A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Диференціація портфелю валют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-0,85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240" w:rsidRPr="00552EDB" w:rsidTr="006A0240">
        <w:trPr>
          <w:jc w:val="center"/>
        </w:trPr>
        <w:tc>
          <w:tcPr>
            <w:tcW w:w="1375" w:type="dxa"/>
            <w:vAlign w:val="center"/>
          </w:tcPr>
          <w:p w:rsidR="006A0240" w:rsidRPr="00552EDB" w:rsidRDefault="006A0240" w:rsidP="006A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b/>
                <w:sz w:val="24"/>
                <w:szCs w:val="24"/>
              </w:rPr>
              <w:t>Стійкість банку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375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</w:tcPr>
          <w:p w:rsidR="006A0240" w:rsidRPr="00552EDB" w:rsidRDefault="0019704F" w:rsidP="006A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240" w:rsidRPr="00552EDB" w:rsidRDefault="006A0240" w:rsidP="00B45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04F" w:rsidRPr="00552EDB" w:rsidRDefault="0019704F" w:rsidP="00197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 xml:space="preserve">Сценарний аналіз – один із ефективних механізмів адаптації когнітивних карт у системи ризик-менеджменту. </w:t>
      </w:r>
      <w:r w:rsidRPr="00552EDB">
        <w:rPr>
          <w:rFonts w:ascii="Times New Roman" w:hAnsi="Times New Roman" w:cs="Times New Roman"/>
          <w:sz w:val="28"/>
          <w:szCs w:val="28"/>
        </w:rPr>
        <w:t>У</w:t>
      </w:r>
      <w:r w:rsidRPr="00552EDB">
        <w:rPr>
          <w:rFonts w:ascii="Times New Roman" w:hAnsi="Times New Roman" w:cs="Times New Roman"/>
          <w:sz w:val="28"/>
          <w:szCs w:val="28"/>
        </w:rPr>
        <w:t xml:space="preserve"> побудованій моделі вибірково розглядався вплив окремих факторів (як зовнішніх, так і внутрішніх) на цільовий фактор.</w:t>
      </w:r>
    </w:p>
    <w:p w:rsidR="00552EDB" w:rsidRPr="00552EDB" w:rsidRDefault="00552EDB" w:rsidP="00197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Після когнітивної структуризації (таблиця 2) здійснюється розробка неформального опису знань про предметну область, котру можна наглядно зобразити у вигляді схеми, графа, матриці, а також таблиці чи тексту.</w:t>
      </w:r>
    </w:p>
    <w:p w:rsidR="0019704F" w:rsidRPr="00552EDB" w:rsidRDefault="0019704F" w:rsidP="00197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Проаналізована</w:t>
      </w:r>
      <w:r w:rsidRPr="00552EDB">
        <w:rPr>
          <w:rFonts w:ascii="Times New Roman" w:hAnsi="Times New Roman" w:cs="Times New Roman"/>
          <w:sz w:val="28"/>
          <w:szCs w:val="28"/>
        </w:rPr>
        <w:t xml:space="preserve"> когнітивна модель може бути ефективним елементом у механізмі банківського ризик-менеджменту. Основними напрямками подальшого вдосконалення моделі є встановлення консонансу, дисонансу моделі, розробка додаткових сценаріїв управління валютним ризиком банку за допомогою імпульсних процесів.</w:t>
      </w:r>
    </w:p>
    <w:p w:rsidR="00552EDB" w:rsidRPr="00552EDB" w:rsidRDefault="00552EDB" w:rsidP="00552E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Використання моделі когнітивних графів доцільно для отримання обґрунтованих рішень поведінки складної системи на стратегічну перспективу при великій кількості взаємозв'язків і взаємозалежностей.</w:t>
      </w:r>
    </w:p>
    <w:p w:rsidR="0019704F" w:rsidRPr="00552EDB" w:rsidRDefault="0019704F" w:rsidP="00197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04F" w:rsidRPr="00552EDB" w:rsidRDefault="0019704F" w:rsidP="001970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EDB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6A0240" w:rsidRPr="00552EDB" w:rsidRDefault="0019704F" w:rsidP="00552ED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 xml:space="preserve">Методичні вказівки щодо інспектування банків «Система оцінки ризиків» // Постанова Правління Національного банку України від 15.03.2004 р. № 104. [Електронний ресурс] - Режим доступу до ресурсу: </w:t>
      </w:r>
      <w:hyperlink r:id="rId10" w:history="1">
        <w:r w:rsidRPr="00552EDB">
          <w:rPr>
            <w:rStyle w:val="a4"/>
            <w:rFonts w:ascii="Times New Roman" w:hAnsi="Times New Roman" w:cs="Times New Roman"/>
            <w:sz w:val="28"/>
            <w:szCs w:val="28"/>
          </w:rPr>
          <w:t>https://bank.gov.ua</w:t>
        </w:r>
      </w:hyperlink>
      <w:r w:rsidRPr="00552EDB">
        <w:rPr>
          <w:rFonts w:ascii="Times New Roman" w:hAnsi="Times New Roman" w:cs="Times New Roman"/>
          <w:sz w:val="28"/>
          <w:szCs w:val="28"/>
        </w:rPr>
        <w:t>.</w:t>
      </w:r>
    </w:p>
    <w:p w:rsidR="0019704F" w:rsidRPr="00552EDB" w:rsidRDefault="0019704F" w:rsidP="00552ED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Кирилюк С. Валютні операції в комерційних банках // Банківська справа – 1998. – № 1. – С. 16-22.</w:t>
      </w:r>
    </w:p>
    <w:p w:rsidR="00552EDB" w:rsidRPr="00552EDB" w:rsidRDefault="00552EDB" w:rsidP="00552EDB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DB">
        <w:rPr>
          <w:rFonts w:ascii="Times New Roman" w:hAnsi="Times New Roman" w:cs="Times New Roman"/>
          <w:sz w:val="28"/>
          <w:szCs w:val="28"/>
        </w:rPr>
        <w:t>Зубова В. В. Когнитивная модель управления валютным риском банка. Стан та перспективи розвитку фінансово-економічного потенціалу сучасних підприємств : Матерали міжнар. науково-практ. конф., 23 серп. 2018 р. Дніпро, 2018. С. 124–127.</w:t>
      </w:r>
    </w:p>
    <w:p w:rsidR="0019704F" w:rsidRPr="0019704F" w:rsidRDefault="0019704F" w:rsidP="00552EDB">
      <w:pPr>
        <w:pStyle w:val="a5"/>
        <w:spacing w:after="0" w:line="360" w:lineRule="auto"/>
        <w:ind w:left="1117"/>
        <w:jc w:val="both"/>
        <w:rPr>
          <w:rFonts w:ascii="Times New Roman" w:hAnsi="Times New Roman" w:cs="Times New Roman"/>
          <w:sz w:val="28"/>
          <w:szCs w:val="28"/>
        </w:rPr>
      </w:pPr>
    </w:p>
    <w:sectPr w:rsidR="0019704F" w:rsidRPr="0019704F" w:rsidSect="00074B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F4B1F"/>
    <w:multiLevelType w:val="hybridMultilevel"/>
    <w:tmpl w:val="E9120F50"/>
    <w:lvl w:ilvl="0" w:tplc="09CC5B6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C7"/>
    <w:rsid w:val="00074BC7"/>
    <w:rsid w:val="0019704F"/>
    <w:rsid w:val="00197E62"/>
    <w:rsid w:val="001F7C52"/>
    <w:rsid w:val="004F06E7"/>
    <w:rsid w:val="00552EDB"/>
    <w:rsid w:val="006A0240"/>
    <w:rsid w:val="0072480B"/>
    <w:rsid w:val="008E24D2"/>
    <w:rsid w:val="0090668E"/>
    <w:rsid w:val="00A52834"/>
    <w:rsid w:val="00B4511D"/>
    <w:rsid w:val="00C6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E124"/>
  <w15:chartTrackingRefBased/>
  <w15:docId w15:val="{9E62274A-DEBF-4B8C-B5C1-66F0C416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70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bank.gov.ua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408841-0944-445B-8839-9ADFBDDB867B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0B2E69A3-A3E3-4265-B669-11106A7355DE}">
      <dgm:prSet phldrT="[Текст]" custT="1"/>
      <dgm:spPr/>
      <dgm:t>
        <a:bodyPr/>
        <a:lstStyle/>
        <a:p>
          <a:r>
            <a:rPr lang="en-US" sz="1200" b="1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STRENGTHS</a:t>
          </a:r>
          <a:endParaRPr lang="uk-UA" sz="1200" b="1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7854D4-A2F7-4C46-8DBC-DD29F60120B3}" type="parTrans" cxnId="{C6CA55B5-0BE2-4E1A-8512-DF4173866E7D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4E15E8-8C5C-40B4-AEB7-E5724357D290}" type="sibTrans" cxnId="{C6CA55B5-0BE2-4E1A-8512-DF4173866E7D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79361C-C2CE-4A2A-A0AD-A1BFA43FDAB9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УЧАСТЬ ІНОЗЕМНОГО КАПІТАЛУ</a:t>
          </a:r>
        </a:p>
      </dgm:t>
    </dgm:pt>
    <dgm:pt modelId="{EAF5DB5C-7F1C-4CB8-B5F8-6A6F0263DA97}" type="parTrans" cxnId="{290097B2-6E4D-4F71-BAF7-A2A5F6D108EF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0E6555-F8F1-4DB6-9301-8BE1F82A8752}" type="sibTrans" cxnId="{290097B2-6E4D-4F71-BAF7-A2A5F6D108EF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30B4BD-35E0-480E-8043-9B6AE5A95B85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ПРОФЕОНАЛІЗМ КАДРІВ</a:t>
          </a:r>
        </a:p>
      </dgm:t>
    </dgm:pt>
    <dgm:pt modelId="{A8FBD423-0E6A-4623-857B-B863D1C5F273}" type="parTrans" cxnId="{9CF18F6B-BCA7-4517-9A89-F61185F0ADDA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C63556-BF44-45FA-9FFF-C4D6CA9D1E6C}" type="sibTrans" cxnId="{9CF18F6B-BCA7-4517-9A89-F61185F0ADDA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A1FF32-0FDF-4D97-B7BA-2E6BBC02E308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СТІЙКІСТЬ БАНКУ</a:t>
          </a:r>
        </a:p>
      </dgm:t>
    </dgm:pt>
    <dgm:pt modelId="{E84A80B5-E1A8-4F5C-8D0A-98A71B3E9191}" type="parTrans" cxnId="{F998B5BA-BE8F-4898-9393-2DE1D8ADF687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64B226-70AA-48B4-890E-7DA29D88A501}" type="sibTrans" cxnId="{F998B5BA-BE8F-4898-9393-2DE1D8ADF687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3C0496-9131-4B98-B29D-4BEF01D37287}">
      <dgm:prSet phldrT="[Текст]" custT="1"/>
      <dgm:spPr/>
      <dgm:t>
        <a:bodyPr/>
        <a:lstStyle/>
        <a:p>
          <a:r>
            <a:rPr lang="en-US" sz="1200" b="1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OPPORTUNITIES</a:t>
          </a:r>
          <a:endParaRPr lang="uk-UA" sz="1200" b="1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15CF96-C11D-4F33-8453-1CC280A7E259}" type="parTrans" cxnId="{1C35DCAF-8185-48CD-AF5C-89FFE7743F08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990BDD-4A5F-45F9-8024-4CB593AA131E}" type="sibTrans" cxnId="{1C35DCAF-8185-48CD-AF5C-89FFE7743F08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081E73-D811-4BC2-888F-BF24DC86D484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ЯКІСТЬ СИСТЕМИ РИЗИК-МЕНЕДЖМЕНТУ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F06FCBDE-06CA-4F83-A9AD-20350957C8B0}" type="parTrans" cxnId="{9437EF4A-62CF-4108-AF04-59C6C391A94B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8E427D-19DA-4288-A834-DFA84AC69FCF}" type="sibTrans" cxnId="{9437EF4A-62CF-4108-AF04-59C6C391A94B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5B413F-4CDB-4A2A-98CC-191939C6FB1E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КІЛЬКІСТЬ ОСНОВНИХ ВАЛЮТ, В ЯКИХ БУЛИ ПРОВЕДЕНІ ОПЕРАЦІЇ</a:t>
          </a:r>
        </a:p>
      </dgm:t>
    </dgm:pt>
    <dgm:pt modelId="{E7B04A4B-3069-4340-933C-A58F03A99848}" type="parTrans" cxnId="{3298AA56-F93B-4248-A6DA-8868C0050466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3DA3F5-6EF9-4ACD-85F2-E456CF19CEF9}" type="sibTrans" cxnId="{3298AA56-F93B-4248-A6DA-8868C0050466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835034-13A7-43DE-9395-010D54D572E6}">
      <dgm:prSet phldrT="[Текст]" custT="1"/>
      <dgm:spPr/>
      <dgm:t>
        <a:bodyPr/>
        <a:lstStyle/>
        <a:p>
          <a:r>
            <a:rPr lang="en-US" sz="1200" b="1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WEAKNESSES</a:t>
          </a:r>
          <a:endParaRPr lang="uk-UA" sz="1200" b="1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5DC6AF-086C-4FEC-814C-273F7658DE94}" type="parTrans" cxnId="{7B384DED-934F-4529-A5C3-A74ED0C95ACC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1209FB-AB13-4CC6-A85F-16A263D87204}" type="sibTrans" cxnId="{7B384DED-934F-4529-A5C3-A74ED0C95ACC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E631DE-979C-495F-ADEC-557BEECCE2E6}">
      <dgm:prSet phldrT="[Текст]" custT="1"/>
      <dgm:spPr/>
      <dgm:t>
        <a:bodyPr/>
        <a:lstStyle/>
        <a:p>
          <a:r>
            <a:rPr lang="en-US" sz="1200" b="1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THREATS</a:t>
          </a:r>
          <a:endParaRPr lang="uk-UA" sz="1200" b="1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58FAC3-5244-415C-B4EC-73329655BD1A}" type="parTrans" cxnId="{7015FCB9-E936-4016-8D53-A8B502E60A64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FB79E9-7617-4671-A20E-7B014E5DB262}" type="sibTrans" cxnId="{7015FCB9-E936-4016-8D53-A8B502E60A64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D9D22E-7229-4647-B3FB-E9930F6CE67A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СТАВКА ПОДАТКУ НА ПРИБУТОК (ЙОГО ЗМЕНШЕННЯ)</a:t>
          </a:r>
        </a:p>
      </dgm:t>
    </dgm:pt>
    <dgm:pt modelId="{7106B464-63F9-4F9C-A1BF-42D80F18AB3C}" type="parTrans" cxnId="{A4EC3274-27DA-4510-9600-5E179EDF4FB5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2324BF-BFD2-4C0A-BA2F-3C0A1BA3D873}" type="sibTrans" cxnId="{A4EC3274-27DA-4510-9600-5E179EDF4FB5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1CC240-9BEA-4498-AE17-F5EF68AF6425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ФІНАНСОВІ КРИЗИ (СТАБІЛІЗАЦІЯ СИТУАЦІЇ)</a:t>
          </a:r>
        </a:p>
      </dgm:t>
    </dgm:pt>
    <dgm:pt modelId="{89D10C1D-44B0-42BD-AC5A-B1B3C307FA8A}" type="parTrans" cxnId="{24AB463D-B3CA-40E7-A47D-664FBEA9F8BF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1569DA-74ED-4D60-91AE-F30B16F12369}" type="sibTrans" cxnId="{24AB463D-B3CA-40E7-A47D-664FBEA9F8BF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C1F5EA-7210-4167-A459-73C707516D94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ВІЙСЬКОВІ КОНФЛІКТИ</a:t>
          </a:r>
        </a:p>
      </dgm:t>
    </dgm:pt>
    <dgm:pt modelId="{2540CDCF-1D52-43D2-BEBB-B2651AAD384B}" type="parTrans" cxnId="{CF4139A7-EAF7-4202-BF03-240D465C0E52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6E2A60-AEF2-404F-813A-736D4F3D086B}" type="sibTrans" cxnId="{CF4139A7-EAF7-4202-BF03-240D465C0E52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D0CC5A-BCD0-45D3-BD32-643D10521FBC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ВВЕДЕННЯ ЗАБОРОН НА ЕКОНОМІЧНІ ВІДНОСИНИ З ІНШИМИ ДЕРЖАВАМИ</a:t>
          </a:r>
        </a:p>
      </dgm:t>
    </dgm:pt>
    <dgm:pt modelId="{FD6E2591-2C49-4624-B87F-2759452F46A0}" type="parTrans" cxnId="{41D64249-B119-4FF7-8CF0-C7EC42EB5D3F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41646A-BF55-45E5-8AA8-77E5A932BEC1}" type="sibTrans" cxnId="{41D64249-B119-4FF7-8CF0-C7EC42EB5D3F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02FEBB-427C-4309-B3DF-5FBA438364C2}">
      <dgm:prSet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РІВЕНЬ ІНФЛЯЦІЇ</a:t>
          </a:r>
        </a:p>
      </dgm:t>
    </dgm:pt>
    <dgm:pt modelId="{B189095B-D6DA-43A4-B4C0-AC1C72EC169D}" type="parTrans" cxnId="{591C2076-793B-4CF1-9863-A888F7BDA8DF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7FB4AA-3704-4CF9-BD77-46AC1918FA9C}" type="sibTrans" cxnId="{591C2076-793B-4CF1-9863-A888F7BDA8DF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BD0492-C706-4CF9-81B3-8719D7E6D6BF}" type="pres">
      <dgm:prSet presAssocID="{73408841-0944-445B-8839-9ADFBDDB867B}" presName="linearFlow" presStyleCnt="0">
        <dgm:presLayoutVars>
          <dgm:dir/>
          <dgm:animLvl val="lvl"/>
          <dgm:resizeHandles val="exact"/>
        </dgm:presLayoutVars>
      </dgm:prSet>
      <dgm:spPr/>
    </dgm:pt>
    <dgm:pt modelId="{66595D8C-D5C9-4645-B30E-E6CBBF46D1F3}" type="pres">
      <dgm:prSet presAssocID="{0B2E69A3-A3E3-4265-B669-11106A7355DE}" presName="composite" presStyleCnt="0"/>
      <dgm:spPr/>
    </dgm:pt>
    <dgm:pt modelId="{E92755BB-7C4A-473E-95F2-C09D68BEB8D4}" type="pres">
      <dgm:prSet presAssocID="{0B2E69A3-A3E3-4265-B669-11106A7355DE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14A9F842-1E22-4ED5-8390-3DF5EB9891DE}" type="pres">
      <dgm:prSet presAssocID="{0B2E69A3-A3E3-4265-B669-11106A7355DE}" presName="descendantText" presStyleLbl="alignAcc1" presStyleIdx="0" presStyleCnt="4">
        <dgm:presLayoutVars>
          <dgm:bulletEnabled val="1"/>
        </dgm:presLayoutVars>
      </dgm:prSet>
      <dgm:spPr/>
    </dgm:pt>
    <dgm:pt modelId="{36DDB2AC-A504-4EB1-B826-C46FE4CAB9A9}" type="pres">
      <dgm:prSet presAssocID="{3F4E15E8-8C5C-40B4-AEB7-E5724357D290}" presName="sp" presStyleCnt="0"/>
      <dgm:spPr/>
    </dgm:pt>
    <dgm:pt modelId="{45BE0946-7858-4BFD-A408-0A97031342F6}" type="pres">
      <dgm:prSet presAssocID="{173C0496-9131-4B98-B29D-4BEF01D37287}" presName="composite" presStyleCnt="0"/>
      <dgm:spPr/>
    </dgm:pt>
    <dgm:pt modelId="{F96F793F-721B-47A7-9DC1-AE5B9B0FFB78}" type="pres">
      <dgm:prSet presAssocID="{173C0496-9131-4B98-B29D-4BEF01D37287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B07D4572-35C6-46E0-9C5E-4E8DD5DFDBBA}" type="pres">
      <dgm:prSet presAssocID="{173C0496-9131-4B98-B29D-4BEF01D37287}" presName="descendantText" presStyleLbl="alignAcc1" presStyleIdx="1" presStyleCnt="4">
        <dgm:presLayoutVars>
          <dgm:bulletEnabled val="1"/>
        </dgm:presLayoutVars>
      </dgm:prSet>
      <dgm:spPr/>
    </dgm:pt>
    <dgm:pt modelId="{31B762E8-E3A2-4821-A10D-496ADB8BB900}" type="pres">
      <dgm:prSet presAssocID="{9E990BDD-4A5F-45F9-8024-4CB593AA131E}" presName="sp" presStyleCnt="0"/>
      <dgm:spPr/>
    </dgm:pt>
    <dgm:pt modelId="{5CC5582D-AEA7-42CF-AED2-D4866B712BDC}" type="pres">
      <dgm:prSet presAssocID="{60835034-13A7-43DE-9395-010D54D572E6}" presName="composite" presStyleCnt="0"/>
      <dgm:spPr/>
    </dgm:pt>
    <dgm:pt modelId="{BCB089D9-94F3-4EA4-9BE8-FE860BD0ABC8}" type="pres">
      <dgm:prSet presAssocID="{60835034-13A7-43DE-9395-010D54D572E6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74FD955D-9EE8-4041-B7C5-8C81FE364063}" type="pres">
      <dgm:prSet presAssocID="{60835034-13A7-43DE-9395-010D54D572E6}" presName="descendantText" presStyleLbl="alignAcc1" presStyleIdx="2" presStyleCnt="4">
        <dgm:presLayoutVars>
          <dgm:bulletEnabled val="1"/>
        </dgm:presLayoutVars>
      </dgm:prSet>
      <dgm:spPr/>
    </dgm:pt>
    <dgm:pt modelId="{AD1C3C6F-2ABF-4964-9E1D-1EE4EA871799}" type="pres">
      <dgm:prSet presAssocID="{7F1209FB-AB13-4CC6-A85F-16A263D87204}" presName="sp" presStyleCnt="0"/>
      <dgm:spPr/>
    </dgm:pt>
    <dgm:pt modelId="{40EE7A30-74CD-4203-AB6A-7FEC755AEF83}" type="pres">
      <dgm:prSet presAssocID="{2EE631DE-979C-495F-ADEC-557BEECCE2E6}" presName="composite" presStyleCnt="0"/>
      <dgm:spPr/>
    </dgm:pt>
    <dgm:pt modelId="{7D4BD6CE-A79A-419E-A7C6-8648A2E98F65}" type="pres">
      <dgm:prSet presAssocID="{2EE631DE-979C-495F-ADEC-557BEECCE2E6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9F662F49-24E0-4887-BD6C-E459AD32DA12}" type="pres">
      <dgm:prSet presAssocID="{2EE631DE-979C-495F-ADEC-557BEECCE2E6}" presName="descendantText" presStyleLbl="alignAcc1" presStyleIdx="3" presStyleCnt="4" custScaleY="147111">
        <dgm:presLayoutVars>
          <dgm:bulletEnabled val="1"/>
        </dgm:presLayoutVars>
      </dgm:prSet>
      <dgm:spPr/>
    </dgm:pt>
  </dgm:ptLst>
  <dgm:cxnLst>
    <dgm:cxn modelId="{7015FCB9-E936-4016-8D53-A8B502E60A64}" srcId="{73408841-0944-445B-8839-9ADFBDDB867B}" destId="{2EE631DE-979C-495F-ADEC-557BEECCE2E6}" srcOrd="3" destOrd="0" parTransId="{4358FAC3-5244-415C-B4EC-73329655BD1A}" sibTransId="{43FB79E9-7617-4671-A20E-7B014E5DB262}"/>
    <dgm:cxn modelId="{499CA6FE-6445-4609-8550-9992EBD644A3}" type="presOf" srcId="{60835034-13A7-43DE-9395-010D54D572E6}" destId="{BCB089D9-94F3-4EA4-9BE8-FE860BD0ABC8}" srcOrd="0" destOrd="0" presId="urn:microsoft.com/office/officeart/2005/8/layout/chevron2"/>
    <dgm:cxn modelId="{F9714CCB-D589-402B-9D38-9390C3C237EC}" type="presOf" srcId="{69C1F5EA-7210-4167-A459-73C707516D94}" destId="{9F662F49-24E0-4887-BD6C-E459AD32DA12}" srcOrd="0" destOrd="0" presId="urn:microsoft.com/office/officeart/2005/8/layout/chevron2"/>
    <dgm:cxn modelId="{88EE7212-6DC6-4438-A269-A12237AE51D9}" type="presOf" srcId="{6A02FEBB-427C-4309-B3DF-5FBA438364C2}" destId="{9F662F49-24E0-4887-BD6C-E459AD32DA12}" srcOrd="0" destOrd="2" presId="urn:microsoft.com/office/officeart/2005/8/layout/chevron2"/>
    <dgm:cxn modelId="{CF4139A7-EAF7-4202-BF03-240D465C0E52}" srcId="{2EE631DE-979C-495F-ADEC-557BEECCE2E6}" destId="{69C1F5EA-7210-4167-A459-73C707516D94}" srcOrd="0" destOrd="0" parTransId="{2540CDCF-1D52-43D2-BEBB-B2651AAD384B}" sibTransId="{7F6E2A60-AEF2-404F-813A-736D4F3D086B}"/>
    <dgm:cxn modelId="{41D64249-B119-4FF7-8CF0-C7EC42EB5D3F}" srcId="{2EE631DE-979C-495F-ADEC-557BEECCE2E6}" destId="{7ED0CC5A-BCD0-45D3-BD32-643D10521FBC}" srcOrd="1" destOrd="0" parTransId="{FD6E2591-2C49-4624-B87F-2759452F46A0}" sibTransId="{5041646A-BF55-45E5-8AA8-77E5A932BEC1}"/>
    <dgm:cxn modelId="{290097B2-6E4D-4F71-BAF7-A2A5F6D108EF}" srcId="{0B2E69A3-A3E3-4265-B669-11106A7355DE}" destId="{2179361C-C2CE-4A2A-A0AD-A1BFA43FDAB9}" srcOrd="0" destOrd="0" parTransId="{EAF5DB5C-7F1C-4CB8-B5F8-6A6F0263DA97}" sibTransId="{6E0E6555-F8F1-4DB6-9301-8BE1F82A8752}"/>
    <dgm:cxn modelId="{DE4915EE-9469-431B-BF4B-4E52D8954AB7}" type="presOf" srcId="{7FD9D22E-7229-4647-B3FB-E9930F6CE67A}" destId="{74FD955D-9EE8-4041-B7C5-8C81FE364063}" srcOrd="0" destOrd="0" presId="urn:microsoft.com/office/officeart/2005/8/layout/chevron2"/>
    <dgm:cxn modelId="{F998B5BA-BE8F-4898-9393-2DE1D8ADF687}" srcId="{0B2E69A3-A3E3-4265-B669-11106A7355DE}" destId="{5FA1FF32-0FDF-4D97-B7BA-2E6BBC02E308}" srcOrd="2" destOrd="0" parTransId="{E84A80B5-E1A8-4F5C-8D0A-98A71B3E9191}" sibTransId="{5564B226-70AA-48B4-890E-7DA29D88A501}"/>
    <dgm:cxn modelId="{639260D1-E5A8-4D41-A907-10A778FC00F1}" type="presOf" srcId="{173C0496-9131-4B98-B29D-4BEF01D37287}" destId="{F96F793F-721B-47A7-9DC1-AE5B9B0FFB78}" srcOrd="0" destOrd="0" presId="urn:microsoft.com/office/officeart/2005/8/layout/chevron2"/>
    <dgm:cxn modelId="{3C84DD33-5A95-4CED-AF7F-CE2DDA2B2A61}" type="presOf" srcId="{F35B413F-4CDB-4A2A-98CC-191939C6FB1E}" destId="{B07D4572-35C6-46E0-9C5E-4E8DD5DFDBBA}" srcOrd="0" destOrd="1" presId="urn:microsoft.com/office/officeart/2005/8/layout/chevron2"/>
    <dgm:cxn modelId="{1C35DCAF-8185-48CD-AF5C-89FFE7743F08}" srcId="{73408841-0944-445B-8839-9ADFBDDB867B}" destId="{173C0496-9131-4B98-B29D-4BEF01D37287}" srcOrd="1" destOrd="0" parTransId="{5E15CF96-C11D-4F33-8453-1CC280A7E259}" sibTransId="{9E990BDD-4A5F-45F9-8024-4CB593AA131E}"/>
    <dgm:cxn modelId="{591C2076-793B-4CF1-9863-A888F7BDA8DF}" srcId="{2EE631DE-979C-495F-ADEC-557BEECCE2E6}" destId="{6A02FEBB-427C-4309-B3DF-5FBA438364C2}" srcOrd="2" destOrd="0" parTransId="{B189095B-D6DA-43A4-B4C0-AC1C72EC169D}" sibTransId="{A67FB4AA-3704-4CF9-BD77-46AC1918FA9C}"/>
    <dgm:cxn modelId="{9CF18F6B-BCA7-4517-9A89-F61185F0ADDA}" srcId="{0B2E69A3-A3E3-4265-B669-11106A7355DE}" destId="{2D30B4BD-35E0-480E-8043-9B6AE5A95B85}" srcOrd="1" destOrd="0" parTransId="{A8FBD423-0E6A-4623-857B-B863D1C5F273}" sibTransId="{E0C63556-BF44-45FA-9FFF-C4D6CA9D1E6C}"/>
    <dgm:cxn modelId="{9302BFBC-90FA-4DCD-99F5-F91DEE202AA0}" type="presOf" srcId="{5FA1FF32-0FDF-4D97-B7BA-2E6BBC02E308}" destId="{14A9F842-1E22-4ED5-8390-3DF5EB9891DE}" srcOrd="0" destOrd="2" presId="urn:microsoft.com/office/officeart/2005/8/layout/chevron2"/>
    <dgm:cxn modelId="{9437EF4A-62CF-4108-AF04-59C6C391A94B}" srcId="{173C0496-9131-4B98-B29D-4BEF01D37287}" destId="{0C081E73-D811-4BC2-888F-BF24DC86D484}" srcOrd="0" destOrd="0" parTransId="{F06FCBDE-06CA-4F83-A9AD-20350957C8B0}" sibTransId="{658E427D-19DA-4288-A834-DFA84AC69FCF}"/>
    <dgm:cxn modelId="{3DCD55A7-61E2-4B80-971A-3C981B09CB01}" type="presOf" srcId="{2EE631DE-979C-495F-ADEC-557BEECCE2E6}" destId="{7D4BD6CE-A79A-419E-A7C6-8648A2E98F65}" srcOrd="0" destOrd="0" presId="urn:microsoft.com/office/officeart/2005/8/layout/chevron2"/>
    <dgm:cxn modelId="{7B384DED-934F-4529-A5C3-A74ED0C95ACC}" srcId="{73408841-0944-445B-8839-9ADFBDDB867B}" destId="{60835034-13A7-43DE-9395-010D54D572E6}" srcOrd="2" destOrd="0" parTransId="{075DC6AF-086C-4FEC-814C-273F7658DE94}" sibTransId="{7F1209FB-AB13-4CC6-A85F-16A263D87204}"/>
    <dgm:cxn modelId="{24AB463D-B3CA-40E7-A47D-664FBEA9F8BF}" srcId="{60835034-13A7-43DE-9395-010D54D572E6}" destId="{E01CC240-9BEA-4498-AE17-F5EF68AF6425}" srcOrd="1" destOrd="0" parTransId="{89D10C1D-44B0-42BD-AC5A-B1B3C307FA8A}" sibTransId="{9C1569DA-74ED-4D60-91AE-F30B16F12369}"/>
    <dgm:cxn modelId="{A37E4FDA-6C0A-4B20-A651-A34F3F35E126}" type="presOf" srcId="{2179361C-C2CE-4A2A-A0AD-A1BFA43FDAB9}" destId="{14A9F842-1E22-4ED5-8390-3DF5EB9891DE}" srcOrd="0" destOrd="0" presId="urn:microsoft.com/office/officeart/2005/8/layout/chevron2"/>
    <dgm:cxn modelId="{897751D3-060B-4AF7-B1F9-E224D50B5F3E}" type="presOf" srcId="{0C081E73-D811-4BC2-888F-BF24DC86D484}" destId="{B07D4572-35C6-46E0-9C5E-4E8DD5DFDBBA}" srcOrd="0" destOrd="0" presId="urn:microsoft.com/office/officeart/2005/8/layout/chevron2"/>
    <dgm:cxn modelId="{085B824E-07DF-4D7E-B0C3-F0717B4D0B61}" type="presOf" srcId="{E01CC240-9BEA-4498-AE17-F5EF68AF6425}" destId="{74FD955D-9EE8-4041-B7C5-8C81FE364063}" srcOrd="0" destOrd="1" presId="urn:microsoft.com/office/officeart/2005/8/layout/chevron2"/>
    <dgm:cxn modelId="{A0D4E8C4-C4A2-49EE-857A-06E8330BB6C5}" type="presOf" srcId="{2D30B4BD-35E0-480E-8043-9B6AE5A95B85}" destId="{14A9F842-1E22-4ED5-8390-3DF5EB9891DE}" srcOrd="0" destOrd="1" presId="urn:microsoft.com/office/officeart/2005/8/layout/chevron2"/>
    <dgm:cxn modelId="{3298AA56-F93B-4248-A6DA-8868C0050466}" srcId="{173C0496-9131-4B98-B29D-4BEF01D37287}" destId="{F35B413F-4CDB-4A2A-98CC-191939C6FB1E}" srcOrd="1" destOrd="0" parTransId="{E7B04A4B-3069-4340-933C-A58F03A99848}" sibTransId="{F53DA3F5-6EF9-4ACD-85F2-E456CF19CEF9}"/>
    <dgm:cxn modelId="{9B881446-0361-4673-997B-08DED140FB4F}" type="presOf" srcId="{7ED0CC5A-BCD0-45D3-BD32-643D10521FBC}" destId="{9F662F49-24E0-4887-BD6C-E459AD32DA12}" srcOrd="0" destOrd="1" presId="urn:microsoft.com/office/officeart/2005/8/layout/chevron2"/>
    <dgm:cxn modelId="{C6CA55B5-0BE2-4E1A-8512-DF4173866E7D}" srcId="{73408841-0944-445B-8839-9ADFBDDB867B}" destId="{0B2E69A3-A3E3-4265-B669-11106A7355DE}" srcOrd="0" destOrd="0" parTransId="{2B7854D4-A2F7-4C46-8DBC-DD29F60120B3}" sibTransId="{3F4E15E8-8C5C-40B4-AEB7-E5724357D290}"/>
    <dgm:cxn modelId="{A4EC3274-27DA-4510-9600-5E179EDF4FB5}" srcId="{60835034-13A7-43DE-9395-010D54D572E6}" destId="{7FD9D22E-7229-4647-B3FB-E9930F6CE67A}" srcOrd="0" destOrd="0" parTransId="{7106B464-63F9-4F9C-A1BF-42D80F18AB3C}" sibTransId="{072324BF-BFD2-4C0A-BA2F-3C0A1BA3D873}"/>
    <dgm:cxn modelId="{ECF53BA2-F416-434D-AD4B-5A55E65E3BAA}" type="presOf" srcId="{73408841-0944-445B-8839-9ADFBDDB867B}" destId="{10BD0492-C706-4CF9-81B3-8719D7E6D6BF}" srcOrd="0" destOrd="0" presId="urn:microsoft.com/office/officeart/2005/8/layout/chevron2"/>
    <dgm:cxn modelId="{27C0ED2A-CCBF-426B-AB65-0604ADDDCA25}" type="presOf" srcId="{0B2E69A3-A3E3-4265-B669-11106A7355DE}" destId="{E92755BB-7C4A-473E-95F2-C09D68BEB8D4}" srcOrd="0" destOrd="0" presId="urn:microsoft.com/office/officeart/2005/8/layout/chevron2"/>
    <dgm:cxn modelId="{992A7231-5B99-45B2-80B2-34E3620BC28B}" type="presParOf" srcId="{10BD0492-C706-4CF9-81B3-8719D7E6D6BF}" destId="{66595D8C-D5C9-4645-B30E-E6CBBF46D1F3}" srcOrd="0" destOrd="0" presId="urn:microsoft.com/office/officeart/2005/8/layout/chevron2"/>
    <dgm:cxn modelId="{9A5BEE4C-091D-47BF-AC46-74491E3F6E75}" type="presParOf" srcId="{66595D8C-D5C9-4645-B30E-E6CBBF46D1F3}" destId="{E92755BB-7C4A-473E-95F2-C09D68BEB8D4}" srcOrd="0" destOrd="0" presId="urn:microsoft.com/office/officeart/2005/8/layout/chevron2"/>
    <dgm:cxn modelId="{28D86B63-6137-4062-8A55-22053F0CA150}" type="presParOf" srcId="{66595D8C-D5C9-4645-B30E-E6CBBF46D1F3}" destId="{14A9F842-1E22-4ED5-8390-3DF5EB9891DE}" srcOrd="1" destOrd="0" presId="urn:microsoft.com/office/officeart/2005/8/layout/chevron2"/>
    <dgm:cxn modelId="{BB431BDE-2C67-489C-89F5-863B883980A4}" type="presParOf" srcId="{10BD0492-C706-4CF9-81B3-8719D7E6D6BF}" destId="{36DDB2AC-A504-4EB1-B826-C46FE4CAB9A9}" srcOrd="1" destOrd="0" presId="urn:microsoft.com/office/officeart/2005/8/layout/chevron2"/>
    <dgm:cxn modelId="{C330DBC7-8A2D-49ED-BC96-3E3370C0A3DD}" type="presParOf" srcId="{10BD0492-C706-4CF9-81B3-8719D7E6D6BF}" destId="{45BE0946-7858-4BFD-A408-0A97031342F6}" srcOrd="2" destOrd="0" presId="urn:microsoft.com/office/officeart/2005/8/layout/chevron2"/>
    <dgm:cxn modelId="{5E177F84-56B7-4E71-9DF7-8A9C2F18D42E}" type="presParOf" srcId="{45BE0946-7858-4BFD-A408-0A97031342F6}" destId="{F96F793F-721B-47A7-9DC1-AE5B9B0FFB78}" srcOrd="0" destOrd="0" presId="urn:microsoft.com/office/officeart/2005/8/layout/chevron2"/>
    <dgm:cxn modelId="{2AD21701-B1F9-49B6-8946-808141CC4755}" type="presParOf" srcId="{45BE0946-7858-4BFD-A408-0A97031342F6}" destId="{B07D4572-35C6-46E0-9C5E-4E8DD5DFDBBA}" srcOrd="1" destOrd="0" presId="urn:microsoft.com/office/officeart/2005/8/layout/chevron2"/>
    <dgm:cxn modelId="{2DC5061C-19B4-4376-93D4-8CD96F81A38B}" type="presParOf" srcId="{10BD0492-C706-4CF9-81B3-8719D7E6D6BF}" destId="{31B762E8-E3A2-4821-A10D-496ADB8BB900}" srcOrd="3" destOrd="0" presId="urn:microsoft.com/office/officeart/2005/8/layout/chevron2"/>
    <dgm:cxn modelId="{DFC7BF66-7F63-4BB2-A64F-8DB642C5F7E0}" type="presParOf" srcId="{10BD0492-C706-4CF9-81B3-8719D7E6D6BF}" destId="{5CC5582D-AEA7-42CF-AED2-D4866B712BDC}" srcOrd="4" destOrd="0" presId="urn:microsoft.com/office/officeart/2005/8/layout/chevron2"/>
    <dgm:cxn modelId="{ECA8D43F-5B3D-4BEA-818E-FBE9C194424A}" type="presParOf" srcId="{5CC5582D-AEA7-42CF-AED2-D4866B712BDC}" destId="{BCB089D9-94F3-4EA4-9BE8-FE860BD0ABC8}" srcOrd="0" destOrd="0" presId="urn:microsoft.com/office/officeart/2005/8/layout/chevron2"/>
    <dgm:cxn modelId="{1B4AD061-C7E8-4BA5-809C-05C3861966AB}" type="presParOf" srcId="{5CC5582D-AEA7-42CF-AED2-D4866B712BDC}" destId="{74FD955D-9EE8-4041-B7C5-8C81FE364063}" srcOrd="1" destOrd="0" presId="urn:microsoft.com/office/officeart/2005/8/layout/chevron2"/>
    <dgm:cxn modelId="{B11F99B2-0FAA-4E78-B3BF-E7F089FFD02F}" type="presParOf" srcId="{10BD0492-C706-4CF9-81B3-8719D7E6D6BF}" destId="{AD1C3C6F-2ABF-4964-9E1D-1EE4EA871799}" srcOrd="5" destOrd="0" presId="urn:microsoft.com/office/officeart/2005/8/layout/chevron2"/>
    <dgm:cxn modelId="{8C9A7C75-467F-49B9-BA7F-F348540BF659}" type="presParOf" srcId="{10BD0492-C706-4CF9-81B3-8719D7E6D6BF}" destId="{40EE7A30-74CD-4203-AB6A-7FEC755AEF83}" srcOrd="6" destOrd="0" presId="urn:microsoft.com/office/officeart/2005/8/layout/chevron2"/>
    <dgm:cxn modelId="{07174220-AD38-4B9A-9D9B-36BBE04F8CA7}" type="presParOf" srcId="{40EE7A30-74CD-4203-AB6A-7FEC755AEF83}" destId="{7D4BD6CE-A79A-419E-A7C6-8648A2E98F65}" srcOrd="0" destOrd="0" presId="urn:microsoft.com/office/officeart/2005/8/layout/chevron2"/>
    <dgm:cxn modelId="{CA01467F-CE6E-42C9-8E4F-CAB82447E7C4}" type="presParOf" srcId="{40EE7A30-74CD-4203-AB6A-7FEC755AEF83}" destId="{9F662F49-24E0-4887-BD6C-E459AD32DA1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2755BB-7C4A-473E-95F2-C09D68BEB8D4}">
      <dsp:nvSpPr>
        <dsp:cNvPr id="0" name=""/>
        <dsp:cNvSpPr/>
      </dsp:nvSpPr>
      <dsp:spPr>
        <a:xfrm rot="5400000">
          <a:off x="-130803" y="133159"/>
          <a:ext cx="872024" cy="61041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STRENGTHS</a:t>
          </a:r>
          <a:endParaRPr lang="uk-UA" sz="1200" b="1" kern="120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307565"/>
        <a:ext cx="610417" cy="261607"/>
      </dsp:txXfrm>
    </dsp:sp>
    <dsp:sp modelId="{14A9F842-1E22-4ED5-8390-3DF5EB9891DE}">
      <dsp:nvSpPr>
        <dsp:cNvPr id="0" name=""/>
        <dsp:cNvSpPr/>
      </dsp:nvSpPr>
      <dsp:spPr>
        <a:xfrm rot="5400000">
          <a:off x="3055681" y="-2442908"/>
          <a:ext cx="567114" cy="54576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УЧАСТЬ ІНОЗЕМНОГО КАПІТАЛУ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ПРОФЕОНАЛІЗМ КАДРІВ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СТІЙКІСТЬ БАНКУ</a:t>
          </a:r>
        </a:p>
      </dsp:txBody>
      <dsp:txXfrm rot="-5400000">
        <a:off x="610417" y="30040"/>
        <a:ext cx="5429958" cy="511746"/>
      </dsp:txXfrm>
    </dsp:sp>
    <dsp:sp modelId="{F96F793F-721B-47A7-9DC1-AE5B9B0FFB78}">
      <dsp:nvSpPr>
        <dsp:cNvPr id="0" name=""/>
        <dsp:cNvSpPr/>
      </dsp:nvSpPr>
      <dsp:spPr>
        <a:xfrm rot="5400000">
          <a:off x="-130803" y="858590"/>
          <a:ext cx="872024" cy="61041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OPPORTUNITIES</a:t>
          </a:r>
          <a:endParaRPr lang="uk-UA" sz="1200" b="1" kern="120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032996"/>
        <a:ext cx="610417" cy="261607"/>
      </dsp:txXfrm>
    </dsp:sp>
    <dsp:sp modelId="{B07D4572-35C6-46E0-9C5E-4E8DD5DFDBBA}">
      <dsp:nvSpPr>
        <dsp:cNvPr id="0" name=""/>
        <dsp:cNvSpPr/>
      </dsp:nvSpPr>
      <dsp:spPr>
        <a:xfrm rot="5400000">
          <a:off x="3055830" y="-1717626"/>
          <a:ext cx="566816" cy="54576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ЯКІСТЬ СИСТЕМИ РИЗИК-МЕНЕДЖМЕНТУ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КІЛЬКІСТЬ ОСНОВНИХ ВАЛЮТ, В ЯКИХ БУЛИ ПРОВЕДЕНІ ОПЕРАЦІЇ</a:t>
          </a:r>
        </a:p>
      </dsp:txBody>
      <dsp:txXfrm rot="-5400000">
        <a:off x="610417" y="755457"/>
        <a:ext cx="5429972" cy="511476"/>
      </dsp:txXfrm>
    </dsp:sp>
    <dsp:sp modelId="{BCB089D9-94F3-4EA4-9BE8-FE860BD0ABC8}">
      <dsp:nvSpPr>
        <dsp:cNvPr id="0" name=""/>
        <dsp:cNvSpPr/>
      </dsp:nvSpPr>
      <dsp:spPr>
        <a:xfrm rot="5400000">
          <a:off x="-130803" y="1584021"/>
          <a:ext cx="872024" cy="61041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WEAKNESSES</a:t>
          </a:r>
          <a:endParaRPr lang="uk-UA" sz="1200" b="1" kern="120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758427"/>
        <a:ext cx="610417" cy="261607"/>
      </dsp:txXfrm>
    </dsp:sp>
    <dsp:sp modelId="{74FD955D-9EE8-4041-B7C5-8C81FE364063}">
      <dsp:nvSpPr>
        <dsp:cNvPr id="0" name=""/>
        <dsp:cNvSpPr/>
      </dsp:nvSpPr>
      <dsp:spPr>
        <a:xfrm rot="5400000">
          <a:off x="3055830" y="-992195"/>
          <a:ext cx="566816" cy="54576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СТАВКА ПОДАТКУ НА ПРИБУТОК (ЙОГО ЗМЕНШЕННЯ)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ФІНАНСОВІ КРИЗИ (СТАБІЛІЗАЦІЯ СИТУАЦІЇ)</a:t>
          </a:r>
        </a:p>
      </dsp:txBody>
      <dsp:txXfrm rot="-5400000">
        <a:off x="610417" y="1480888"/>
        <a:ext cx="5429972" cy="511476"/>
      </dsp:txXfrm>
    </dsp:sp>
    <dsp:sp modelId="{7D4BD6CE-A79A-419E-A7C6-8648A2E98F65}">
      <dsp:nvSpPr>
        <dsp:cNvPr id="0" name=""/>
        <dsp:cNvSpPr/>
      </dsp:nvSpPr>
      <dsp:spPr>
        <a:xfrm rot="5400000">
          <a:off x="-130803" y="2442969"/>
          <a:ext cx="872024" cy="61041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THREATS</a:t>
          </a:r>
          <a:endParaRPr lang="uk-UA" sz="1200" b="1" kern="120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617375"/>
        <a:ext cx="610417" cy="261607"/>
      </dsp:txXfrm>
    </dsp:sp>
    <dsp:sp modelId="{9F662F49-24E0-4887-BD6C-E459AD32DA12}">
      <dsp:nvSpPr>
        <dsp:cNvPr id="0" name=""/>
        <dsp:cNvSpPr/>
      </dsp:nvSpPr>
      <dsp:spPr>
        <a:xfrm rot="5400000">
          <a:off x="2922314" y="-133247"/>
          <a:ext cx="833848" cy="54576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ВІЙСЬКОВІ КОНФЛІКТИ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ВВЕДЕННЯ ЗАБОРОН НА ЕКОНОМІЧНІ ВІДНОСИНИ З ІНШИМИ ДЕРЖАВАМИ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РІВЕНЬ ІНФЛЯЦІЇ</a:t>
          </a:r>
        </a:p>
      </dsp:txBody>
      <dsp:txXfrm rot="-5400000">
        <a:off x="610418" y="2219354"/>
        <a:ext cx="5416937" cy="752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3214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2024-01-15T06:38:00Z</dcterms:created>
  <dcterms:modified xsi:type="dcterms:W3CDTF">2024-01-15T09:24:00Z</dcterms:modified>
</cp:coreProperties>
</file>