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85B4" w14:textId="77777777" w:rsidR="002F6B86" w:rsidRPr="005F7FA5" w:rsidRDefault="002F6B86" w:rsidP="005F7FA5">
      <w:pPr>
        <w:spacing w:line="360" w:lineRule="auto"/>
        <w:ind w:firstLine="708"/>
        <w:contextualSpacing/>
        <w:jc w:val="right"/>
        <w:rPr>
          <w:rFonts w:ascii="Times New Roman" w:hAnsi="Times New Roman" w:cs="Times New Roman"/>
          <w:sz w:val="28"/>
          <w:szCs w:val="28"/>
        </w:rPr>
      </w:pPr>
      <w:r w:rsidRPr="005F7FA5">
        <w:rPr>
          <w:rFonts w:ascii="Times New Roman" w:hAnsi="Times New Roman" w:cs="Times New Roman"/>
          <w:sz w:val="28"/>
          <w:szCs w:val="28"/>
        </w:rPr>
        <w:t>Зубачик Тарас Романович,</w:t>
      </w:r>
      <w:r w:rsidRPr="005F7FA5">
        <w:rPr>
          <w:rFonts w:ascii="Times New Roman" w:hAnsi="Times New Roman" w:cs="Times New Roman"/>
          <w:sz w:val="28"/>
          <w:szCs w:val="28"/>
        </w:rPr>
        <w:br/>
        <w:t xml:space="preserve">студент 4 курсу юридичного факультету </w:t>
      </w:r>
    </w:p>
    <w:p w14:paraId="0C842885" w14:textId="7B22569E" w:rsidR="002F6B86" w:rsidRPr="005F7FA5" w:rsidRDefault="002F6B86" w:rsidP="005F7FA5">
      <w:pPr>
        <w:spacing w:line="360" w:lineRule="auto"/>
        <w:ind w:firstLine="708"/>
        <w:contextualSpacing/>
        <w:jc w:val="right"/>
        <w:rPr>
          <w:rFonts w:ascii="Times New Roman" w:hAnsi="Times New Roman" w:cs="Times New Roman"/>
          <w:sz w:val="28"/>
          <w:szCs w:val="28"/>
        </w:rPr>
      </w:pPr>
      <w:r w:rsidRPr="005F7FA5">
        <w:rPr>
          <w:rFonts w:ascii="Times New Roman" w:hAnsi="Times New Roman" w:cs="Times New Roman"/>
          <w:sz w:val="28"/>
          <w:szCs w:val="28"/>
        </w:rPr>
        <w:t>ЛНУ ім. І. Франка, м. Львів</w:t>
      </w:r>
    </w:p>
    <w:p w14:paraId="45D2B1EE" w14:textId="33726893" w:rsidR="005F7FA5" w:rsidRDefault="005F7FA5" w:rsidP="005F7FA5">
      <w:pPr>
        <w:spacing w:line="360" w:lineRule="auto"/>
        <w:ind w:firstLine="708"/>
        <w:contextualSpacing/>
        <w:jc w:val="right"/>
        <w:rPr>
          <w:rFonts w:ascii="Times New Roman" w:hAnsi="Times New Roman" w:cs="Times New Roman"/>
          <w:b/>
          <w:bCs/>
          <w:sz w:val="28"/>
          <w:szCs w:val="28"/>
        </w:rPr>
      </w:pPr>
      <w:r>
        <w:rPr>
          <w:rFonts w:ascii="Times New Roman" w:hAnsi="Times New Roman" w:cs="Times New Roman"/>
          <w:b/>
          <w:bCs/>
          <w:sz w:val="28"/>
          <w:szCs w:val="28"/>
        </w:rPr>
        <w:t>Науковий керівник:</w:t>
      </w:r>
    </w:p>
    <w:p w14:paraId="16ECF58D" w14:textId="6801803D" w:rsidR="005F7FA5" w:rsidRPr="005F7FA5" w:rsidRDefault="005F7FA5" w:rsidP="005F7FA5">
      <w:pPr>
        <w:spacing w:line="360" w:lineRule="auto"/>
        <w:ind w:firstLine="708"/>
        <w:contextualSpacing/>
        <w:jc w:val="right"/>
        <w:rPr>
          <w:rFonts w:ascii="Times New Roman" w:hAnsi="Times New Roman" w:cs="Times New Roman"/>
          <w:sz w:val="28"/>
          <w:szCs w:val="28"/>
        </w:rPr>
      </w:pPr>
      <w:r w:rsidRPr="005F7FA5">
        <w:rPr>
          <w:rFonts w:ascii="Times New Roman" w:hAnsi="Times New Roman" w:cs="Times New Roman"/>
          <w:sz w:val="28"/>
          <w:szCs w:val="28"/>
        </w:rPr>
        <w:t>Лисик Володимир Михайлович</w:t>
      </w:r>
    </w:p>
    <w:p w14:paraId="7AB3746F" w14:textId="250661C5" w:rsidR="005F7FA5" w:rsidRPr="005F7FA5" w:rsidRDefault="005F7FA5" w:rsidP="005F7FA5">
      <w:pPr>
        <w:spacing w:line="360" w:lineRule="auto"/>
        <w:ind w:firstLine="708"/>
        <w:contextualSpacing/>
        <w:jc w:val="right"/>
        <w:rPr>
          <w:rFonts w:ascii="Times New Roman" w:hAnsi="Times New Roman" w:cs="Times New Roman"/>
          <w:sz w:val="28"/>
          <w:szCs w:val="28"/>
        </w:rPr>
      </w:pPr>
      <w:r w:rsidRPr="005F7FA5">
        <w:rPr>
          <w:rFonts w:ascii="Times New Roman" w:hAnsi="Times New Roman" w:cs="Times New Roman"/>
          <w:sz w:val="28"/>
          <w:szCs w:val="28"/>
        </w:rPr>
        <w:t>доцент кафедри міжнародного права</w:t>
      </w:r>
    </w:p>
    <w:p w14:paraId="3A5E12A5" w14:textId="1B864C90" w:rsidR="005F7FA5" w:rsidRPr="005F7FA5" w:rsidRDefault="005F7FA5" w:rsidP="005F7FA5">
      <w:pPr>
        <w:spacing w:line="360" w:lineRule="auto"/>
        <w:ind w:firstLine="708"/>
        <w:contextualSpacing/>
        <w:jc w:val="right"/>
        <w:rPr>
          <w:rFonts w:ascii="Times New Roman" w:hAnsi="Times New Roman" w:cs="Times New Roman"/>
          <w:sz w:val="28"/>
          <w:szCs w:val="28"/>
        </w:rPr>
      </w:pPr>
      <w:r w:rsidRPr="005F7FA5">
        <w:rPr>
          <w:rFonts w:ascii="Times New Roman" w:hAnsi="Times New Roman" w:cs="Times New Roman"/>
          <w:sz w:val="28"/>
          <w:szCs w:val="28"/>
        </w:rPr>
        <w:t>ЛНУ ім. І. Франка, м. Львів</w:t>
      </w:r>
    </w:p>
    <w:p w14:paraId="6811856F" w14:textId="5B8EB35F" w:rsidR="00442F0F" w:rsidRPr="002F6B86" w:rsidRDefault="00442F0F" w:rsidP="005F7FA5">
      <w:pPr>
        <w:spacing w:line="360" w:lineRule="auto"/>
        <w:ind w:firstLine="708"/>
        <w:contextualSpacing/>
        <w:jc w:val="center"/>
        <w:rPr>
          <w:rFonts w:ascii="Times New Roman" w:hAnsi="Times New Roman" w:cs="Times New Roman"/>
          <w:sz w:val="28"/>
          <w:szCs w:val="28"/>
        </w:rPr>
      </w:pPr>
      <w:r w:rsidRPr="002F6B86">
        <w:rPr>
          <w:rFonts w:ascii="Times New Roman" w:hAnsi="Times New Roman" w:cs="Times New Roman"/>
          <w:b/>
          <w:bCs/>
          <w:sz w:val="28"/>
          <w:szCs w:val="28"/>
        </w:rPr>
        <w:t>Природа правочинів у комп’ютерних іграх</w:t>
      </w:r>
    </w:p>
    <w:p w14:paraId="0338E4EB" w14:textId="77777777" w:rsidR="00442F0F" w:rsidRPr="002F6B86" w:rsidRDefault="00442F0F" w:rsidP="005F7FA5">
      <w:pPr>
        <w:spacing w:line="360" w:lineRule="auto"/>
        <w:ind w:firstLine="360"/>
        <w:contextualSpacing/>
        <w:jc w:val="both"/>
        <w:rPr>
          <w:rFonts w:ascii="Times New Roman" w:hAnsi="Times New Roman" w:cs="Times New Roman"/>
          <w:sz w:val="28"/>
          <w:szCs w:val="28"/>
        </w:rPr>
      </w:pPr>
      <w:r w:rsidRPr="002F6B86">
        <w:rPr>
          <w:rFonts w:ascii="Times New Roman" w:hAnsi="Times New Roman" w:cs="Times New Roman"/>
          <w:sz w:val="28"/>
          <w:szCs w:val="28"/>
        </w:rPr>
        <w:t>Розвиток ігрової індустрії та цифрової економіки призвів до появи нових видів правочинів, які здійснюються в межах віртуального середовища відеоігор. Такі правочини потребують особливої уваги з точки зору правового регулювання, оскільки вони часто перебувають на межі між договірним правом, правом інтелектуальної власності та новою сферою регулювання цифрових речей.</w:t>
      </w:r>
    </w:p>
    <w:p w14:paraId="38B2CCEF" w14:textId="77777777" w:rsidR="00442F0F" w:rsidRPr="002F6B86" w:rsidRDefault="00442F0F" w:rsidP="005F7FA5">
      <w:pPr>
        <w:spacing w:line="360" w:lineRule="auto"/>
        <w:ind w:firstLine="360"/>
        <w:contextualSpacing/>
        <w:jc w:val="both"/>
        <w:rPr>
          <w:rFonts w:ascii="Times New Roman" w:hAnsi="Times New Roman" w:cs="Times New Roman"/>
          <w:sz w:val="28"/>
          <w:szCs w:val="28"/>
        </w:rPr>
      </w:pPr>
      <w:r w:rsidRPr="002F6B86">
        <w:rPr>
          <w:rFonts w:ascii="Times New Roman" w:hAnsi="Times New Roman" w:cs="Times New Roman"/>
          <w:sz w:val="28"/>
          <w:szCs w:val="28"/>
        </w:rPr>
        <w:t>Аналіз сучасної ігрової індустрії дозволяє виокремити кілька основних типів правочинів, що здійснюються у зв'язку з комп'ютерними іграми:</w:t>
      </w:r>
    </w:p>
    <w:p w14:paraId="3E6CC432" w14:textId="2ADC8D02" w:rsidR="00442F0F" w:rsidRPr="002F6B86" w:rsidRDefault="00442F0F" w:rsidP="00683F7F">
      <w:pPr>
        <w:pStyle w:val="ListParagraph"/>
        <w:numPr>
          <w:ilvl w:val="0"/>
          <w:numId w:val="1"/>
        </w:numPr>
        <w:spacing w:line="360" w:lineRule="auto"/>
        <w:jc w:val="both"/>
        <w:rPr>
          <w:rFonts w:ascii="Times New Roman" w:hAnsi="Times New Roman" w:cs="Times New Roman"/>
          <w:sz w:val="28"/>
          <w:szCs w:val="28"/>
        </w:rPr>
      </w:pPr>
      <w:r w:rsidRPr="002F6B86">
        <w:rPr>
          <w:rFonts w:ascii="Times New Roman" w:hAnsi="Times New Roman" w:cs="Times New Roman"/>
          <w:sz w:val="28"/>
          <w:szCs w:val="28"/>
        </w:rPr>
        <w:t xml:space="preserve">Правочини між гравцями (P2P) </w:t>
      </w:r>
      <w:r w:rsidR="00426F30">
        <w:rPr>
          <w:rFonts w:ascii="Times New Roman" w:hAnsi="Times New Roman" w:cs="Times New Roman"/>
          <w:sz w:val="28"/>
          <w:szCs w:val="28"/>
        </w:rPr>
        <w:t>-</w:t>
      </w:r>
      <w:r w:rsidRPr="002F6B86">
        <w:rPr>
          <w:rFonts w:ascii="Times New Roman" w:hAnsi="Times New Roman" w:cs="Times New Roman"/>
          <w:sz w:val="28"/>
          <w:szCs w:val="28"/>
        </w:rPr>
        <w:t xml:space="preserve"> включають торгівлю </w:t>
      </w:r>
      <w:proofErr w:type="spellStart"/>
      <w:r w:rsidRPr="002F6B86">
        <w:rPr>
          <w:rFonts w:ascii="Times New Roman" w:hAnsi="Times New Roman" w:cs="Times New Roman"/>
          <w:sz w:val="28"/>
          <w:szCs w:val="28"/>
        </w:rPr>
        <w:t>внутрішньоігровими</w:t>
      </w:r>
      <w:proofErr w:type="spellEnd"/>
      <w:r w:rsidRPr="002F6B86">
        <w:rPr>
          <w:rFonts w:ascii="Times New Roman" w:hAnsi="Times New Roman" w:cs="Times New Roman"/>
          <w:sz w:val="28"/>
          <w:szCs w:val="28"/>
        </w:rPr>
        <w:t xml:space="preserve"> предметами, продаж ігрової валюти та відчуження облікових записів. За своєю економічною сутністю такі правочини нагадують традиційну купівлю-продаж, але їх юридична природа є складнішою через віртуальний характер предметів угоди та обмеження, встановлені ліцензійними угодами.</w:t>
      </w:r>
    </w:p>
    <w:p w14:paraId="6DAF74B3" w14:textId="63E089B3" w:rsidR="00442F0F" w:rsidRPr="002F6B86" w:rsidRDefault="00442F0F" w:rsidP="005F7FA5">
      <w:pPr>
        <w:pStyle w:val="ListParagraph"/>
        <w:numPr>
          <w:ilvl w:val="0"/>
          <w:numId w:val="1"/>
        </w:numPr>
        <w:spacing w:line="360" w:lineRule="auto"/>
        <w:jc w:val="both"/>
        <w:rPr>
          <w:rFonts w:ascii="Times New Roman" w:hAnsi="Times New Roman" w:cs="Times New Roman"/>
          <w:sz w:val="28"/>
          <w:szCs w:val="28"/>
        </w:rPr>
      </w:pPr>
      <w:r w:rsidRPr="002F6B86">
        <w:rPr>
          <w:rFonts w:ascii="Times New Roman" w:hAnsi="Times New Roman" w:cs="Times New Roman"/>
          <w:sz w:val="28"/>
          <w:szCs w:val="28"/>
        </w:rPr>
        <w:t xml:space="preserve">Правочини між гравцями та розробниками (P2D) </w:t>
      </w:r>
      <w:r w:rsidR="00426F30">
        <w:rPr>
          <w:rFonts w:ascii="Times New Roman" w:hAnsi="Times New Roman" w:cs="Times New Roman"/>
          <w:sz w:val="28"/>
          <w:szCs w:val="28"/>
        </w:rPr>
        <w:t>-</w:t>
      </w:r>
      <w:r w:rsidRPr="002F6B86">
        <w:rPr>
          <w:rFonts w:ascii="Times New Roman" w:hAnsi="Times New Roman" w:cs="Times New Roman"/>
          <w:sz w:val="28"/>
          <w:szCs w:val="28"/>
        </w:rPr>
        <w:t xml:space="preserve"> охоплюють придбання </w:t>
      </w:r>
      <w:proofErr w:type="spellStart"/>
      <w:r w:rsidRPr="002F6B86">
        <w:rPr>
          <w:rFonts w:ascii="Times New Roman" w:hAnsi="Times New Roman" w:cs="Times New Roman"/>
          <w:sz w:val="28"/>
          <w:szCs w:val="28"/>
        </w:rPr>
        <w:t>внутрішньоігрових</w:t>
      </w:r>
      <w:proofErr w:type="spellEnd"/>
      <w:r w:rsidRPr="002F6B86">
        <w:rPr>
          <w:rFonts w:ascii="Times New Roman" w:hAnsi="Times New Roman" w:cs="Times New Roman"/>
          <w:sz w:val="28"/>
          <w:szCs w:val="28"/>
        </w:rPr>
        <w:t xml:space="preserve"> предметів, валюти або послуг безпосередньо від розробника через вбудовані механізми </w:t>
      </w:r>
      <w:proofErr w:type="spellStart"/>
      <w:r w:rsidRPr="002F6B86">
        <w:rPr>
          <w:rFonts w:ascii="Times New Roman" w:hAnsi="Times New Roman" w:cs="Times New Roman"/>
          <w:sz w:val="28"/>
          <w:szCs w:val="28"/>
        </w:rPr>
        <w:t>мікротранзакцій</w:t>
      </w:r>
      <w:proofErr w:type="spellEnd"/>
      <w:r w:rsidRPr="002F6B86">
        <w:rPr>
          <w:rFonts w:ascii="Times New Roman" w:hAnsi="Times New Roman" w:cs="Times New Roman"/>
          <w:sz w:val="28"/>
          <w:szCs w:val="28"/>
        </w:rPr>
        <w:t>. Особливістю таких правочинів є те, що їх предметом фактично є лише обмежена ліцензія на використання цифрового контенту, а не передача права власності на нього.</w:t>
      </w:r>
    </w:p>
    <w:p w14:paraId="7F1CDC40" w14:textId="0CD3C63F" w:rsidR="00442F0F" w:rsidRPr="002F6B86" w:rsidRDefault="00442F0F" w:rsidP="005F7FA5">
      <w:pPr>
        <w:pStyle w:val="ListParagraph"/>
        <w:numPr>
          <w:ilvl w:val="0"/>
          <w:numId w:val="1"/>
        </w:numPr>
        <w:spacing w:line="360" w:lineRule="auto"/>
        <w:jc w:val="both"/>
        <w:rPr>
          <w:rFonts w:ascii="Times New Roman" w:hAnsi="Times New Roman" w:cs="Times New Roman"/>
          <w:sz w:val="28"/>
          <w:szCs w:val="28"/>
        </w:rPr>
      </w:pPr>
      <w:r w:rsidRPr="002F6B86">
        <w:rPr>
          <w:rFonts w:ascii="Times New Roman" w:hAnsi="Times New Roman" w:cs="Times New Roman"/>
          <w:sz w:val="28"/>
          <w:szCs w:val="28"/>
        </w:rPr>
        <w:t xml:space="preserve">Правочини між гравцями та ігровими платформами (P2PL) </w:t>
      </w:r>
      <w:r w:rsidR="00426F30">
        <w:rPr>
          <w:rFonts w:ascii="Times New Roman" w:hAnsi="Times New Roman" w:cs="Times New Roman"/>
          <w:sz w:val="28"/>
          <w:szCs w:val="28"/>
        </w:rPr>
        <w:t>-</w:t>
      </w:r>
      <w:r w:rsidRPr="002F6B86">
        <w:rPr>
          <w:rFonts w:ascii="Times New Roman" w:hAnsi="Times New Roman" w:cs="Times New Roman"/>
          <w:sz w:val="28"/>
          <w:szCs w:val="28"/>
        </w:rPr>
        <w:t xml:space="preserve"> включають придбання ігор, підписок та інших цифрових товарів через платформи дистрибуції на кшталт </w:t>
      </w:r>
      <w:proofErr w:type="spellStart"/>
      <w:r w:rsidRPr="002F6B86">
        <w:rPr>
          <w:rFonts w:ascii="Times New Roman" w:hAnsi="Times New Roman" w:cs="Times New Roman"/>
          <w:sz w:val="28"/>
          <w:szCs w:val="28"/>
        </w:rPr>
        <w:t>Steam</w:t>
      </w:r>
      <w:proofErr w:type="spellEnd"/>
      <w:r w:rsidRPr="002F6B86">
        <w:rPr>
          <w:rFonts w:ascii="Times New Roman" w:hAnsi="Times New Roman" w:cs="Times New Roman"/>
          <w:sz w:val="28"/>
          <w:szCs w:val="28"/>
        </w:rPr>
        <w:t xml:space="preserve">, </w:t>
      </w:r>
      <w:proofErr w:type="spellStart"/>
      <w:r w:rsidRPr="002F6B86">
        <w:rPr>
          <w:rFonts w:ascii="Times New Roman" w:hAnsi="Times New Roman" w:cs="Times New Roman"/>
          <w:sz w:val="28"/>
          <w:szCs w:val="28"/>
        </w:rPr>
        <w:t>Epic</w:t>
      </w:r>
      <w:proofErr w:type="spellEnd"/>
      <w:r w:rsidRPr="002F6B86">
        <w:rPr>
          <w:rFonts w:ascii="Times New Roman" w:hAnsi="Times New Roman" w:cs="Times New Roman"/>
          <w:sz w:val="28"/>
          <w:szCs w:val="28"/>
        </w:rPr>
        <w:t xml:space="preserve"> </w:t>
      </w:r>
      <w:proofErr w:type="spellStart"/>
      <w:r w:rsidRPr="002F6B86">
        <w:rPr>
          <w:rFonts w:ascii="Times New Roman" w:hAnsi="Times New Roman" w:cs="Times New Roman"/>
          <w:sz w:val="28"/>
          <w:szCs w:val="28"/>
        </w:rPr>
        <w:t>Games</w:t>
      </w:r>
      <w:proofErr w:type="spellEnd"/>
      <w:r w:rsidRPr="002F6B86">
        <w:rPr>
          <w:rFonts w:ascii="Times New Roman" w:hAnsi="Times New Roman" w:cs="Times New Roman"/>
          <w:sz w:val="28"/>
          <w:szCs w:val="28"/>
        </w:rPr>
        <w:t xml:space="preserve"> </w:t>
      </w:r>
      <w:proofErr w:type="spellStart"/>
      <w:r w:rsidRPr="002F6B86">
        <w:rPr>
          <w:rFonts w:ascii="Times New Roman" w:hAnsi="Times New Roman" w:cs="Times New Roman"/>
          <w:sz w:val="28"/>
          <w:szCs w:val="28"/>
        </w:rPr>
        <w:t>Store</w:t>
      </w:r>
      <w:proofErr w:type="spellEnd"/>
      <w:r w:rsidRPr="002F6B86">
        <w:rPr>
          <w:rFonts w:ascii="Times New Roman" w:hAnsi="Times New Roman" w:cs="Times New Roman"/>
          <w:sz w:val="28"/>
          <w:szCs w:val="28"/>
        </w:rPr>
        <w:t xml:space="preserve">, </w:t>
      </w:r>
      <w:proofErr w:type="spellStart"/>
      <w:r w:rsidRPr="002F6B86">
        <w:rPr>
          <w:rFonts w:ascii="Times New Roman" w:hAnsi="Times New Roman" w:cs="Times New Roman"/>
          <w:sz w:val="28"/>
          <w:szCs w:val="28"/>
        </w:rPr>
        <w:t>PlayStation</w:t>
      </w:r>
      <w:proofErr w:type="spellEnd"/>
      <w:r w:rsidRPr="002F6B86">
        <w:rPr>
          <w:rFonts w:ascii="Times New Roman" w:hAnsi="Times New Roman" w:cs="Times New Roman"/>
          <w:sz w:val="28"/>
          <w:szCs w:val="28"/>
        </w:rPr>
        <w:t xml:space="preserve"> </w:t>
      </w:r>
      <w:proofErr w:type="spellStart"/>
      <w:r w:rsidRPr="002F6B86">
        <w:rPr>
          <w:rFonts w:ascii="Times New Roman" w:hAnsi="Times New Roman" w:cs="Times New Roman"/>
          <w:sz w:val="28"/>
          <w:szCs w:val="28"/>
        </w:rPr>
        <w:t>Store</w:t>
      </w:r>
      <w:proofErr w:type="spellEnd"/>
      <w:r w:rsidRPr="002F6B86">
        <w:rPr>
          <w:rFonts w:ascii="Times New Roman" w:hAnsi="Times New Roman" w:cs="Times New Roman"/>
          <w:sz w:val="28"/>
          <w:szCs w:val="28"/>
        </w:rPr>
        <w:t xml:space="preserve"> тощо. Такі правочини зазвичай регулюються одночасно кількома договорами: угодою </w:t>
      </w:r>
      <w:r w:rsidRPr="002F6B86">
        <w:rPr>
          <w:rFonts w:ascii="Times New Roman" w:hAnsi="Times New Roman" w:cs="Times New Roman"/>
          <w:sz w:val="28"/>
          <w:szCs w:val="28"/>
        </w:rPr>
        <w:lastRenderedPageBreak/>
        <w:t>користувача з платформою, ліцензійною угодою кінцевого користувача для конкретної гри та політикою використання платформи.</w:t>
      </w:r>
    </w:p>
    <w:p w14:paraId="113A92BE" w14:textId="079677B0" w:rsidR="00442F0F" w:rsidRPr="002F6B86" w:rsidRDefault="00442F0F" w:rsidP="005F7FA5">
      <w:pPr>
        <w:pStyle w:val="ListParagraph"/>
        <w:numPr>
          <w:ilvl w:val="0"/>
          <w:numId w:val="1"/>
        </w:numPr>
        <w:spacing w:line="360" w:lineRule="auto"/>
        <w:jc w:val="both"/>
        <w:rPr>
          <w:rFonts w:ascii="Times New Roman" w:hAnsi="Times New Roman" w:cs="Times New Roman"/>
          <w:sz w:val="28"/>
          <w:szCs w:val="28"/>
        </w:rPr>
      </w:pPr>
      <w:r w:rsidRPr="002F6B86">
        <w:rPr>
          <w:rFonts w:ascii="Times New Roman" w:hAnsi="Times New Roman" w:cs="Times New Roman"/>
          <w:sz w:val="28"/>
          <w:szCs w:val="28"/>
        </w:rPr>
        <w:t xml:space="preserve">Правочини на третіх майданчиках (P2M) </w:t>
      </w:r>
      <w:r w:rsidR="00426F30">
        <w:rPr>
          <w:rFonts w:ascii="Times New Roman" w:hAnsi="Times New Roman" w:cs="Times New Roman"/>
          <w:sz w:val="28"/>
          <w:szCs w:val="28"/>
        </w:rPr>
        <w:t>-</w:t>
      </w:r>
      <w:r w:rsidRPr="002F6B86">
        <w:rPr>
          <w:rFonts w:ascii="Times New Roman" w:hAnsi="Times New Roman" w:cs="Times New Roman"/>
          <w:sz w:val="28"/>
          <w:szCs w:val="28"/>
        </w:rPr>
        <w:t xml:space="preserve"> охоплюють торгівлю ігровими предметами, акаунтами та іншими цифровими активами на сторонніх майданчиках, не пов'язаних безпосередньо з розробником або офіційною платформою (наприклад, сайти на кшталт </w:t>
      </w:r>
      <w:proofErr w:type="spellStart"/>
      <w:r w:rsidRPr="002F6B86">
        <w:rPr>
          <w:rFonts w:ascii="Times New Roman" w:hAnsi="Times New Roman" w:cs="Times New Roman"/>
          <w:sz w:val="28"/>
          <w:szCs w:val="28"/>
        </w:rPr>
        <w:t>PlayerAuctions</w:t>
      </w:r>
      <w:proofErr w:type="spellEnd"/>
      <w:r w:rsidRPr="002F6B86">
        <w:rPr>
          <w:rFonts w:ascii="Times New Roman" w:hAnsi="Times New Roman" w:cs="Times New Roman"/>
          <w:sz w:val="28"/>
          <w:szCs w:val="28"/>
        </w:rPr>
        <w:t xml:space="preserve">, </w:t>
      </w:r>
      <w:r w:rsidRPr="002F6B86">
        <w:rPr>
          <w:rFonts w:ascii="Times New Roman" w:hAnsi="Times New Roman" w:cs="Times New Roman"/>
          <w:sz w:val="28"/>
          <w:szCs w:val="28"/>
          <w:lang w:val="en-US"/>
        </w:rPr>
        <w:t>CS Money</w:t>
      </w:r>
      <w:r w:rsidRPr="002F6B86">
        <w:rPr>
          <w:rFonts w:ascii="Times New Roman" w:hAnsi="Times New Roman" w:cs="Times New Roman"/>
          <w:sz w:val="28"/>
          <w:szCs w:val="28"/>
        </w:rPr>
        <w:t xml:space="preserve"> тощо). Такі правочини часто перебувають у "сірій зоні" правового регулювання і можуть прямо порушувати умови ліцензійних угод.</w:t>
      </w:r>
    </w:p>
    <w:p w14:paraId="0F1C3082" w14:textId="77777777" w:rsidR="00442F0F" w:rsidRPr="002F6B86" w:rsidRDefault="00442F0F" w:rsidP="005F7FA5">
      <w:pPr>
        <w:spacing w:line="360" w:lineRule="auto"/>
        <w:contextualSpacing/>
        <w:jc w:val="both"/>
        <w:rPr>
          <w:rFonts w:ascii="Times New Roman" w:hAnsi="Times New Roman" w:cs="Times New Roman"/>
          <w:sz w:val="28"/>
          <w:szCs w:val="28"/>
        </w:rPr>
      </w:pPr>
      <w:r w:rsidRPr="002F6B86">
        <w:rPr>
          <w:rFonts w:ascii="Times New Roman" w:hAnsi="Times New Roman" w:cs="Times New Roman"/>
          <w:sz w:val="28"/>
          <w:szCs w:val="28"/>
          <w:lang w:val="en-US"/>
        </w:rPr>
        <w:tab/>
      </w:r>
      <w:r w:rsidRPr="002F6B86">
        <w:rPr>
          <w:rFonts w:ascii="Times New Roman" w:hAnsi="Times New Roman" w:cs="Times New Roman"/>
          <w:sz w:val="28"/>
          <w:szCs w:val="28"/>
        </w:rPr>
        <w:t>Правова кваліфікація правочинів у комп'ютерних іграх є предметом активних дискусій у юридичній науці та практиці. Ключове питання полягає в тому, чи можна застосовувати традиційні цивільно-правові конструкції до правочинів з віртуальними товарами.</w:t>
      </w:r>
    </w:p>
    <w:p w14:paraId="477DA885" w14:textId="7EC56EEA" w:rsidR="00442F0F" w:rsidRPr="002F6B86" w:rsidRDefault="00442F0F" w:rsidP="005F7FA5">
      <w:pPr>
        <w:spacing w:line="360" w:lineRule="auto"/>
        <w:ind w:firstLine="708"/>
        <w:contextualSpacing/>
        <w:jc w:val="both"/>
        <w:rPr>
          <w:rFonts w:ascii="Times New Roman" w:hAnsi="Times New Roman" w:cs="Times New Roman"/>
          <w:sz w:val="28"/>
          <w:szCs w:val="28"/>
        </w:rPr>
      </w:pPr>
      <w:r w:rsidRPr="002F6B86">
        <w:rPr>
          <w:rFonts w:ascii="Times New Roman" w:hAnsi="Times New Roman" w:cs="Times New Roman"/>
          <w:b/>
          <w:bCs/>
          <w:sz w:val="28"/>
          <w:szCs w:val="28"/>
        </w:rPr>
        <w:t>Правочини з придбання комп'ютерних ігор</w:t>
      </w:r>
      <w:r w:rsidRPr="002F6B86">
        <w:rPr>
          <w:rFonts w:ascii="Times New Roman" w:hAnsi="Times New Roman" w:cs="Times New Roman"/>
          <w:sz w:val="28"/>
          <w:szCs w:val="28"/>
        </w:rPr>
        <w:t xml:space="preserve"> з правової точки зору є не купівлею-</w:t>
      </w:r>
      <w:proofErr w:type="spellStart"/>
      <w:r w:rsidRPr="002F6B86">
        <w:rPr>
          <w:rFonts w:ascii="Times New Roman" w:hAnsi="Times New Roman" w:cs="Times New Roman"/>
          <w:sz w:val="28"/>
          <w:szCs w:val="28"/>
        </w:rPr>
        <w:t>продажем</w:t>
      </w:r>
      <w:proofErr w:type="spellEnd"/>
      <w:r w:rsidRPr="002F6B86">
        <w:rPr>
          <w:rFonts w:ascii="Times New Roman" w:hAnsi="Times New Roman" w:cs="Times New Roman"/>
          <w:sz w:val="28"/>
          <w:szCs w:val="28"/>
        </w:rPr>
        <w:t xml:space="preserve"> програмного забезпечення як товару, а наданням ліцензії на використання об'єкта права інтелектуальної власності. Згідно з типовою ліцензійною угодою кінцевого користувача (EULA), гравець отримує лише "обмежену, невиключну, відкличну ліцензію на доступ та використання програмного забезпечення для особистих некомерційних розважальних цілей"</w:t>
      </w:r>
      <w:r w:rsidR="005F7FA5">
        <w:rPr>
          <w:rFonts w:ascii="Times New Roman" w:hAnsi="Times New Roman" w:cs="Times New Roman"/>
          <w:sz w:val="28"/>
          <w:szCs w:val="28"/>
          <w:lang w:val="en-US"/>
        </w:rPr>
        <w:t>[1]</w:t>
      </w:r>
      <w:r w:rsidRPr="002F6B86">
        <w:rPr>
          <w:rFonts w:ascii="Times New Roman" w:hAnsi="Times New Roman" w:cs="Times New Roman"/>
          <w:sz w:val="28"/>
          <w:szCs w:val="28"/>
        </w:rPr>
        <w:t xml:space="preserve">. Такий підхід було підтверджено в рішенні Суду ЄС у справі </w:t>
      </w:r>
      <w:proofErr w:type="spellStart"/>
      <w:r w:rsidRPr="002F6B86">
        <w:rPr>
          <w:rFonts w:ascii="Times New Roman" w:hAnsi="Times New Roman" w:cs="Times New Roman"/>
          <w:sz w:val="28"/>
          <w:szCs w:val="28"/>
        </w:rPr>
        <w:t>UsedSoft</w:t>
      </w:r>
      <w:proofErr w:type="spellEnd"/>
      <w:r w:rsidRPr="002F6B86">
        <w:rPr>
          <w:rFonts w:ascii="Times New Roman" w:hAnsi="Times New Roman" w:cs="Times New Roman"/>
          <w:sz w:val="28"/>
          <w:szCs w:val="28"/>
        </w:rPr>
        <w:t xml:space="preserve"> </w:t>
      </w:r>
      <w:proofErr w:type="spellStart"/>
      <w:r w:rsidRPr="002F6B86">
        <w:rPr>
          <w:rFonts w:ascii="Times New Roman" w:hAnsi="Times New Roman" w:cs="Times New Roman"/>
          <w:sz w:val="28"/>
          <w:szCs w:val="28"/>
        </w:rPr>
        <w:t>GmbH</w:t>
      </w:r>
      <w:proofErr w:type="spellEnd"/>
      <w:r w:rsidRPr="002F6B86">
        <w:rPr>
          <w:rFonts w:ascii="Times New Roman" w:hAnsi="Times New Roman" w:cs="Times New Roman"/>
          <w:sz w:val="28"/>
          <w:szCs w:val="28"/>
        </w:rPr>
        <w:t xml:space="preserve"> v. </w:t>
      </w:r>
      <w:proofErr w:type="spellStart"/>
      <w:r w:rsidRPr="002F6B86">
        <w:rPr>
          <w:rFonts w:ascii="Times New Roman" w:hAnsi="Times New Roman" w:cs="Times New Roman"/>
          <w:sz w:val="28"/>
          <w:szCs w:val="28"/>
        </w:rPr>
        <w:t>Oracle</w:t>
      </w:r>
      <w:proofErr w:type="spellEnd"/>
      <w:r w:rsidRPr="002F6B86">
        <w:rPr>
          <w:rFonts w:ascii="Times New Roman" w:hAnsi="Times New Roman" w:cs="Times New Roman"/>
          <w:sz w:val="28"/>
          <w:szCs w:val="28"/>
        </w:rPr>
        <w:t xml:space="preserve"> </w:t>
      </w:r>
      <w:proofErr w:type="spellStart"/>
      <w:r w:rsidRPr="002F6B86">
        <w:rPr>
          <w:rFonts w:ascii="Times New Roman" w:hAnsi="Times New Roman" w:cs="Times New Roman"/>
          <w:sz w:val="28"/>
          <w:szCs w:val="28"/>
        </w:rPr>
        <w:t>International</w:t>
      </w:r>
      <w:proofErr w:type="spellEnd"/>
      <w:r w:rsidRPr="002F6B86">
        <w:rPr>
          <w:rFonts w:ascii="Times New Roman" w:hAnsi="Times New Roman" w:cs="Times New Roman"/>
          <w:sz w:val="28"/>
          <w:szCs w:val="28"/>
        </w:rPr>
        <w:t xml:space="preserve"> </w:t>
      </w:r>
      <w:proofErr w:type="spellStart"/>
      <w:r w:rsidRPr="002F6B86">
        <w:rPr>
          <w:rFonts w:ascii="Times New Roman" w:hAnsi="Times New Roman" w:cs="Times New Roman"/>
          <w:sz w:val="28"/>
          <w:szCs w:val="28"/>
        </w:rPr>
        <w:t>Corp</w:t>
      </w:r>
      <w:proofErr w:type="spellEnd"/>
      <w:r w:rsidRPr="002F6B86">
        <w:rPr>
          <w:rFonts w:ascii="Times New Roman" w:hAnsi="Times New Roman" w:cs="Times New Roman"/>
          <w:sz w:val="28"/>
          <w:szCs w:val="28"/>
        </w:rPr>
        <w:t>. (C-128/11), де суд зазначив, що придбання програмного забезпечення є придбанням обмеженої ліцензії, а не товару в традиційному розумінні</w:t>
      </w:r>
      <w:r w:rsidR="005F7FA5">
        <w:rPr>
          <w:rFonts w:ascii="Times New Roman" w:hAnsi="Times New Roman" w:cs="Times New Roman"/>
          <w:sz w:val="28"/>
          <w:szCs w:val="28"/>
          <w:lang w:val="en-US"/>
        </w:rPr>
        <w:t>[2]</w:t>
      </w:r>
      <w:r w:rsidRPr="002F6B86">
        <w:rPr>
          <w:rFonts w:ascii="Times New Roman" w:hAnsi="Times New Roman" w:cs="Times New Roman"/>
          <w:sz w:val="28"/>
          <w:szCs w:val="28"/>
        </w:rPr>
        <w:t>.</w:t>
      </w:r>
    </w:p>
    <w:p w14:paraId="3AB6C01F" w14:textId="77777777" w:rsidR="00442F0F" w:rsidRPr="002F6B86" w:rsidRDefault="00442F0F" w:rsidP="005F7FA5">
      <w:pPr>
        <w:spacing w:line="360" w:lineRule="auto"/>
        <w:ind w:firstLine="708"/>
        <w:contextualSpacing/>
        <w:jc w:val="both"/>
        <w:rPr>
          <w:rFonts w:ascii="Times New Roman" w:hAnsi="Times New Roman" w:cs="Times New Roman"/>
          <w:sz w:val="28"/>
          <w:szCs w:val="28"/>
        </w:rPr>
      </w:pPr>
      <w:proofErr w:type="spellStart"/>
      <w:r w:rsidRPr="002F6B86">
        <w:rPr>
          <w:rFonts w:ascii="Times New Roman" w:hAnsi="Times New Roman" w:cs="Times New Roman"/>
          <w:b/>
          <w:bCs/>
          <w:sz w:val="28"/>
          <w:szCs w:val="28"/>
        </w:rPr>
        <w:t>Внутрішньоігрові</w:t>
      </w:r>
      <w:proofErr w:type="spellEnd"/>
      <w:r w:rsidRPr="002F6B86">
        <w:rPr>
          <w:rFonts w:ascii="Times New Roman" w:hAnsi="Times New Roman" w:cs="Times New Roman"/>
          <w:b/>
          <w:bCs/>
          <w:sz w:val="28"/>
          <w:szCs w:val="28"/>
        </w:rPr>
        <w:t xml:space="preserve"> </w:t>
      </w:r>
      <w:proofErr w:type="spellStart"/>
      <w:r w:rsidRPr="002F6B86">
        <w:rPr>
          <w:rFonts w:ascii="Times New Roman" w:hAnsi="Times New Roman" w:cs="Times New Roman"/>
          <w:b/>
          <w:bCs/>
          <w:sz w:val="28"/>
          <w:szCs w:val="28"/>
        </w:rPr>
        <w:t>мікротранзакції</w:t>
      </w:r>
      <w:proofErr w:type="spellEnd"/>
      <w:r w:rsidRPr="002F6B86">
        <w:rPr>
          <w:rFonts w:ascii="Times New Roman" w:hAnsi="Times New Roman" w:cs="Times New Roman"/>
          <w:sz w:val="28"/>
          <w:szCs w:val="28"/>
        </w:rPr>
        <w:t xml:space="preserve"> також мають складну правову природу. З одного боку, вони мають ознаки договору купівлі-продажу, оскільки передбачають оплату та отримання певного віртуального товару. З іншого боку, згідно з більшістю ліцензійних угод, такі транзакції є лише "наданням ліцензії на використання віртуального контенту без передачі права власності на нього". Наприклад, у Ліцензійній угоді </w:t>
      </w:r>
      <w:proofErr w:type="spellStart"/>
      <w:r w:rsidRPr="002F6B86">
        <w:rPr>
          <w:rFonts w:ascii="Times New Roman" w:hAnsi="Times New Roman" w:cs="Times New Roman"/>
          <w:sz w:val="28"/>
          <w:szCs w:val="28"/>
        </w:rPr>
        <w:t>Valve</w:t>
      </w:r>
      <w:proofErr w:type="spellEnd"/>
      <w:r w:rsidRPr="002F6B86">
        <w:rPr>
          <w:rFonts w:ascii="Times New Roman" w:hAnsi="Times New Roman" w:cs="Times New Roman"/>
          <w:sz w:val="28"/>
          <w:szCs w:val="28"/>
        </w:rPr>
        <w:t xml:space="preserve"> </w:t>
      </w:r>
      <w:proofErr w:type="spellStart"/>
      <w:r w:rsidRPr="002F6B86">
        <w:rPr>
          <w:rFonts w:ascii="Times New Roman" w:hAnsi="Times New Roman" w:cs="Times New Roman"/>
          <w:sz w:val="28"/>
          <w:szCs w:val="28"/>
        </w:rPr>
        <w:t>Corporation</w:t>
      </w:r>
      <w:proofErr w:type="spellEnd"/>
      <w:r w:rsidRPr="002F6B86">
        <w:rPr>
          <w:rFonts w:ascii="Times New Roman" w:hAnsi="Times New Roman" w:cs="Times New Roman"/>
          <w:sz w:val="28"/>
          <w:szCs w:val="28"/>
        </w:rPr>
        <w:t xml:space="preserve"> (</w:t>
      </w:r>
      <w:proofErr w:type="spellStart"/>
      <w:r w:rsidRPr="002F6B86">
        <w:rPr>
          <w:rFonts w:ascii="Times New Roman" w:hAnsi="Times New Roman" w:cs="Times New Roman"/>
          <w:sz w:val="28"/>
          <w:szCs w:val="28"/>
        </w:rPr>
        <w:t>Steam</w:t>
      </w:r>
      <w:proofErr w:type="spellEnd"/>
      <w:r w:rsidRPr="002F6B86">
        <w:rPr>
          <w:rFonts w:ascii="Times New Roman" w:hAnsi="Times New Roman" w:cs="Times New Roman"/>
          <w:sz w:val="28"/>
          <w:szCs w:val="28"/>
        </w:rPr>
        <w:t xml:space="preserve">) зазначено: "Віртуальні предмети не мають жодної грошової вартості і не є власністю... </w:t>
      </w:r>
      <w:proofErr w:type="spellStart"/>
      <w:r w:rsidRPr="002F6B86">
        <w:rPr>
          <w:rFonts w:ascii="Times New Roman" w:hAnsi="Times New Roman" w:cs="Times New Roman"/>
          <w:sz w:val="28"/>
          <w:szCs w:val="28"/>
        </w:rPr>
        <w:t>Valve</w:t>
      </w:r>
      <w:proofErr w:type="spellEnd"/>
      <w:r w:rsidRPr="002F6B86">
        <w:rPr>
          <w:rFonts w:ascii="Times New Roman" w:hAnsi="Times New Roman" w:cs="Times New Roman"/>
          <w:sz w:val="28"/>
          <w:szCs w:val="28"/>
        </w:rPr>
        <w:t xml:space="preserve"> не визнає жодних претензій щодо права власності на віртуальні предмети...".</w:t>
      </w:r>
    </w:p>
    <w:p w14:paraId="0FF53BE2" w14:textId="432F9B98" w:rsidR="00442F0F" w:rsidRPr="002F6B86" w:rsidRDefault="00442F0F" w:rsidP="005F7FA5">
      <w:pPr>
        <w:spacing w:line="360" w:lineRule="auto"/>
        <w:ind w:firstLine="708"/>
        <w:contextualSpacing/>
        <w:jc w:val="both"/>
        <w:rPr>
          <w:rFonts w:ascii="Times New Roman" w:hAnsi="Times New Roman" w:cs="Times New Roman"/>
          <w:sz w:val="28"/>
          <w:szCs w:val="28"/>
        </w:rPr>
      </w:pPr>
      <w:r w:rsidRPr="002F6B86">
        <w:rPr>
          <w:rFonts w:ascii="Times New Roman" w:hAnsi="Times New Roman" w:cs="Times New Roman"/>
          <w:sz w:val="28"/>
          <w:szCs w:val="28"/>
        </w:rPr>
        <w:lastRenderedPageBreak/>
        <w:t xml:space="preserve">Особливу категорію становлять </w:t>
      </w:r>
      <w:r w:rsidRPr="002F6B86">
        <w:rPr>
          <w:rFonts w:ascii="Times New Roman" w:hAnsi="Times New Roman" w:cs="Times New Roman"/>
          <w:b/>
          <w:bCs/>
          <w:sz w:val="28"/>
          <w:szCs w:val="28"/>
        </w:rPr>
        <w:t xml:space="preserve">правочини з придбання </w:t>
      </w:r>
      <w:proofErr w:type="spellStart"/>
      <w:r w:rsidRPr="002F6B86">
        <w:rPr>
          <w:rFonts w:ascii="Times New Roman" w:hAnsi="Times New Roman" w:cs="Times New Roman"/>
          <w:b/>
          <w:bCs/>
          <w:sz w:val="28"/>
          <w:szCs w:val="28"/>
        </w:rPr>
        <w:t>лутбоксів</w:t>
      </w:r>
      <w:proofErr w:type="spellEnd"/>
      <w:r w:rsidRPr="002F6B86">
        <w:rPr>
          <w:rFonts w:ascii="Times New Roman" w:hAnsi="Times New Roman" w:cs="Times New Roman"/>
          <w:sz w:val="28"/>
          <w:szCs w:val="28"/>
        </w:rPr>
        <w:t xml:space="preserve"> (контейнерів з випадковим вмістом). Їхня правова природа </w:t>
      </w:r>
      <w:proofErr w:type="spellStart"/>
      <w:r w:rsidRPr="002F6B86">
        <w:rPr>
          <w:rFonts w:ascii="Times New Roman" w:hAnsi="Times New Roman" w:cs="Times New Roman"/>
          <w:sz w:val="28"/>
          <w:szCs w:val="28"/>
        </w:rPr>
        <w:t>ускладнюється</w:t>
      </w:r>
      <w:proofErr w:type="spellEnd"/>
      <w:r w:rsidRPr="002F6B86">
        <w:rPr>
          <w:rFonts w:ascii="Times New Roman" w:hAnsi="Times New Roman" w:cs="Times New Roman"/>
          <w:sz w:val="28"/>
          <w:szCs w:val="28"/>
        </w:rPr>
        <w:t xml:space="preserve"> елементом випадковості, що наближає такі транзакції до азартних ігор. У деяких країнах, наприклад, у Бельгії та Нідерландах, </w:t>
      </w:r>
      <w:proofErr w:type="spellStart"/>
      <w:r w:rsidRPr="002F6B86">
        <w:rPr>
          <w:rFonts w:ascii="Times New Roman" w:hAnsi="Times New Roman" w:cs="Times New Roman"/>
          <w:sz w:val="28"/>
          <w:szCs w:val="28"/>
        </w:rPr>
        <w:t>лутбокси</w:t>
      </w:r>
      <w:proofErr w:type="spellEnd"/>
      <w:r w:rsidRPr="002F6B86">
        <w:rPr>
          <w:rFonts w:ascii="Times New Roman" w:hAnsi="Times New Roman" w:cs="Times New Roman"/>
          <w:sz w:val="28"/>
          <w:szCs w:val="28"/>
        </w:rPr>
        <w:t xml:space="preserve"> вже визнані різновидом азартних ігор і підлягають відповідному регулюванню</w:t>
      </w:r>
      <w:r w:rsidR="005F7FA5">
        <w:rPr>
          <w:rFonts w:ascii="Times New Roman" w:hAnsi="Times New Roman" w:cs="Times New Roman"/>
          <w:sz w:val="28"/>
          <w:szCs w:val="28"/>
          <w:lang w:val="en-US"/>
        </w:rPr>
        <w:t>[3]</w:t>
      </w:r>
      <w:r w:rsidRPr="002F6B86">
        <w:rPr>
          <w:rFonts w:ascii="Times New Roman" w:hAnsi="Times New Roman" w:cs="Times New Roman"/>
          <w:sz w:val="28"/>
          <w:szCs w:val="28"/>
        </w:rPr>
        <w:t xml:space="preserve">. В Україні це питання залишається неврегульованим, хоча Закон України "Про державне регулювання діяльності щодо організації та проведення азартних ігор" від 14.07.2020 № 768-IX потенційно може бути застосований до </w:t>
      </w:r>
      <w:proofErr w:type="spellStart"/>
      <w:r w:rsidRPr="002F6B86">
        <w:rPr>
          <w:rFonts w:ascii="Times New Roman" w:hAnsi="Times New Roman" w:cs="Times New Roman"/>
          <w:sz w:val="28"/>
          <w:szCs w:val="28"/>
        </w:rPr>
        <w:t>лутбоксів</w:t>
      </w:r>
      <w:proofErr w:type="spellEnd"/>
      <w:r w:rsidRPr="002F6B86">
        <w:rPr>
          <w:rFonts w:ascii="Times New Roman" w:hAnsi="Times New Roman" w:cs="Times New Roman"/>
          <w:sz w:val="28"/>
          <w:szCs w:val="28"/>
        </w:rPr>
        <w:t xml:space="preserve"> за умови їх кваліфікації як азартних ігор</w:t>
      </w:r>
      <w:r w:rsidR="005F7FA5">
        <w:rPr>
          <w:rFonts w:ascii="Times New Roman" w:hAnsi="Times New Roman" w:cs="Times New Roman"/>
          <w:sz w:val="28"/>
          <w:szCs w:val="28"/>
          <w:lang w:val="en-US"/>
        </w:rPr>
        <w:t>[4]</w:t>
      </w:r>
      <w:r w:rsidRPr="002F6B86">
        <w:rPr>
          <w:rFonts w:ascii="Times New Roman" w:hAnsi="Times New Roman" w:cs="Times New Roman"/>
          <w:sz w:val="28"/>
          <w:szCs w:val="28"/>
        </w:rPr>
        <w:t>.</w:t>
      </w:r>
    </w:p>
    <w:p w14:paraId="4E06FFAD" w14:textId="33746FA2" w:rsidR="00442F0F" w:rsidRPr="005F7FA5" w:rsidRDefault="00442F0F" w:rsidP="005F7FA5">
      <w:pPr>
        <w:spacing w:line="360" w:lineRule="auto"/>
        <w:ind w:firstLine="708"/>
        <w:contextualSpacing/>
        <w:jc w:val="both"/>
        <w:rPr>
          <w:rFonts w:ascii="Times New Roman" w:hAnsi="Times New Roman" w:cs="Times New Roman"/>
          <w:sz w:val="28"/>
          <w:szCs w:val="28"/>
          <w:lang w:val="en-US"/>
        </w:rPr>
      </w:pPr>
      <w:r w:rsidRPr="002F6B86">
        <w:rPr>
          <w:rFonts w:ascii="Times New Roman" w:hAnsi="Times New Roman" w:cs="Times New Roman"/>
          <w:b/>
          <w:bCs/>
          <w:sz w:val="28"/>
          <w:szCs w:val="28"/>
        </w:rPr>
        <w:t>Правочини між гравцями з передачі віртуальних предметів</w:t>
      </w:r>
      <w:r w:rsidRPr="002F6B86">
        <w:rPr>
          <w:rFonts w:ascii="Times New Roman" w:hAnsi="Times New Roman" w:cs="Times New Roman"/>
          <w:sz w:val="28"/>
          <w:szCs w:val="28"/>
        </w:rPr>
        <w:t xml:space="preserve"> найчастіше можна кваліфікувати як договори міни або купівлі-продажу відповідно до ст. 655 та ст. 715 ЦК України. Проте їх юридична сила обмежується ліцензійними угодами, які зазвичай забороняють такі правочини або обмежують їх певними платформами. Наприклад, </w:t>
      </w:r>
      <w:proofErr w:type="spellStart"/>
      <w:r w:rsidRPr="002F6B86">
        <w:rPr>
          <w:rFonts w:ascii="Times New Roman" w:hAnsi="Times New Roman" w:cs="Times New Roman"/>
          <w:sz w:val="28"/>
          <w:szCs w:val="28"/>
        </w:rPr>
        <w:t>Steam</w:t>
      </w:r>
      <w:proofErr w:type="spellEnd"/>
      <w:r w:rsidRPr="002F6B86">
        <w:rPr>
          <w:rFonts w:ascii="Times New Roman" w:hAnsi="Times New Roman" w:cs="Times New Roman"/>
          <w:sz w:val="28"/>
          <w:szCs w:val="28"/>
        </w:rPr>
        <w:t xml:space="preserve"> дозволяє торгівлю певними віртуальними предметами через свій Торговий майданчик, але забороняє торгівлю за межами цієї системи</w:t>
      </w:r>
      <w:r w:rsidR="005F7FA5">
        <w:rPr>
          <w:rFonts w:ascii="Times New Roman" w:hAnsi="Times New Roman" w:cs="Times New Roman"/>
          <w:sz w:val="28"/>
          <w:szCs w:val="28"/>
          <w:lang w:val="en-US"/>
        </w:rPr>
        <w:t>[5].</w:t>
      </w:r>
    </w:p>
    <w:p w14:paraId="7D8B80FC" w14:textId="77777777" w:rsidR="00442F0F" w:rsidRPr="002F6B86" w:rsidRDefault="00442F0F" w:rsidP="005F7FA5">
      <w:pPr>
        <w:spacing w:line="360" w:lineRule="auto"/>
        <w:ind w:firstLine="708"/>
        <w:contextualSpacing/>
        <w:jc w:val="both"/>
        <w:rPr>
          <w:rFonts w:ascii="Times New Roman" w:hAnsi="Times New Roman" w:cs="Times New Roman"/>
          <w:sz w:val="28"/>
          <w:szCs w:val="28"/>
        </w:rPr>
      </w:pPr>
      <w:r w:rsidRPr="002F6B86">
        <w:rPr>
          <w:rFonts w:ascii="Times New Roman" w:hAnsi="Times New Roman" w:cs="Times New Roman"/>
          <w:sz w:val="28"/>
          <w:szCs w:val="28"/>
        </w:rPr>
        <w:t>Вступ у дію змін до ЦК України, що визнають цифрові речі об'єктами цивільних прав, створює потенційну колізію між договірним регулюванням, встановленим ліцензійними угодами, та нормами цивільного законодавства.</w:t>
      </w:r>
    </w:p>
    <w:p w14:paraId="6BE04E63" w14:textId="77777777" w:rsidR="00442F0F" w:rsidRPr="002F6B86" w:rsidRDefault="00442F0F" w:rsidP="005F7FA5">
      <w:pPr>
        <w:spacing w:line="360" w:lineRule="auto"/>
        <w:ind w:firstLine="708"/>
        <w:contextualSpacing/>
        <w:jc w:val="both"/>
        <w:rPr>
          <w:rFonts w:ascii="Times New Roman" w:hAnsi="Times New Roman" w:cs="Times New Roman"/>
          <w:sz w:val="28"/>
          <w:szCs w:val="28"/>
        </w:rPr>
      </w:pPr>
      <w:r w:rsidRPr="002F6B86">
        <w:rPr>
          <w:rFonts w:ascii="Times New Roman" w:hAnsi="Times New Roman" w:cs="Times New Roman"/>
          <w:sz w:val="28"/>
          <w:szCs w:val="28"/>
        </w:rPr>
        <w:t>Виникає питання: якщо віртуальні предмети є цифровими речами згідно з ст. 179-1 ЦК України, чи можуть положення ліцензійних угод, що обмежують право розпоряджання ними, суперечити загальним принципам права власності?</w:t>
      </w:r>
    </w:p>
    <w:p w14:paraId="172C1C23" w14:textId="77777777" w:rsidR="00442F0F" w:rsidRPr="002F6B86" w:rsidRDefault="00442F0F" w:rsidP="005F7FA5">
      <w:pPr>
        <w:spacing w:line="360" w:lineRule="auto"/>
        <w:ind w:firstLine="708"/>
        <w:contextualSpacing/>
        <w:jc w:val="both"/>
        <w:rPr>
          <w:rFonts w:ascii="Times New Roman" w:hAnsi="Times New Roman" w:cs="Times New Roman"/>
          <w:sz w:val="28"/>
          <w:szCs w:val="28"/>
        </w:rPr>
      </w:pPr>
      <w:r w:rsidRPr="002F6B86">
        <w:rPr>
          <w:rFonts w:ascii="Times New Roman" w:hAnsi="Times New Roman" w:cs="Times New Roman"/>
          <w:sz w:val="28"/>
          <w:szCs w:val="28"/>
        </w:rPr>
        <w:t>Для вирішення цієї колізії слід звернутися до ч. 2 ст. 179-1 ЦК України, яка передбачає, що до цифрових речей застосовуються положення Кодексу про речі, "якщо інше не встановлено цим Кодексом, законом або не випливає із сутності цифрової речі". Саме положення щодо "сутності цифрової речі" може бути використане для обґрунтування особливого режиму віртуальних предметів у іграх, що включає обмеження, встановлені ліцензійними угодами.</w:t>
      </w:r>
    </w:p>
    <w:p w14:paraId="12401B0C" w14:textId="77777777" w:rsidR="00442F0F" w:rsidRPr="002F6B86" w:rsidRDefault="00442F0F" w:rsidP="005F7FA5">
      <w:pPr>
        <w:spacing w:line="360" w:lineRule="auto"/>
        <w:ind w:firstLine="708"/>
        <w:contextualSpacing/>
        <w:jc w:val="both"/>
        <w:rPr>
          <w:rFonts w:ascii="Times New Roman" w:hAnsi="Times New Roman" w:cs="Times New Roman"/>
          <w:sz w:val="28"/>
          <w:szCs w:val="28"/>
        </w:rPr>
      </w:pPr>
      <w:r w:rsidRPr="002F6B86">
        <w:rPr>
          <w:rFonts w:ascii="Times New Roman" w:hAnsi="Times New Roman" w:cs="Times New Roman"/>
          <w:sz w:val="28"/>
          <w:szCs w:val="28"/>
        </w:rPr>
        <w:t xml:space="preserve">Водночас, відповідно до ст. 203 та ст. 215 ЦК України, правочин може бути визнаний недійсним, якщо він суперечить актам цивільного законодавства та моральним засадам суспільства. Отже, якщо положення ліцензійних угод суттєво </w:t>
      </w:r>
      <w:r w:rsidRPr="002F6B86">
        <w:rPr>
          <w:rFonts w:ascii="Times New Roman" w:hAnsi="Times New Roman" w:cs="Times New Roman"/>
          <w:sz w:val="28"/>
          <w:szCs w:val="28"/>
        </w:rPr>
        <w:lastRenderedPageBreak/>
        <w:t>обмежують права користувачів на розпоряджання цифровими речами, вони потенційно можуть бути оскаржені в судовому порядку.</w:t>
      </w:r>
    </w:p>
    <w:p w14:paraId="405A54E8" w14:textId="77777777" w:rsidR="00442F0F" w:rsidRDefault="00442F0F" w:rsidP="005F7FA5">
      <w:pPr>
        <w:spacing w:line="360" w:lineRule="auto"/>
        <w:ind w:firstLine="708"/>
        <w:contextualSpacing/>
        <w:jc w:val="both"/>
        <w:rPr>
          <w:rFonts w:ascii="Times New Roman" w:hAnsi="Times New Roman" w:cs="Times New Roman"/>
          <w:sz w:val="28"/>
          <w:szCs w:val="28"/>
          <w:lang w:val="en-US"/>
        </w:rPr>
      </w:pPr>
      <w:r w:rsidRPr="002F6B86">
        <w:rPr>
          <w:rFonts w:ascii="Times New Roman" w:hAnsi="Times New Roman" w:cs="Times New Roman"/>
          <w:sz w:val="28"/>
          <w:szCs w:val="28"/>
        </w:rPr>
        <w:t>Отож правочини у комп'ютерних іграх становлять унікальне правове явище, яке перебуває на перетині традиційного договірного права, права інтелектуальної власності та нових концепцій, пов'язаних з цифровими об'єктами. Їх правова природа характеризується дуалізмом: з одного боку, вони мають ознаки традиційних цивільно-правових договорів (купівля-продаж, міна, надання послуг); з іншого — їх предметом є особливі цифрові об'єкти, які одночасно підпадають під режим права інтелектуальної власності.</w:t>
      </w:r>
    </w:p>
    <w:p w14:paraId="207089BB" w14:textId="0D54B9D4" w:rsidR="00B86303" w:rsidRPr="00B86303" w:rsidRDefault="00B86303" w:rsidP="00B86303">
      <w:pPr>
        <w:spacing w:line="360" w:lineRule="auto"/>
        <w:ind w:firstLine="708"/>
        <w:contextualSpacing/>
        <w:jc w:val="center"/>
        <w:rPr>
          <w:rFonts w:ascii="Times New Roman" w:hAnsi="Times New Roman" w:cs="Times New Roman"/>
          <w:b/>
          <w:bCs/>
        </w:rPr>
      </w:pPr>
      <w:r w:rsidRPr="00B86303">
        <w:rPr>
          <w:rFonts w:ascii="Times New Roman" w:hAnsi="Times New Roman" w:cs="Times New Roman"/>
          <w:b/>
          <w:bCs/>
        </w:rPr>
        <w:t>Література</w:t>
      </w:r>
    </w:p>
    <w:p w14:paraId="58DCDD9E" w14:textId="6F1989F6" w:rsidR="00442F0F" w:rsidRPr="005F7FA5" w:rsidRDefault="00442F0F" w:rsidP="005F7FA5">
      <w:pPr>
        <w:pStyle w:val="ListParagraph"/>
        <w:numPr>
          <w:ilvl w:val="0"/>
          <w:numId w:val="2"/>
        </w:numPr>
        <w:spacing w:line="360" w:lineRule="auto"/>
        <w:jc w:val="both"/>
        <w:rPr>
          <w:rFonts w:ascii="Times New Roman" w:hAnsi="Times New Roman" w:cs="Times New Roman"/>
        </w:rPr>
      </w:pPr>
      <w:proofErr w:type="spellStart"/>
      <w:r w:rsidRPr="005F7FA5">
        <w:rPr>
          <w:rFonts w:ascii="Times New Roman" w:hAnsi="Times New Roman" w:cs="Times New Roman"/>
        </w:rPr>
        <w:t>Steam</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Subscriber</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Agreement</w:t>
      </w:r>
      <w:proofErr w:type="spellEnd"/>
      <w:r w:rsidRPr="005F7FA5">
        <w:rPr>
          <w:rFonts w:ascii="Times New Roman" w:hAnsi="Times New Roman" w:cs="Times New Roman"/>
        </w:rPr>
        <w:t xml:space="preserve"> // </w:t>
      </w:r>
      <w:proofErr w:type="spellStart"/>
      <w:r w:rsidRPr="005F7FA5">
        <w:rPr>
          <w:rFonts w:ascii="Times New Roman" w:hAnsi="Times New Roman" w:cs="Times New Roman"/>
        </w:rPr>
        <w:t>Valve</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Corporation</w:t>
      </w:r>
      <w:proofErr w:type="spellEnd"/>
      <w:r w:rsidRPr="005F7FA5">
        <w:rPr>
          <w:rFonts w:ascii="Times New Roman" w:hAnsi="Times New Roman" w:cs="Times New Roman"/>
        </w:rPr>
        <w:t xml:space="preserve">. URL: </w:t>
      </w:r>
      <w:hyperlink r:id="rId7" w:history="1">
        <w:r w:rsidRPr="005F7FA5">
          <w:rPr>
            <w:rStyle w:val="Hyperlink"/>
            <w:rFonts w:ascii="Times New Roman" w:hAnsi="Times New Roman" w:cs="Times New Roman"/>
          </w:rPr>
          <w:t>https://store.steampowered.com/subscriber_agreement/</w:t>
        </w:r>
      </w:hyperlink>
      <w:r w:rsidRPr="005F7FA5">
        <w:rPr>
          <w:rFonts w:ascii="Times New Roman" w:hAnsi="Times New Roman" w:cs="Times New Roman"/>
          <w:lang w:val="en-US"/>
        </w:rPr>
        <w:t xml:space="preserve"> </w:t>
      </w:r>
      <w:r w:rsidRPr="005F7FA5">
        <w:rPr>
          <w:rFonts w:ascii="Times New Roman" w:hAnsi="Times New Roman" w:cs="Times New Roman"/>
        </w:rPr>
        <w:t>(дата звернення: 0</w:t>
      </w:r>
      <w:r w:rsidR="0090066B">
        <w:rPr>
          <w:rFonts w:ascii="Times New Roman" w:hAnsi="Times New Roman" w:cs="Times New Roman"/>
          <w:lang w:val="en-US"/>
        </w:rPr>
        <w:t>8</w:t>
      </w:r>
      <w:r w:rsidRPr="005F7FA5">
        <w:rPr>
          <w:rFonts w:ascii="Times New Roman" w:hAnsi="Times New Roman" w:cs="Times New Roman"/>
        </w:rPr>
        <w:t>.0</w:t>
      </w:r>
      <w:r w:rsidR="0090066B">
        <w:rPr>
          <w:rFonts w:ascii="Times New Roman" w:hAnsi="Times New Roman" w:cs="Times New Roman"/>
          <w:lang w:val="en-US"/>
        </w:rPr>
        <w:t>9</w:t>
      </w:r>
      <w:r w:rsidRPr="005F7FA5">
        <w:rPr>
          <w:rFonts w:ascii="Times New Roman" w:hAnsi="Times New Roman" w:cs="Times New Roman"/>
        </w:rPr>
        <w:t>.2025).</w:t>
      </w:r>
    </w:p>
    <w:p w14:paraId="2C2EDC4D" w14:textId="465CED78" w:rsidR="00442F0F" w:rsidRPr="005F7FA5" w:rsidRDefault="00442F0F" w:rsidP="005F7FA5">
      <w:pPr>
        <w:pStyle w:val="ListParagraph"/>
        <w:numPr>
          <w:ilvl w:val="0"/>
          <w:numId w:val="2"/>
        </w:numPr>
        <w:spacing w:line="360" w:lineRule="auto"/>
        <w:jc w:val="both"/>
        <w:rPr>
          <w:rFonts w:ascii="Times New Roman" w:hAnsi="Times New Roman" w:cs="Times New Roman"/>
        </w:rPr>
      </w:pPr>
      <w:proofErr w:type="spellStart"/>
      <w:r w:rsidRPr="005F7FA5">
        <w:rPr>
          <w:rFonts w:ascii="Times New Roman" w:hAnsi="Times New Roman" w:cs="Times New Roman"/>
        </w:rPr>
        <w:t>Judgment</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of</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the</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Court</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Grand</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Chamber</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of</w:t>
      </w:r>
      <w:proofErr w:type="spellEnd"/>
      <w:r w:rsidRPr="005F7FA5">
        <w:rPr>
          <w:rFonts w:ascii="Times New Roman" w:hAnsi="Times New Roman" w:cs="Times New Roman"/>
        </w:rPr>
        <w:t xml:space="preserve"> 3 </w:t>
      </w:r>
      <w:proofErr w:type="spellStart"/>
      <w:r w:rsidRPr="005F7FA5">
        <w:rPr>
          <w:rFonts w:ascii="Times New Roman" w:hAnsi="Times New Roman" w:cs="Times New Roman"/>
        </w:rPr>
        <w:t>July</w:t>
      </w:r>
      <w:proofErr w:type="spellEnd"/>
      <w:r w:rsidRPr="005F7FA5">
        <w:rPr>
          <w:rFonts w:ascii="Times New Roman" w:hAnsi="Times New Roman" w:cs="Times New Roman"/>
        </w:rPr>
        <w:t xml:space="preserve"> 2012, </w:t>
      </w:r>
      <w:proofErr w:type="spellStart"/>
      <w:r w:rsidRPr="005F7FA5">
        <w:rPr>
          <w:rFonts w:ascii="Times New Roman" w:hAnsi="Times New Roman" w:cs="Times New Roman"/>
        </w:rPr>
        <w:t>UsedSoft</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GmbH</w:t>
      </w:r>
      <w:proofErr w:type="spellEnd"/>
      <w:r w:rsidRPr="005F7FA5">
        <w:rPr>
          <w:rFonts w:ascii="Times New Roman" w:hAnsi="Times New Roman" w:cs="Times New Roman"/>
        </w:rPr>
        <w:t xml:space="preserve"> v. </w:t>
      </w:r>
      <w:proofErr w:type="spellStart"/>
      <w:r w:rsidRPr="005F7FA5">
        <w:rPr>
          <w:rFonts w:ascii="Times New Roman" w:hAnsi="Times New Roman" w:cs="Times New Roman"/>
        </w:rPr>
        <w:t>Oracle</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International</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Corp</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Case</w:t>
      </w:r>
      <w:proofErr w:type="spellEnd"/>
      <w:r w:rsidRPr="005F7FA5">
        <w:rPr>
          <w:rFonts w:ascii="Times New Roman" w:hAnsi="Times New Roman" w:cs="Times New Roman"/>
        </w:rPr>
        <w:t xml:space="preserve"> C-128/11, EU:C:2012:407.</w:t>
      </w:r>
      <w:r w:rsidRPr="005F7FA5">
        <w:rPr>
          <w:rFonts w:ascii="Times New Roman" w:hAnsi="Times New Roman" w:cs="Times New Roman"/>
          <w:lang w:val="en-US"/>
        </w:rPr>
        <w:t xml:space="preserve"> </w:t>
      </w:r>
      <w:r w:rsidRPr="005F7FA5">
        <w:rPr>
          <w:rFonts w:ascii="Times New Roman" w:hAnsi="Times New Roman" w:cs="Times New Roman"/>
        </w:rPr>
        <w:t>URL:</w:t>
      </w:r>
      <w:r w:rsidRPr="005F7FA5">
        <w:rPr>
          <w:rFonts w:ascii="Times New Roman" w:hAnsi="Times New Roman" w:cs="Times New Roman"/>
          <w:lang w:val="en-US"/>
        </w:rPr>
        <w:t xml:space="preserve"> </w:t>
      </w:r>
      <w:hyperlink r:id="rId8" w:history="1">
        <w:r w:rsidRPr="005F7FA5">
          <w:rPr>
            <w:rStyle w:val="Hyperlink"/>
            <w:rFonts w:ascii="Times New Roman" w:hAnsi="Times New Roman" w:cs="Times New Roman"/>
          </w:rPr>
          <w:t>https://www.wipo.int/wipolex/en/text/588600</w:t>
        </w:r>
      </w:hyperlink>
      <w:r w:rsidRPr="005F7FA5">
        <w:rPr>
          <w:rFonts w:ascii="Times New Roman" w:hAnsi="Times New Roman" w:cs="Times New Roman"/>
          <w:lang w:val="en-US"/>
        </w:rPr>
        <w:t xml:space="preserve"> </w:t>
      </w:r>
      <w:r w:rsidRPr="005F7FA5">
        <w:rPr>
          <w:rFonts w:ascii="Times New Roman" w:hAnsi="Times New Roman" w:cs="Times New Roman"/>
        </w:rPr>
        <w:t>(дата звернення: 0</w:t>
      </w:r>
      <w:r w:rsidR="0090066B">
        <w:rPr>
          <w:rFonts w:ascii="Times New Roman" w:hAnsi="Times New Roman" w:cs="Times New Roman"/>
          <w:lang w:val="en-US"/>
        </w:rPr>
        <w:t>8</w:t>
      </w:r>
      <w:r w:rsidRPr="005F7FA5">
        <w:rPr>
          <w:rFonts w:ascii="Times New Roman" w:hAnsi="Times New Roman" w:cs="Times New Roman"/>
        </w:rPr>
        <w:t>.0</w:t>
      </w:r>
      <w:r w:rsidR="0090066B">
        <w:rPr>
          <w:rFonts w:ascii="Times New Roman" w:hAnsi="Times New Roman" w:cs="Times New Roman"/>
          <w:lang w:val="en-US"/>
        </w:rPr>
        <w:t>9</w:t>
      </w:r>
      <w:r w:rsidRPr="005F7FA5">
        <w:rPr>
          <w:rFonts w:ascii="Times New Roman" w:hAnsi="Times New Roman" w:cs="Times New Roman"/>
        </w:rPr>
        <w:t>.2025).</w:t>
      </w:r>
    </w:p>
    <w:p w14:paraId="1CC65103" w14:textId="4EBA6986" w:rsidR="00442F0F" w:rsidRPr="005F7FA5" w:rsidRDefault="00442F0F" w:rsidP="005F7FA5">
      <w:pPr>
        <w:pStyle w:val="ListParagraph"/>
        <w:numPr>
          <w:ilvl w:val="0"/>
          <w:numId w:val="2"/>
        </w:numPr>
        <w:spacing w:line="360" w:lineRule="auto"/>
        <w:jc w:val="both"/>
        <w:rPr>
          <w:rFonts w:ascii="Times New Roman" w:hAnsi="Times New Roman" w:cs="Times New Roman"/>
        </w:rPr>
      </w:pPr>
      <w:proofErr w:type="spellStart"/>
      <w:r w:rsidRPr="005F7FA5">
        <w:rPr>
          <w:rFonts w:ascii="Times New Roman" w:hAnsi="Times New Roman" w:cs="Times New Roman"/>
        </w:rPr>
        <w:t>Belgian</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Gaming</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Commission</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Research</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Report</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on</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Loot</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Boxes</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Brussels</w:t>
      </w:r>
      <w:proofErr w:type="spellEnd"/>
      <w:r w:rsidRPr="005F7FA5">
        <w:rPr>
          <w:rFonts w:ascii="Times New Roman" w:hAnsi="Times New Roman" w:cs="Times New Roman"/>
        </w:rPr>
        <w:t xml:space="preserve">, 2018. URL: </w:t>
      </w:r>
      <w:hyperlink r:id="rId9" w:history="1">
        <w:r w:rsidRPr="005F7FA5">
          <w:rPr>
            <w:rStyle w:val="Hyperlink"/>
            <w:rFonts w:ascii="Times New Roman" w:hAnsi="Times New Roman" w:cs="Times New Roman"/>
          </w:rPr>
          <w:t>https://www.gamingcommission.be/sites/default/files/2021-08/onderzoeksrapport-loot-boxen-Engels-publicatie.pdf</w:t>
        </w:r>
      </w:hyperlink>
      <w:r w:rsidRPr="005F7FA5">
        <w:rPr>
          <w:rFonts w:ascii="Times New Roman" w:hAnsi="Times New Roman" w:cs="Times New Roman"/>
          <w:lang w:val="en-US"/>
        </w:rPr>
        <w:t xml:space="preserve"> </w:t>
      </w:r>
      <w:r w:rsidRPr="005F7FA5">
        <w:rPr>
          <w:rFonts w:ascii="Times New Roman" w:hAnsi="Times New Roman" w:cs="Times New Roman"/>
        </w:rPr>
        <w:t xml:space="preserve">(дата звернення: </w:t>
      </w:r>
      <w:r w:rsidR="0090066B">
        <w:rPr>
          <w:rFonts w:ascii="Times New Roman" w:hAnsi="Times New Roman" w:cs="Times New Roman"/>
          <w:lang w:val="en-US"/>
        </w:rPr>
        <w:t>10</w:t>
      </w:r>
      <w:r w:rsidRPr="005F7FA5">
        <w:rPr>
          <w:rFonts w:ascii="Times New Roman" w:hAnsi="Times New Roman" w:cs="Times New Roman"/>
        </w:rPr>
        <w:t>.0</w:t>
      </w:r>
      <w:r w:rsidR="0090066B">
        <w:rPr>
          <w:rFonts w:ascii="Times New Roman" w:hAnsi="Times New Roman" w:cs="Times New Roman"/>
          <w:lang w:val="en-US"/>
        </w:rPr>
        <w:t>9</w:t>
      </w:r>
      <w:r w:rsidRPr="005F7FA5">
        <w:rPr>
          <w:rFonts w:ascii="Times New Roman" w:hAnsi="Times New Roman" w:cs="Times New Roman"/>
        </w:rPr>
        <w:t>.2025).</w:t>
      </w:r>
    </w:p>
    <w:p w14:paraId="7F1EAE29" w14:textId="0392EAA7" w:rsidR="00442F0F" w:rsidRPr="005F7FA5" w:rsidRDefault="00442F0F" w:rsidP="005F7FA5">
      <w:pPr>
        <w:pStyle w:val="ListParagraph"/>
        <w:numPr>
          <w:ilvl w:val="0"/>
          <w:numId w:val="2"/>
        </w:numPr>
        <w:spacing w:line="360" w:lineRule="auto"/>
        <w:jc w:val="both"/>
        <w:rPr>
          <w:rFonts w:ascii="Times New Roman" w:hAnsi="Times New Roman" w:cs="Times New Roman"/>
        </w:rPr>
      </w:pPr>
      <w:r w:rsidRPr="005F7FA5">
        <w:rPr>
          <w:rFonts w:ascii="Times New Roman" w:hAnsi="Times New Roman" w:cs="Times New Roman"/>
        </w:rPr>
        <w:t xml:space="preserve">Про державне регулювання діяльності щодо організації та проведення азартних ігор : Закон України від 14.07.2020 № 768-IX. URL: </w:t>
      </w:r>
      <w:hyperlink r:id="rId10" w:history="1">
        <w:r w:rsidRPr="005F7FA5">
          <w:rPr>
            <w:rStyle w:val="Hyperlink"/>
            <w:rFonts w:ascii="Times New Roman" w:hAnsi="Times New Roman" w:cs="Times New Roman"/>
          </w:rPr>
          <w:t>https://zakon.rada.gov.ua/laws/show/768-20</w:t>
        </w:r>
      </w:hyperlink>
      <w:r w:rsidRPr="005F7FA5">
        <w:rPr>
          <w:rFonts w:ascii="Times New Roman" w:hAnsi="Times New Roman" w:cs="Times New Roman"/>
          <w:lang w:val="en-US"/>
        </w:rPr>
        <w:t xml:space="preserve"> </w:t>
      </w:r>
      <w:r w:rsidRPr="005F7FA5">
        <w:rPr>
          <w:rFonts w:ascii="Times New Roman" w:hAnsi="Times New Roman" w:cs="Times New Roman"/>
        </w:rPr>
        <w:t xml:space="preserve">(дата звернення: </w:t>
      </w:r>
      <w:r w:rsidR="0090066B">
        <w:rPr>
          <w:rFonts w:ascii="Times New Roman" w:hAnsi="Times New Roman" w:cs="Times New Roman"/>
          <w:lang w:val="en-US"/>
        </w:rPr>
        <w:t>10</w:t>
      </w:r>
      <w:r w:rsidRPr="005F7FA5">
        <w:rPr>
          <w:rFonts w:ascii="Times New Roman" w:hAnsi="Times New Roman" w:cs="Times New Roman"/>
        </w:rPr>
        <w:t>.0</w:t>
      </w:r>
      <w:r w:rsidR="0090066B">
        <w:rPr>
          <w:rFonts w:ascii="Times New Roman" w:hAnsi="Times New Roman" w:cs="Times New Roman"/>
          <w:lang w:val="en-US"/>
        </w:rPr>
        <w:t>9</w:t>
      </w:r>
      <w:r w:rsidRPr="005F7FA5">
        <w:rPr>
          <w:rFonts w:ascii="Times New Roman" w:hAnsi="Times New Roman" w:cs="Times New Roman"/>
        </w:rPr>
        <w:t>.2025).</w:t>
      </w:r>
    </w:p>
    <w:p w14:paraId="570C6570" w14:textId="4A7A8CB4" w:rsidR="00442F0F" w:rsidRPr="005F7FA5" w:rsidRDefault="00442F0F" w:rsidP="005F7FA5">
      <w:pPr>
        <w:pStyle w:val="ListParagraph"/>
        <w:numPr>
          <w:ilvl w:val="0"/>
          <w:numId w:val="2"/>
        </w:numPr>
        <w:spacing w:line="360" w:lineRule="auto"/>
        <w:jc w:val="both"/>
        <w:rPr>
          <w:rFonts w:ascii="Times New Roman" w:hAnsi="Times New Roman" w:cs="Times New Roman"/>
        </w:rPr>
      </w:pPr>
      <w:proofErr w:type="spellStart"/>
      <w:r w:rsidRPr="005F7FA5">
        <w:rPr>
          <w:rFonts w:ascii="Times New Roman" w:hAnsi="Times New Roman" w:cs="Times New Roman"/>
        </w:rPr>
        <w:t>Steam</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Community</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Market</w:t>
      </w:r>
      <w:proofErr w:type="spellEnd"/>
      <w:r w:rsidRPr="005F7FA5">
        <w:rPr>
          <w:rFonts w:ascii="Times New Roman" w:hAnsi="Times New Roman" w:cs="Times New Roman"/>
        </w:rPr>
        <w:t xml:space="preserve"> FAQ // </w:t>
      </w:r>
      <w:proofErr w:type="spellStart"/>
      <w:r w:rsidRPr="005F7FA5">
        <w:rPr>
          <w:rFonts w:ascii="Times New Roman" w:hAnsi="Times New Roman" w:cs="Times New Roman"/>
        </w:rPr>
        <w:t>Valve</w:t>
      </w:r>
      <w:proofErr w:type="spellEnd"/>
      <w:r w:rsidRPr="005F7FA5">
        <w:rPr>
          <w:rFonts w:ascii="Times New Roman" w:hAnsi="Times New Roman" w:cs="Times New Roman"/>
        </w:rPr>
        <w:t xml:space="preserve"> </w:t>
      </w:r>
      <w:proofErr w:type="spellStart"/>
      <w:r w:rsidRPr="005F7FA5">
        <w:rPr>
          <w:rFonts w:ascii="Times New Roman" w:hAnsi="Times New Roman" w:cs="Times New Roman"/>
        </w:rPr>
        <w:t>Corporation</w:t>
      </w:r>
      <w:proofErr w:type="spellEnd"/>
      <w:r w:rsidRPr="005F7FA5">
        <w:rPr>
          <w:rFonts w:ascii="Times New Roman" w:hAnsi="Times New Roman" w:cs="Times New Roman"/>
        </w:rPr>
        <w:t xml:space="preserve">. URL: </w:t>
      </w:r>
      <w:hyperlink r:id="rId11" w:history="1">
        <w:r w:rsidRPr="005F7FA5">
          <w:rPr>
            <w:rStyle w:val="Hyperlink"/>
            <w:rFonts w:ascii="Times New Roman" w:hAnsi="Times New Roman" w:cs="Times New Roman"/>
          </w:rPr>
          <w:t>https://help.steampowered.com/en/faqs/view/61F0-72B7-9A18-C70B</w:t>
        </w:r>
      </w:hyperlink>
      <w:r w:rsidRPr="005F7FA5">
        <w:rPr>
          <w:rFonts w:ascii="Times New Roman" w:hAnsi="Times New Roman" w:cs="Times New Roman"/>
        </w:rPr>
        <w:t xml:space="preserve">  (дата звернення: </w:t>
      </w:r>
      <w:r w:rsidR="0090066B">
        <w:rPr>
          <w:rFonts w:ascii="Times New Roman" w:hAnsi="Times New Roman" w:cs="Times New Roman"/>
          <w:lang w:val="en-US"/>
        </w:rPr>
        <w:t>10</w:t>
      </w:r>
      <w:r w:rsidRPr="005F7FA5">
        <w:rPr>
          <w:rFonts w:ascii="Times New Roman" w:hAnsi="Times New Roman" w:cs="Times New Roman"/>
        </w:rPr>
        <w:t>.0</w:t>
      </w:r>
      <w:r w:rsidR="0090066B">
        <w:rPr>
          <w:rFonts w:ascii="Times New Roman" w:hAnsi="Times New Roman" w:cs="Times New Roman"/>
          <w:lang w:val="en-US"/>
        </w:rPr>
        <w:t>9</w:t>
      </w:r>
      <w:r w:rsidRPr="005F7FA5">
        <w:rPr>
          <w:rFonts w:ascii="Times New Roman" w:hAnsi="Times New Roman" w:cs="Times New Roman"/>
        </w:rPr>
        <w:t>.2025).</w:t>
      </w:r>
    </w:p>
    <w:p w14:paraId="7661FED1" w14:textId="7BCC0D2A" w:rsidR="00442F0F" w:rsidRPr="00B86303" w:rsidRDefault="00442F0F" w:rsidP="005F7FA5">
      <w:pPr>
        <w:pStyle w:val="ListParagraph"/>
        <w:numPr>
          <w:ilvl w:val="0"/>
          <w:numId w:val="2"/>
        </w:numPr>
        <w:autoSpaceDE w:val="0"/>
        <w:autoSpaceDN w:val="0"/>
        <w:adjustRightInd w:val="0"/>
        <w:spacing w:after="0" w:line="360" w:lineRule="auto"/>
        <w:jc w:val="both"/>
        <w:rPr>
          <w:rFonts w:ascii="Times New Roman" w:hAnsi="Times New Roman" w:cs="Times New Roman"/>
          <w:sz w:val="28"/>
          <w:szCs w:val="28"/>
          <w:lang w:val="en-US"/>
        </w:rPr>
      </w:pPr>
      <w:r w:rsidRPr="00B86303">
        <w:rPr>
          <w:rFonts w:ascii="Times New Roman" w:hAnsi="Times New Roman" w:cs="Times New Roman"/>
        </w:rPr>
        <w:t xml:space="preserve">Про внесення змін до Цивільного кодексу України щодо розширення кола об'єктів цивільних прав : Закон України від 10.08.2023 р. № 3320-IX. URL: </w:t>
      </w:r>
      <w:hyperlink r:id="rId12" w:anchor="Text" w:history="1">
        <w:r w:rsidRPr="00B86303">
          <w:rPr>
            <w:rStyle w:val="Hyperlink"/>
            <w:rFonts w:ascii="Times New Roman" w:hAnsi="Times New Roman" w:cs="Times New Roman"/>
          </w:rPr>
          <w:t>https://zakon.rada.gov.ua/laws/show/3320-20#Text</w:t>
        </w:r>
      </w:hyperlink>
    </w:p>
    <w:sectPr w:rsidR="00442F0F" w:rsidRPr="00B8630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3F88A" w14:textId="77777777" w:rsidR="00A34E95" w:rsidRDefault="00A34E95" w:rsidP="00442F0F">
      <w:pPr>
        <w:spacing w:after="0" w:line="240" w:lineRule="auto"/>
      </w:pPr>
      <w:r>
        <w:separator/>
      </w:r>
    </w:p>
  </w:endnote>
  <w:endnote w:type="continuationSeparator" w:id="0">
    <w:p w14:paraId="577D0101" w14:textId="77777777" w:rsidR="00A34E95" w:rsidRDefault="00A34E95" w:rsidP="0044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CB22" w14:textId="77777777" w:rsidR="00A34E95" w:rsidRDefault="00A34E95" w:rsidP="00442F0F">
      <w:pPr>
        <w:spacing w:after="0" w:line="240" w:lineRule="auto"/>
      </w:pPr>
      <w:r>
        <w:separator/>
      </w:r>
    </w:p>
  </w:footnote>
  <w:footnote w:type="continuationSeparator" w:id="0">
    <w:p w14:paraId="7B386918" w14:textId="77777777" w:rsidR="00A34E95" w:rsidRDefault="00A34E95" w:rsidP="00442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F6E06"/>
    <w:multiLevelType w:val="hybridMultilevel"/>
    <w:tmpl w:val="4D16ACDE"/>
    <w:lvl w:ilvl="0" w:tplc="44FCC3A4">
      <w:start w:val="1"/>
      <w:numFmt w:val="decimal"/>
      <w:lvlText w:val="%1)"/>
      <w:lvlJc w:val="left"/>
      <w:pPr>
        <w:ind w:left="720" w:hanging="360"/>
      </w:pPr>
      <w:rPr>
        <w:rFonts w:ascii="Times New Roman" w:eastAsiaTheme="minorHAnsi"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FEF3724"/>
    <w:multiLevelType w:val="hybridMultilevel"/>
    <w:tmpl w:val="DC703788"/>
    <w:lvl w:ilvl="0" w:tplc="A8B24D84">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11891742">
    <w:abstractNumId w:val="0"/>
  </w:num>
  <w:num w:numId="2" w16cid:durableId="46173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F0F"/>
    <w:rsid w:val="002F6B86"/>
    <w:rsid w:val="00402C1D"/>
    <w:rsid w:val="00426F30"/>
    <w:rsid w:val="0043004F"/>
    <w:rsid w:val="00442F0F"/>
    <w:rsid w:val="005F7FA5"/>
    <w:rsid w:val="00683F7F"/>
    <w:rsid w:val="008E0F66"/>
    <w:rsid w:val="0090066B"/>
    <w:rsid w:val="00914C4C"/>
    <w:rsid w:val="009D2EED"/>
    <w:rsid w:val="00A34E95"/>
    <w:rsid w:val="00B4068B"/>
    <w:rsid w:val="00B86303"/>
    <w:rsid w:val="00C10BCE"/>
    <w:rsid w:val="00C409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A5F6"/>
  <w15:chartTrackingRefBased/>
  <w15:docId w15:val="{E01BF7FB-7CF3-4AA8-A4B0-38932E13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F0F"/>
  </w:style>
  <w:style w:type="paragraph" w:styleId="Heading1">
    <w:name w:val="heading 1"/>
    <w:basedOn w:val="Normal"/>
    <w:next w:val="Normal"/>
    <w:link w:val="Heading1Char"/>
    <w:uiPriority w:val="9"/>
    <w:qFormat/>
    <w:rsid w:val="00442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F0F"/>
    <w:rPr>
      <w:rFonts w:eastAsiaTheme="majorEastAsia" w:cstheme="majorBidi"/>
      <w:color w:val="272727" w:themeColor="text1" w:themeTint="D8"/>
    </w:rPr>
  </w:style>
  <w:style w:type="paragraph" w:styleId="Title">
    <w:name w:val="Title"/>
    <w:basedOn w:val="Normal"/>
    <w:next w:val="Normal"/>
    <w:link w:val="TitleChar"/>
    <w:uiPriority w:val="10"/>
    <w:qFormat/>
    <w:rsid w:val="00442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F0F"/>
    <w:pPr>
      <w:spacing w:before="160"/>
      <w:jc w:val="center"/>
    </w:pPr>
    <w:rPr>
      <w:i/>
      <w:iCs/>
      <w:color w:val="404040" w:themeColor="text1" w:themeTint="BF"/>
    </w:rPr>
  </w:style>
  <w:style w:type="character" w:customStyle="1" w:styleId="QuoteChar">
    <w:name w:val="Quote Char"/>
    <w:basedOn w:val="DefaultParagraphFont"/>
    <w:link w:val="Quote"/>
    <w:uiPriority w:val="29"/>
    <w:rsid w:val="00442F0F"/>
    <w:rPr>
      <w:i/>
      <w:iCs/>
      <w:color w:val="404040" w:themeColor="text1" w:themeTint="BF"/>
    </w:rPr>
  </w:style>
  <w:style w:type="paragraph" w:styleId="ListParagraph">
    <w:name w:val="List Paragraph"/>
    <w:basedOn w:val="Normal"/>
    <w:uiPriority w:val="34"/>
    <w:qFormat/>
    <w:rsid w:val="00442F0F"/>
    <w:pPr>
      <w:ind w:left="720"/>
      <w:contextualSpacing/>
    </w:pPr>
  </w:style>
  <w:style w:type="character" w:styleId="IntenseEmphasis">
    <w:name w:val="Intense Emphasis"/>
    <w:basedOn w:val="DefaultParagraphFont"/>
    <w:uiPriority w:val="21"/>
    <w:qFormat/>
    <w:rsid w:val="00442F0F"/>
    <w:rPr>
      <w:i/>
      <w:iCs/>
      <w:color w:val="0F4761" w:themeColor="accent1" w:themeShade="BF"/>
    </w:rPr>
  </w:style>
  <w:style w:type="paragraph" w:styleId="IntenseQuote">
    <w:name w:val="Intense Quote"/>
    <w:basedOn w:val="Normal"/>
    <w:next w:val="Normal"/>
    <w:link w:val="IntenseQuoteChar"/>
    <w:uiPriority w:val="30"/>
    <w:qFormat/>
    <w:rsid w:val="00442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F0F"/>
    <w:rPr>
      <w:i/>
      <w:iCs/>
      <w:color w:val="0F4761" w:themeColor="accent1" w:themeShade="BF"/>
    </w:rPr>
  </w:style>
  <w:style w:type="character" w:styleId="IntenseReference">
    <w:name w:val="Intense Reference"/>
    <w:basedOn w:val="DefaultParagraphFont"/>
    <w:uiPriority w:val="32"/>
    <w:qFormat/>
    <w:rsid w:val="00442F0F"/>
    <w:rPr>
      <w:b/>
      <w:bCs/>
      <w:smallCaps/>
      <w:color w:val="0F4761" w:themeColor="accent1" w:themeShade="BF"/>
      <w:spacing w:val="5"/>
    </w:rPr>
  </w:style>
  <w:style w:type="character" w:styleId="Hyperlink">
    <w:name w:val="Hyperlink"/>
    <w:basedOn w:val="DefaultParagraphFont"/>
    <w:uiPriority w:val="99"/>
    <w:unhideWhenUsed/>
    <w:rsid w:val="00442F0F"/>
    <w:rPr>
      <w:color w:val="467886" w:themeColor="hyperlink"/>
      <w:u w:val="single"/>
    </w:rPr>
  </w:style>
  <w:style w:type="paragraph" w:styleId="FootnoteText">
    <w:name w:val="footnote text"/>
    <w:basedOn w:val="Normal"/>
    <w:link w:val="FootnoteTextChar"/>
    <w:uiPriority w:val="99"/>
    <w:semiHidden/>
    <w:unhideWhenUsed/>
    <w:rsid w:val="00442F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F0F"/>
    <w:rPr>
      <w:sz w:val="20"/>
      <w:szCs w:val="20"/>
    </w:rPr>
  </w:style>
  <w:style w:type="character" w:styleId="FootnoteReference">
    <w:name w:val="footnote reference"/>
    <w:basedOn w:val="DefaultParagraphFont"/>
    <w:uiPriority w:val="99"/>
    <w:semiHidden/>
    <w:unhideWhenUsed/>
    <w:rsid w:val="00442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wipolex/en/text/5886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ore.steampowered.com/subscriber_agreement/" TargetMode="External"/><Relationship Id="rId12" Type="http://schemas.openxmlformats.org/officeDocument/2006/relationships/hyperlink" Target="https://zakon.rada.gov.ua/laws/show/3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lp.steampowered.com/en/faqs/view/61F0-72B7-9A18-C70B" TargetMode="External"/><Relationship Id="rId5" Type="http://schemas.openxmlformats.org/officeDocument/2006/relationships/footnotes" Target="footnotes.xml"/><Relationship Id="rId10" Type="http://schemas.openxmlformats.org/officeDocument/2006/relationships/hyperlink" Target="https://zakon.rada.gov.ua/laws/show/768-20" TargetMode="External"/><Relationship Id="rId4" Type="http://schemas.openxmlformats.org/officeDocument/2006/relationships/webSettings" Target="webSettings.xml"/><Relationship Id="rId9" Type="http://schemas.openxmlformats.org/officeDocument/2006/relationships/hyperlink" Target="https://www.gamingcommission.be/sites/default/files/2021-08/onderzoeksrapport-loot-boxen-Engels-publicatie.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 Зубачик</dc:creator>
  <cp:keywords/>
  <dc:description/>
  <cp:lastModifiedBy>Володимир Лисик</cp:lastModifiedBy>
  <cp:revision>8</cp:revision>
  <dcterms:created xsi:type="dcterms:W3CDTF">2025-09-08T16:35:00Z</dcterms:created>
  <dcterms:modified xsi:type="dcterms:W3CDTF">2025-09-09T19:39:00Z</dcterms:modified>
</cp:coreProperties>
</file>