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Юрченко Юрій Юрійович, старший викладач</w:t>
        <w:br w:type="textWrapping"/>
        <w:t xml:space="preserve">Жуков Роман, здобувач вищої освіти</w:t>
        <w:br w:type="textWrapping"/>
        <w:t xml:space="preserve">Державний торговельно-економічний університет, Київ</w:t>
        <w:br w:type="textWrapping"/>
        <w:t xml:space="preserve">ORCID: https://orcid.org/0000-0002-8047-7647 (Юрченко Ю. Ю.)</w:t>
        <w:br w:type="textWrapping"/>
        <w:t xml:space="preserve">ORCID: https://orcid.org/0009-0002-0783-8618 (Жуков Р.)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ІНФРАСТРУКТУРА ПУБЛІЧНИХ КЛЮЧІВ (PKI) У КОРПОРАТИВНИХ МЕРЕЖАХ: ЗАХИСТ, АВТЕНТИФІКАЦІЯ ТА УПРАВЛІННЯ СЕРТИФІКАТАМИ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сучасних корпоративних мережах захист даних і автентифікація є критичними через зростання обсягів даних і хмарних технологій. Інфраструктура публічних ключів (PKI) забезпечує надійний механізм ідентифікації, шифрування та управління доступом через цифрові сертифікати, які пов’язують відкритий ключ із власником.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36079" cy="36799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753" l="15149" r="20760" t="14638"/>
                    <a:stretch>
                      <a:fillRect/>
                    </a:stretch>
                  </pic:blipFill>
                  <pic:spPr>
                    <a:xfrm>
                      <a:off x="0" y="0"/>
                      <a:ext cx="5236079" cy="3679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1. Схема КРІ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80" w:before="280"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hqycw8m96qzl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Основні елементи PKI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PKI включає: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24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 сертифікації (CA) — видає та підписує сертифікати.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Реєстраційний центр (RA) — перевіряє особу заявника.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Сховище сертифікатів — зберігає сертифікати (наприклад, LDAP).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CRL/OCSP — перевіряє чинність сертифікатів.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80" w:before="280"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7lkaama3e3hm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Функціональні можливості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PKI забезпечує: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24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Цифровий підпис для автентичності документів.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Шифрування для захисту даних.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Автентифікацію користувачів і пристроїв.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доступу на основі сертифікатів.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80" w:before="280"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nvtq8mu1rpan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Застосування у корпоративних мережах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PKI застосовується для: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24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Захисту електронної пошти (S/MIME).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VPN-з’єднань (IPSec/SSL).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Автентифікації на веб-порталах.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line="360" w:lineRule="auto"/>
        <w:ind w:left="720" w:hanging="11.3385826771653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Електронного документообігу.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80" w:before="280" w:line="360" w:lineRule="auto"/>
        <w:ind w:firstLine="708.661417322834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fiyxo18pyzjk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Сучасні тенденції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PKI як послуга (PKIaaS) від провайдерів (Microsoft Intune, AWS Private CA) автоматизує управління сертифікатами. У IoT PKI забезпечує безпечну автентифікацію пристроїв.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80" w:before="280" w:line="360" w:lineRule="auto"/>
        <w:ind w:firstLine="708.661417322834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capifzf6rtr2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Виклики та перспективи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Впровадження PKI у корпоративних мережах пов’язане з низкою викликів. По-перше, висока вартість розгортання: створення власного CA, інтеграція з існуючими системами та навчання персоналу можуть коштувати десятки тисяч доларів, що є бар’єром для малих і середніх підприємств. По-друге, складність управління великою кількістю сертифікатів: у розподілених мережах із тисячами користувачів і пристроїв виникають проблеми з їх своєчасним оновленням і відкликанням. Наприклад, якщо сертифікат одного з пристроїв IoT скомпрометовано, затримка в оновленні CRL може призвести до вразливостей. По-третє, залежність від інфраструктури: перебої в роботі серверів OCSP або LDAP можуть зупинити перевірку сертифікатів, що вплине на доступ до критичних систем.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80" w:before="280" w:line="360" w:lineRule="auto"/>
        <w:ind w:firstLine="708.661417322834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v6dniy59g7js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Висновки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PKI є ключовим інструментом для безпеки корпоративних мереж, забезпечуючи шифрування, автентифікацію та контроль доступу. Розвиток PKIaaS і IoT розширює її можливості, але вимагає адаптації до нових викликів.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Література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240" w:line="360" w:lineRule="auto"/>
        <w:ind w:left="720" w:hanging="11.33858267716533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 X.509 Public Key Infrastructure Certificate and Certificate Revocation List (CRL) Profile : [RFC 5280] / IETF. – 2008. – Режим доступу: https://datatracker.ietf.org/doc/html/rfc5280.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Чапля О. Системи PKI та їх застосування в ІТ-безпеці / О. Чапля // Захист інформації. – 2020. – № 2. – С. 34–41.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Key Infrastructure / Microsoft Docs. – Режим доступу: https://learn.microsoft.com/en-us/windows-server/security/public-key-infrastructure/.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360" w:lineRule="auto"/>
        <w:ind w:left="720" w:hanging="11.33858267716533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Rescorla E. SSL and TLS: Designing and Building Secure Systems. – Addison-Wesley, 2001. – 512 с.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line="360" w:lineRule="auto"/>
        <w:ind w:left="720" w:hanging="11.33858267716533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Лук’янець С. М. Безпечний обмін інформацією в корпоративних мережах / С. М. Лук’янець. – К. : ДІА, 2018. – 180 с.</w:t>
      </w:r>
    </w:p>
    <w:p w:rsidR="00000000" w:rsidDel="00000000" w:rsidP="00000000" w:rsidRDefault="00000000" w:rsidRPr="00000000" w14:paraId="00000025">
      <w:pPr>
        <w:spacing w:after="25" w:line="360" w:lineRule="auto"/>
        <w:ind w:firstLine="7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