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C2B7" w14:textId="77777777" w:rsidR="00205D2D" w:rsidRPr="0059404F" w:rsidRDefault="00205D2D" w:rsidP="00205D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Євтушенко Артур Миколайович, </w:t>
      </w:r>
      <w:r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магістрант, </w:t>
      </w:r>
    </w:p>
    <w:p w14:paraId="2617D620" w14:textId="022E7AA5" w:rsidR="00205D2D" w:rsidRPr="0059404F" w:rsidRDefault="00205D2D" w:rsidP="00205D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9404F">
        <w:rPr>
          <w:rFonts w:ascii="Times New Roman" w:hAnsi="Times New Roman" w:cs="Times New Roman"/>
          <w:sz w:val="28"/>
          <w:szCs w:val="28"/>
          <w:lang w:val="uk-UA"/>
        </w:rPr>
        <w:t>Сумський національний аграрний університет</w:t>
      </w:r>
    </w:p>
    <w:p w14:paraId="109F97C3" w14:textId="77777777" w:rsidR="00291DF3" w:rsidRPr="0059404F" w:rsidRDefault="00291DF3" w:rsidP="00205D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4BF3274" w14:textId="1AB48241" w:rsidR="00F87511" w:rsidRPr="0059404F" w:rsidRDefault="00205D2D" w:rsidP="005F7E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404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ДЕЯКІ АСПЕКТИ ЗАБЕЗПЕЧЕННЯ КОНКУРЕНТНИХ ПЕРЕВАГ АГРАРНИХ ПІДПРИЄМСТВ В СУЧАСНИХ УМОВАХ</w:t>
      </w:r>
    </w:p>
    <w:p w14:paraId="740E848F" w14:textId="77777777" w:rsidR="00205D2D" w:rsidRPr="0059404F" w:rsidRDefault="00205D2D" w:rsidP="005F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95E12" w14:textId="05A4F417" w:rsidR="00C164C8" w:rsidRPr="0059404F" w:rsidRDefault="00456C43" w:rsidP="005F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04F">
        <w:rPr>
          <w:rFonts w:ascii="Times New Roman" w:hAnsi="Times New Roman" w:cs="Times New Roman"/>
          <w:sz w:val="28"/>
          <w:szCs w:val="28"/>
          <w:lang w:val="uk-UA"/>
        </w:rPr>
        <w:t>Забезпечення конкурентних переваг аграрних підприємств в сучасних умовах є важливою та актуальною задачею для сільськогосподарського сектору</w:t>
      </w:r>
      <w:r w:rsidR="00E234E8" w:rsidRPr="0059404F">
        <w:rPr>
          <w:rFonts w:ascii="Times New Roman" w:hAnsi="Times New Roman" w:cs="Times New Roman"/>
          <w:sz w:val="28"/>
          <w:szCs w:val="28"/>
          <w:lang w:val="uk-UA"/>
        </w:rPr>
        <w:t>, бо</w:t>
      </w:r>
      <w:r w:rsidR="00B2341A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від цього взагалі може </w:t>
      </w:r>
      <w:r w:rsidR="00736BB6" w:rsidRPr="0059404F">
        <w:rPr>
          <w:rFonts w:ascii="Times New Roman" w:hAnsi="Times New Roman" w:cs="Times New Roman"/>
          <w:sz w:val="28"/>
          <w:szCs w:val="28"/>
          <w:lang w:val="uk-UA"/>
        </w:rPr>
        <w:t>залежати</w:t>
      </w:r>
      <w:r w:rsidR="006C34E3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майбутнє країни</w:t>
      </w:r>
      <w:r w:rsidR="007C0F21" w:rsidRPr="005940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5980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83DF9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Наразі Україна стикається з серйозною проблемою, якою є збройна агресія Росії. Це є викликом</w:t>
      </w:r>
      <w:r w:rsidR="00294B89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сільськогосподарських підприємств</w:t>
      </w:r>
      <w:r w:rsidR="00283DF9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фінансовим</w:t>
      </w:r>
      <w:r w:rsidR="00776426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83DF9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 і управлінським</w:t>
      </w:r>
      <w:r w:rsidR="00062B0E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залишить свій слід на десятиліття</w:t>
      </w:r>
      <w:r w:rsidR="00283DF9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F5CCC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Учасникам аграрного сектору вкрай важливо бути готовими</w:t>
      </w:r>
      <w:r w:rsidR="00283DF9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46298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раптових підвищень цін на сировину та енергію, змін кліматичних і змін в правилах імпорту та експорту</w:t>
      </w:r>
      <w:r w:rsidR="0035568A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ускладнює процес прогнозування доходності та прибутковості</w:t>
      </w:r>
      <w:r w:rsidR="00E46298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Забезпечити конкурентну перевагу зможе той, хто найшвидше зреагує на такі зміни. </w:t>
      </w:r>
      <w:r w:rsidR="00C658C9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той же час і зростає</w:t>
      </w:r>
      <w:r w:rsidR="00283DF9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конкуренція на світовому ринку. Варто випускати продукт, що по своїм характеристикам відмінний від конкурентів. </w:t>
      </w:r>
      <w:r w:rsidR="00995158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всі «г</w:t>
      </w:r>
      <w:r w:rsidR="00E46298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равці» ринку здатні залишатись на</w:t>
      </w:r>
      <w:r w:rsidR="00995158" w:rsidRPr="00594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ньому через переваги інших суб</w:t>
      </w:r>
      <w:r w:rsidR="00995158" w:rsidRPr="0059404F">
        <w:rPr>
          <w:rFonts w:ascii="Times New Roman" w:hAnsi="Times New Roman" w:cs="Times New Roman"/>
          <w:sz w:val="28"/>
          <w:szCs w:val="28"/>
          <w:lang w:val="uk-UA"/>
        </w:rPr>
        <w:t>'єктів – це характеризується як конкурентоспроможність</w:t>
      </w:r>
      <w:r w:rsidRPr="0059404F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C164C8" w:rsidRPr="0059404F">
        <w:rPr>
          <w:rFonts w:ascii="Times New Roman" w:hAnsi="Times New Roman" w:cs="Times New Roman"/>
          <w:sz w:val="28"/>
          <w:szCs w:val="28"/>
          <w:lang w:val="uk-UA"/>
        </w:rPr>
        <w:t>учасні тенденції та проблеми розвитку підприємницької діяльності</w:t>
      </w:r>
      <w:r w:rsidR="000D634E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в аграрному секторі</w:t>
      </w:r>
      <w:r w:rsidR="00C164C8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158" w:rsidRPr="0059404F">
        <w:rPr>
          <w:rFonts w:ascii="Times New Roman" w:hAnsi="Times New Roman" w:cs="Times New Roman"/>
          <w:sz w:val="28"/>
          <w:szCs w:val="28"/>
          <w:lang w:val="uk-UA"/>
        </w:rPr>
        <w:t>зумовлюють</w:t>
      </w:r>
      <w:r w:rsidR="00C164C8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поєднання цілей та стратегій при вирішенні існуючих проблем, особливо якщо стоїть завдання збереження та пі</w:t>
      </w:r>
      <w:r w:rsidR="00D82B59" w:rsidRPr="0059404F">
        <w:rPr>
          <w:rFonts w:ascii="Times New Roman" w:hAnsi="Times New Roman" w:cs="Times New Roman"/>
          <w:sz w:val="28"/>
          <w:szCs w:val="28"/>
          <w:lang w:val="uk-UA"/>
        </w:rPr>
        <w:t>двищення конкурентоспроможності [</w:t>
      </w:r>
      <w:r w:rsidR="00776426" w:rsidRPr="0059404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2B59" w:rsidRPr="0059404F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95EC037" w14:textId="73213436" w:rsidR="00F96A1B" w:rsidRPr="0059404F" w:rsidRDefault="008D2F76" w:rsidP="005F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Суттєвий вплив на конкурентоспроможність має глобалізація, вона збільшує взаємозалежність підприємств, що ускладнює їх роботу. З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алежно від глобалізації виділяють такі рівні конкурентоспроможності підприємства:</w:t>
      </w:r>
      <w:r w:rsidR="007D7DD2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світове лідерство</w:t>
      </w:r>
      <w:r w:rsidR="00DA641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D7DD2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національне лідерство</w:t>
      </w:r>
      <w:r w:rsidR="00DA641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7353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галузеве лідерство</w:t>
      </w:r>
      <w:r w:rsidR="00CD5ADA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крайнім є 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пороговий рівень.</w:t>
      </w:r>
      <w:r w:rsidR="00110519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B2C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2B2C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перебуває нижче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72B2C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пороговий рівень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="00CD5ADA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</w:t>
      </w:r>
      <w:r w:rsidR="00F96A1B" w:rsidRPr="0059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B2C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 потенціал вважається</w:t>
      </w:r>
      <w:r w:rsidR="00D82B59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зовсім не конкурентоспроможним [</w:t>
      </w:r>
      <w:r w:rsidR="00776426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82B59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14:paraId="20C76452" w14:textId="6D5CE876" w:rsidR="002F5044" w:rsidRPr="0059404F" w:rsidRDefault="00760D6F" w:rsidP="005F7E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F760E3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конкурентних переваг </w:t>
      </w:r>
      <w:r w:rsidR="00797353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аграрних підприємств </w:t>
      </w: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 виділити декілька ключових аспектів</w:t>
      </w:r>
      <w:r w:rsidR="00E64838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Основним є впро</w:t>
      </w:r>
      <w:r w:rsidR="00A72B2C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вадження сучасних агротехнологій</w:t>
      </w:r>
      <w:r w:rsidR="00E64838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DE582D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3495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 спеціалізації підприємства в разі необхідності (якщо рівень родючості певних культур не є задовільним) – це дозволяє зосередитись на своїх сильних сторонах і забезпечити стабільність;</w:t>
      </w:r>
      <w:r w:rsidR="00DE582D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оптимізація ланцюга постачання, що також позитивно впливає на ефективність</w:t>
      </w:r>
      <w:r w:rsidR="003A3495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сільськогосподарського підприємства</w:t>
      </w:r>
      <w:r w:rsidR="00DE582D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56C43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6C43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Технологічний прогрес відіграє важливу роль у досягненні конкурентних переваг. Впровадження сучасних технологій, таких як автоматизація та робототехніка, дозволяє підприємствам підвищити продуктивність, знизити витрати та покращити якість продукції.</w:t>
      </w:r>
      <w:r w:rsidR="002F5044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044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Інновації і наукові дослідження є ключовими для розробки нових сортів рослин, методів виробництва і продуктів, що дозволяє підприємствам залишатися попереду конкурентів.</w:t>
      </w:r>
    </w:p>
    <w:p w14:paraId="79A48CBC" w14:textId="793A3ED1" w:rsidR="002F5044" w:rsidRPr="0059404F" w:rsidRDefault="002F5044" w:rsidP="005F7E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Важливим аспектом є диверсифікація продукції та управління якістю продукції. Аграрні підприємства можуть розширити свій асортимент сільськогосподарської продукції або послуг, що дозволяє їм знижувати ризики, пов'язані з коливаннями цін на ринку та забезпечувати стабільність доходів. Забезпечення високої якості продукції та дотримання стандартів безпеки і екологічних норм допомагають виробникам отримувати довіру споживачів та зберігати доступ до міжнародних ринків</w:t>
      </w:r>
      <w:r w:rsidR="004E630C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[3]</w:t>
      </w: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7B7A47" w14:textId="57CEF6D7" w:rsidR="00DE582D" w:rsidRPr="0059404F" w:rsidRDefault="00DE582D" w:rsidP="005F7E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Сучасна повістка не оминає і питання екології. Кожне підприємство має брати на себе екологічну відповідальність, впроваджувати екологічно чисті способи сільськогосподарського виробництва. Все це має позитивне відображення як на екологію,</w:t>
      </w:r>
      <w:r w:rsidR="00E57EB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і на репутацію фірми, а саме репутація і маркетинг зараз відіграють одну з ключових ролей </w:t>
      </w:r>
      <w:r w:rsidR="00B31FE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успішному підприємстві</w:t>
      </w:r>
      <w:r w:rsidR="00E57EB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Впровадження влучних маркетингових стратегій і розвиток свого сильного бренду впливає на сприйняття оточуючих. </w:t>
      </w:r>
      <w:r w:rsidR="00E57EB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Доцільним є активне спостереження та реагування на коливання в попиті та уподобаннях споживачів, розширення ринків збуту та участь у світовій торгівлі, що включає в себе до</w:t>
      </w:r>
      <w:r w:rsidR="00C437D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тримання міжнародних стандартів та оперативне реагування на зміни в законодавстві.</w:t>
      </w:r>
    </w:p>
    <w:p w14:paraId="628971C3" w14:textId="5B390E37" w:rsidR="00051446" w:rsidRPr="0059404F" w:rsidRDefault="00C437DB" w:rsidP="005F7E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Ефективне та конкурентоспроможне підприємство має залучати найкращий та найбільш кваліфікований кадровий склад, створювати комфортні умови для праці, стимулювати працівників</w:t>
      </w:r>
      <w:r w:rsidR="00CC0BE6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високих досягнень</w:t>
      </w: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адже людський капітал </w:t>
      </w:r>
      <w:r w:rsidR="00A72B2C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прямопропорційно</w:t>
      </w: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впливає на результати діяльності. Необхідно уміти балансувати та раціонально управляти підприємством для підтримання фінансової стійкості, залучати інвестиції і розвивати інфраструктуру.</w:t>
      </w:r>
      <w:r w:rsidR="004345FE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1446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51446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контексті забезпечення конкурентоспроможності сільськогосподарських підприємств </w:t>
      </w:r>
      <w:r w:rsidR="00051446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важливу роль відіграє </w:t>
      </w:r>
      <w:r w:rsidR="00F0645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051446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кономічна політика </w:t>
      </w:r>
      <w:r w:rsidR="00DA641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держави, яка </w:t>
      </w:r>
      <w:r w:rsidR="00051446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включає в себе різноманітні заходи і стратегії, спрямовані на покращення економічних умов і підтримку сектору сільського господарства</w:t>
      </w:r>
      <w:r w:rsidR="00DA641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B02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3;</w:t>
      </w:r>
      <w:r w:rsidR="00DA6417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4]</w:t>
      </w:r>
      <w:r w:rsidR="00051446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CCFC53D" w14:textId="572286D3" w:rsidR="00C519A1" w:rsidRPr="0059404F" w:rsidRDefault="00776426" w:rsidP="005F7E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</w:t>
      </w:r>
      <w:r w:rsidR="00C61A6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конкурентних переваг вимагає </w:t>
      </w:r>
      <w:r w:rsidR="00E60259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комплексного</w:t>
      </w:r>
      <w:r w:rsidR="00E60259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1A6B" w:rsidRPr="00594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підходу</w:t>
      </w:r>
      <w:r w:rsidR="00F96A1B" w:rsidRPr="0059404F">
        <w:rPr>
          <w:rFonts w:ascii="Times New Roman" w:hAnsi="Times New Roman" w:cs="Times New Roman"/>
          <w:sz w:val="28"/>
          <w:szCs w:val="28"/>
          <w:lang w:val="uk-UA"/>
        </w:rPr>
        <w:t>. Задля досягнення успіху</w:t>
      </w:r>
      <w:r w:rsidR="00B31FE7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фірми та подолання викликів </w:t>
      </w:r>
      <w:r w:rsidR="00A55295" w:rsidRPr="0059404F">
        <w:rPr>
          <w:rFonts w:ascii="Times New Roman" w:hAnsi="Times New Roman" w:cs="Times New Roman"/>
          <w:sz w:val="28"/>
          <w:szCs w:val="28"/>
          <w:lang w:val="uk-UA"/>
        </w:rPr>
        <w:t>підприєм</w:t>
      </w:r>
      <w:r w:rsidR="00F96A1B" w:rsidRPr="0059404F"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="005D58B4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A1B" w:rsidRPr="0059404F">
        <w:rPr>
          <w:rFonts w:ascii="Times New Roman" w:hAnsi="Times New Roman" w:cs="Times New Roman"/>
          <w:sz w:val="28"/>
          <w:szCs w:val="28"/>
          <w:lang w:val="uk-UA"/>
        </w:rPr>
        <w:t>повинен застосувати чи не весь спектр ідей, нові</w:t>
      </w:r>
      <w:r w:rsidR="00C437DB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гнучкі</w:t>
      </w:r>
      <w:r w:rsidR="00F96A1B" w:rsidRPr="0059404F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та плани які допоможуть функціонувати та займати лідерські позиції на ринку</w:t>
      </w:r>
      <w:r w:rsidR="00A55295" w:rsidRPr="005940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CE7719" w14:textId="57C8A17A" w:rsidR="00C00984" w:rsidRPr="0059404F" w:rsidRDefault="00291DF3" w:rsidP="005F7E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404F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0D2FD8B9" w14:textId="74CBE8F5" w:rsidR="002C36FE" w:rsidRPr="0059404F" w:rsidRDefault="002C36FE" w:rsidP="005F7EE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F">
        <w:rPr>
          <w:rFonts w:ascii="Times New Roman" w:hAnsi="Times New Roman" w:cs="Times New Roman"/>
          <w:sz w:val="24"/>
          <w:szCs w:val="24"/>
        </w:rPr>
        <w:t>Павлюк Т.І. Сутність та роль конкуренції в ринковій економіці.</w:t>
      </w:r>
      <w:r w:rsidR="008D2F76"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353" w:rsidRPr="0059404F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Економіка та суспільство.</w:t>
      </w:r>
      <w:r w:rsidR="00797353"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 2016. Вип.6. </w:t>
      </w:r>
      <w:r w:rsidRPr="0059404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9404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economyandsociety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journals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/6_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ukr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/2.</w:t>
        </w:r>
        <w:r w:rsidR="00C71CE4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</w:hyperlink>
      <w:r w:rsidR="00C71CE4"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="00C71CE4" w:rsidRPr="0059404F">
        <w:rPr>
          <w:rFonts w:ascii="Times New Roman" w:hAnsi="Times New Roman" w:cs="Times New Roman"/>
          <w:sz w:val="24"/>
          <w:szCs w:val="24"/>
          <w:lang w:val="uk-UA"/>
        </w:rPr>
        <w:t>(дата звернення 2</w:t>
      </w:r>
      <w:r w:rsidR="00C71CE4" w:rsidRPr="0059404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71CE4" w:rsidRPr="0059404F">
        <w:rPr>
          <w:rFonts w:ascii="Times New Roman" w:hAnsi="Times New Roman" w:cs="Times New Roman"/>
          <w:sz w:val="24"/>
          <w:szCs w:val="24"/>
          <w:lang w:val="uk-UA"/>
        </w:rPr>
        <w:t>.12.2023)</w:t>
      </w:r>
      <w:r w:rsidR="00C71CE4" w:rsidRPr="0059404F">
        <w:rPr>
          <w:rFonts w:ascii="Times New Roman" w:hAnsi="Times New Roman" w:cs="Times New Roman"/>
          <w:sz w:val="24"/>
          <w:szCs w:val="24"/>
        </w:rPr>
        <w:t>.</w:t>
      </w:r>
    </w:p>
    <w:p w14:paraId="50C6BE23" w14:textId="48133431" w:rsidR="002C36FE" w:rsidRPr="0059404F" w:rsidRDefault="00736BB6" w:rsidP="005F7EE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F">
        <w:rPr>
          <w:rFonts w:ascii="Times New Roman" w:hAnsi="Times New Roman" w:cs="Times New Roman"/>
          <w:sz w:val="24"/>
          <w:szCs w:val="24"/>
        </w:rPr>
        <w:t>Красняк О. П., Мицик В. О</w:t>
      </w:r>
      <w:r w:rsidRPr="0059404F">
        <w:rPr>
          <w:rFonts w:ascii="Times New Roman" w:hAnsi="Times New Roman" w:cs="Times New Roman"/>
          <w:sz w:val="24"/>
          <w:szCs w:val="24"/>
        </w:rPr>
        <w:t xml:space="preserve"> </w:t>
      </w:r>
      <w:r w:rsidRPr="0059404F">
        <w:rPr>
          <w:rFonts w:ascii="Times New Roman" w:hAnsi="Times New Roman" w:cs="Times New Roman"/>
          <w:sz w:val="24"/>
          <w:szCs w:val="24"/>
        </w:rPr>
        <w:t>Конкурентоспроможність і конкурентні переваги підприємства в сучасних ринкових умовах</w:t>
      </w:r>
      <w:r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9404F">
        <w:rPr>
          <w:rFonts w:ascii="Times New Roman" w:hAnsi="Times New Roman" w:cs="Times New Roman"/>
          <w:i/>
          <w:iCs/>
          <w:sz w:val="24"/>
          <w:szCs w:val="24"/>
        </w:rPr>
        <w:t>Ефективна економіка.</w:t>
      </w:r>
      <w:r w:rsidRPr="0059404F">
        <w:rPr>
          <w:rFonts w:ascii="Times New Roman" w:hAnsi="Times New Roman" w:cs="Times New Roman"/>
          <w:sz w:val="24"/>
          <w:szCs w:val="24"/>
        </w:rPr>
        <w:t xml:space="preserve"> 2019. </w:t>
      </w:r>
      <w:r w:rsidRPr="0059404F">
        <w:rPr>
          <w:rFonts w:ascii="Times New Roman" w:hAnsi="Times New Roman" w:cs="Times New Roman"/>
          <w:sz w:val="24"/>
          <w:szCs w:val="24"/>
          <w:lang w:val="en-US"/>
        </w:rPr>
        <w:t>№ 11. URL:</w:t>
      </w:r>
      <w:r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http://nbuv.gov.ua/UJRN/efek_2019_11_21</w:t>
        </w:r>
      </w:hyperlink>
      <w:r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21.12.2023)</w:t>
      </w:r>
      <w:r w:rsidRPr="005940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0D7C"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A70CD0" w14:textId="78D3D824" w:rsidR="004E630C" w:rsidRPr="0059404F" w:rsidRDefault="004E630C" w:rsidP="005F7EE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Pylypenko, Nadiia M.; Pylypenko, Viacheslav V.; Kuchkova, Kristina O. Competitive Advantages of Agricultural Enterprises from the Perspective of the Analysis of the Competition’s Conditions. Journal of Advanced Research in Law and Economics, [S.l.], v. 9, n. 8, p. 2774-2789, dec. 2019. Available at: &lt;https://journals.aserspublishing.eu/jarle/article/view/4144&gt;. Date accessed: 11 dec. 2019. doi: </w:t>
      </w:r>
      <w:hyperlink r:id="rId10" w:history="1">
        <w:r w:rsidR="00797353" w:rsidRPr="0059404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https://doi.org/10.14505//jarle.v9.8(38).27</w:t>
        </w:r>
      </w:hyperlink>
    </w:p>
    <w:p w14:paraId="374BA2FD" w14:textId="4924720F" w:rsidR="00797353" w:rsidRPr="0059404F" w:rsidRDefault="003475AD" w:rsidP="005F7EE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4F">
        <w:rPr>
          <w:rFonts w:ascii="Times New Roman" w:hAnsi="Times New Roman" w:cs="Times New Roman"/>
          <w:sz w:val="24"/>
          <w:szCs w:val="24"/>
          <w:lang w:val="uk-UA"/>
        </w:rPr>
        <w:t>Пилипенко Н.М. Економічна політика в контексті забезпечення конкурентоспроможності сільськогосподарських підприємств</w:t>
      </w:r>
      <w:r w:rsidRPr="005940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940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404F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Вісник СНАУ. Серія: економіка і менеджмент</w:t>
      </w:r>
      <w:r w:rsidRPr="0059404F">
        <w:rPr>
          <w:rFonts w:ascii="Times New Roman" w:hAnsi="Times New Roman" w:cs="Times New Roman"/>
          <w:sz w:val="24"/>
          <w:szCs w:val="24"/>
          <w:lang w:val="uk-UA"/>
        </w:rPr>
        <w:t>. 2005. № 6-7. С.87-90</w:t>
      </w:r>
    </w:p>
    <w:sectPr w:rsidR="00797353" w:rsidRPr="0059404F" w:rsidSect="00E74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BB3D" w14:textId="77777777" w:rsidR="003528AF" w:rsidRDefault="003528AF" w:rsidP="000736C5">
      <w:pPr>
        <w:spacing w:after="0" w:line="240" w:lineRule="auto"/>
      </w:pPr>
      <w:r>
        <w:separator/>
      </w:r>
    </w:p>
  </w:endnote>
  <w:endnote w:type="continuationSeparator" w:id="0">
    <w:p w14:paraId="36B507D4" w14:textId="77777777" w:rsidR="003528AF" w:rsidRDefault="003528AF" w:rsidP="0007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B9F7" w14:textId="77777777" w:rsidR="003528AF" w:rsidRDefault="003528AF" w:rsidP="000736C5">
      <w:pPr>
        <w:spacing w:after="0" w:line="240" w:lineRule="auto"/>
      </w:pPr>
      <w:r>
        <w:separator/>
      </w:r>
    </w:p>
  </w:footnote>
  <w:footnote w:type="continuationSeparator" w:id="0">
    <w:p w14:paraId="5C35494B" w14:textId="77777777" w:rsidR="003528AF" w:rsidRDefault="003528AF" w:rsidP="0007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576"/>
    <w:multiLevelType w:val="hybridMultilevel"/>
    <w:tmpl w:val="87CE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260"/>
    <w:multiLevelType w:val="multilevel"/>
    <w:tmpl w:val="AE1E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D6E68"/>
    <w:multiLevelType w:val="hybridMultilevel"/>
    <w:tmpl w:val="5E92A0AE"/>
    <w:lvl w:ilvl="0" w:tplc="BE44B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0A6320"/>
    <w:multiLevelType w:val="hybridMultilevel"/>
    <w:tmpl w:val="0578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15250"/>
    <w:multiLevelType w:val="hybridMultilevel"/>
    <w:tmpl w:val="96F83EF4"/>
    <w:lvl w:ilvl="0" w:tplc="16E6E60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61B6"/>
    <w:multiLevelType w:val="hybridMultilevel"/>
    <w:tmpl w:val="78143384"/>
    <w:lvl w:ilvl="0" w:tplc="7ADCDA0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647B"/>
    <w:multiLevelType w:val="hybridMultilevel"/>
    <w:tmpl w:val="850A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01B92"/>
    <w:multiLevelType w:val="hybridMultilevel"/>
    <w:tmpl w:val="A16A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15606">
    <w:abstractNumId w:val="1"/>
  </w:num>
  <w:num w:numId="2" w16cid:durableId="2103212412">
    <w:abstractNumId w:val="2"/>
  </w:num>
  <w:num w:numId="3" w16cid:durableId="1654869247">
    <w:abstractNumId w:val="5"/>
  </w:num>
  <w:num w:numId="4" w16cid:durableId="747920601">
    <w:abstractNumId w:val="6"/>
  </w:num>
  <w:num w:numId="5" w16cid:durableId="1608391511">
    <w:abstractNumId w:val="4"/>
  </w:num>
  <w:num w:numId="6" w16cid:durableId="168761395">
    <w:abstractNumId w:val="0"/>
  </w:num>
  <w:num w:numId="7" w16cid:durableId="703167411">
    <w:abstractNumId w:val="3"/>
  </w:num>
  <w:num w:numId="8" w16cid:durableId="587272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89"/>
    <w:rsid w:val="000339BD"/>
    <w:rsid w:val="0004292F"/>
    <w:rsid w:val="00051446"/>
    <w:rsid w:val="00062B0E"/>
    <w:rsid w:val="000736C5"/>
    <w:rsid w:val="00083ECD"/>
    <w:rsid w:val="000D634E"/>
    <w:rsid w:val="000E5F26"/>
    <w:rsid w:val="00105D89"/>
    <w:rsid w:val="00110519"/>
    <w:rsid w:val="00205786"/>
    <w:rsid w:val="00205D2D"/>
    <w:rsid w:val="00206C23"/>
    <w:rsid w:val="00241BE8"/>
    <w:rsid w:val="00274859"/>
    <w:rsid w:val="00283DF9"/>
    <w:rsid w:val="00291DF3"/>
    <w:rsid w:val="00294B89"/>
    <w:rsid w:val="002B1A46"/>
    <w:rsid w:val="002C36FE"/>
    <w:rsid w:val="002F5044"/>
    <w:rsid w:val="003002AE"/>
    <w:rsid w:val="003475AD"/>
    <w:rsid w:val="003528AF"/>
    <w:rsid w:val="0035568A"/>
    <w:rsid w:val="003877D1"/>
    <w:rsid w:val="003A3495"/>
    <w:rsid w:val="003B3C0F"/>
    <w:rsid w:val="004345FE"/>
    <w:rsid w:val="00446E85"/>
    <w:rsid w:val="00456C43"/>
    <w:rsid w:val="00460B15"/>
    <w:rsid w:val="004844B8"/>
    <w:rsid w:val="00495764"/>
    <w:rsid w:val="004D4194"/>
    <w:rsid w:val="004E630C"/>
    <w:rsid w:val="005053D7"/>
    <w:rsid w:val="00523CAE"/>
    <w:rsid w:val="00544E8B"/>
    <w:rsid w:val="00566B09"/>
    <w:rsid w:val="0059404F"/>
    <w:rsid w:val="005B03FA"/>
    <w:rsid w:val="005C6EE4"/>
    <w:rsid w:val="005D58B4"/>
    <w:rsid w:val="005F5B83"/>
    <w:rsid w:val="005F7EEB"/>
    <w:rsid w:val="00614589"/>
    <w:rsid w:val="00616AFE"/>
    <w:rsid w:val="006A0DFE"/>
    <w:rsid w:val="006B78B9"/>
    <w:rsid w:val="006C1033"/>
    <w:rsid w:val="006C34E3"/>
    <w:rsid w:val="006D627A"/>
    <w:rsid w:val="00715AAB"/>
    <w:rsid w:val="00736BB6"/>
    <w:rsid w:val="00760D6F"/>
    <w:rsid w:val="007714B0"/>
    <w:rsid w:val="00774515"/>
    <w:rsid w:val="00776426"/>
    <w:rsid w:val="00797353"/>
    <w:rsid w:val="007C0F21"/>
    <w:rsid w:val="007D7DD2"/>
    <w:rsid w:val="0080383A"/>
    <w:rsid w:val="00806785"/>
    <w:rsid w:val="00811121"/>
    <w:rsid w:val="008D2F76"/>
    <w:rsid w:val="00934F34"/>
    <w:rsid w:val="00950299"/>
    <w:rsid w:val="009718FF"/>
    <w:rsid w:val="00985DCC"/>
    <w:rsid w:val="00995158"/>
    <w:rsid w:val="00A04560"/>
    <w:rsid w:val="00A55295"/>
    <w:rsid w:val="00A72B2C"/>
    <w:rsid w:val="00A7306A"/>
    <w:rsid w:val="00A95240"/>
    <w:rsid w:val="00AD781A"/>
    <w:rsid w:val="00AD7E33"/>
    <w:rsid w:val="00AF5BE8"/>
    <w:rsid w:val="00AF5CCC"/>
    <w:rsid w:val="00B02F67"/>
    <w:rsid w:val="00B22D7E"/>
    <w:rsid w:val="00B2341A"/>
    <w:rsid w:val="00B31FE7"/>
    <w:rsid w:val="00C00984"/>
    <w:rsid w:val="00C10D7C"/>
    <w:rsid w:val="00C164C8"/>
    <w:rsid w:val="00C36DD2"/>
    <w:rsid w:val="00C437DB"/>
    <w:rsid w:val="00C519A1"/>
    <w:rsid w:val="00C61379"/>
    <w:rsid w:val="00C61A6B"/>
    <w:rsid w:val="00C658C9"/>
    <w:rsid w:val="00C71CE4"/>
    <w:rsid w:val="00C94912"/>
    <w:rsid w:val="00CC0BE6"/>
    <w:rsid w:val="00CD5ADA"/>
    <w:rsid w:val="00D22FEC"/>
    <w:rsid w:val="00D37C43"/>
    <w:rsid w:val="00D82B59"/>
    <w:rsid w:val="00D97A46"/>
    <w:rsid w:val="00DA344B"/>
    <w:rsid w:val="00DA579D"/>
    <w:rsid w:val="00DA6417"/>
    <w:rsid w:val="00DD1887"/>
    <w:rsid w:val="00DE582D"/>
    <w:rsid w:val="00E12135"/>
    <w:rsid w:val="00E234E8"/>
    <w:rsid w:val="00E25901"/>
    <w:rsid w:val="00E4213B"/>
    <w:rsid w:val="00E46298"/>
    <w:rsid w:val="00E5112A"/>
    <w:rsid w:val="00E534F0"/>
    <w:rsid w:val="00E57EB7"/>
    <w:rsid w:val="00E60259"/>
    <w:rsid w:val="00E64838"/>
    <w:rsid w:val="00E74D8A"/>
    <w:rsid w:val="00E779B7"/>
    <w:rsid w:val="00EA72F8"/>
    <w:rsid w:val="00F0645B"/>
    <w:rsid w:val="00F37C2D"/>
    <w:rsid w:val="00F760E3"/>
    <w:rsid w:val="00F804AB"/>
    <w:rsid w:val="00F87511"/>
    <w:rsid w:val="00F96A1B"/>
    <w:rsid w:val="00F96A94"/>
    <w:rsid w:val="00FA5980"/>
    <w:rsid w:val="00FC055E"/>
    <w:rsid w:val="00FE7DC7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EBD84"/>
  <w15:docId w15:val="{414B6DF5-8B9C-4779-B5D0-7FBD11D8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81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6C5"/>
  </w:style>
  <w:style w:type="paragraph" w:styleId="a6">
    <w:name w:val="footer"/>
    <w:basedOn w:val="a"/>
    <w:link w:val="a7"/>
    <w:uiPriority w:val="99"/>
    <w:unhideWhenUsed/>
    <w:rsid w:val="0007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6C5"/>
  </w:style>
  <w:style w:type="paragraph" w:styleId="a8">
    <w:name w:val="List Paragraph"/>
    <w:basedOn w:val="a"/>
    <w:uiPriority w:val="34"/>
    <w:qFormat/>
    <w:rsid w:val="00F96A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C3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3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3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3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C3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C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36FE"/>
    <w:rPr>
      <w:rFonts w:ascii="Segoe UI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36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andsociety.in.ua/journals/6_ukr/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4505//jarle.v9.8(38).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efek_2019_11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D107-63B7-4729-9721-8AAB6964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Вячеслав Валентинович Пилипенко</cp:lastModifiedBy>
  <cp:revision>11</cp:revision>
  <dcterms:created xsi:type="dcterms:W3CDTF">2023-12-25T20:15:00Z</dcterms:created>
  <dcterms:modified xsi:type="dcterms:W3CDTF">2023-12-25T20:20:00Z</dcterms:modified>
</cp:coreProperties>
</file>