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C8" w:rsidRDefault="00DF352E" w:rsidP="000E79A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Вознюк</w:t>
      </w:r>
      <w:proofErr w:type="spellEnd"/>
      <w:r w:rsidRPr="00D3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 </w:t>
      </w:r>
      <w:proofErr w:type="spellStart"/>
      <w:r w:rsidRPr="00D31EC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Юрійович</w:t>
      </w:r>
      <w:proofErr w:type="spellEnd"/>
      <w:r w:rsidRPr="00DF35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1EC8" w:rsidRPr="000E79AF" w:rsidRDefault="000E79AF" w:rsidP="000E79A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E7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аспірант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D31EC8" w:rsidRPr="00D31EC8" w:rsidRDefault="00D31EC8" w:rsidP="000E79A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31EC8">
        <w:rPr>
          <w:rFonts w:ascii="Times New Roman" w:hAnsi="Times New Roman"/>
          <w:sz w:val="28"/>
          <w:szCs w:val="28"/>
          <w:lang w:val="uk-UA"/>
        </w:rPr>
        <w:t>спеціальніст</w:t>
      </w:r>
      <w:r w:rsidR="000E79AF">
        <w:rPr>
          <w:rFonts w:ascii="Times New Roman" w:hAnsi="Times New Roman"/>
          <w:sz w:val="28"/>
          <w:szCs w:val="28"/>
          <w:lang w:val="uk-UA"/>
        </w:rPr>
        <w:t>ь</w:t>
      </w:r>
      <w:r w:rsidRPr="00D31EC8">
        <w:rPr>
          <w:rFonts w:ascii="Times New Roman" w:hAnsi="Times New Roman"/>
          <w:sz w:val="28"/>
          <w:szCs w:val="28"/>
          <w:lang w:val="uk-UA"/>
        </w:rPr>
        <w:t xml:space="preserve"> 183 Технології захисту навколишнього середовища</w:t>
      </w:r>
    </w:p>
    <w:p w:rsidR="00D31EC8" w:rsidRPr="00D31EC8" w:rsidRDefault="00DF352E" w:rsidP="000E79AF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Національний транспортний університет, Київ</w:t>
      </w:r>
    </w:p>
    <w:p w:rsidR="00DF352E" w:rsidRPr="00DF352E" w:rsidRDefault="00D31EC8" w:rsidP="000E79AF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ORCID ID:</w:t>
      </w:r>
      <w:r w:rsidRPr="00D3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https://orcid.org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E7135" w:rsidRPr="007E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0009-0003-3050-5333</w:t>
      </w:r>
    </w:p>
    <w:p w:rsidR="00DF352E" w:rsidRDefault="00DF352E" w:rsidP="00DF352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640D" w:rsidRPr="007C7BED" w:rsidRDefault="00DF352E" w:rsidP="00D31EC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C7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СТАЛИЙ РОЗВИТОК АВТОТРАНСПОРТНИХ ПІДПРИЄМСТВ: РОЛЬ ЕКОЛОГІЧНОГО МЕНЕДЖМЕНТУ У ВІДНОВЛЕННІ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ТРАНСПОРТНО-ДОРОЖНЬОГО КОМПЛЕКСУ </w:t>
      </w:r>
      <w:r w:rsidRPr="007C7B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ПІСЛЯ ВІЙНИ</w:t>
      </w:r>
    </w:p>
    <w:p w:rsidR="00DF352E" w:rsidRDefault="00DF352E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40D" w:rsidRPr="007C7BED" w:rsidRDefault="006B640D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Військові дії руйнують не лише економіку, а й природне середовище, створюючи значні екологічні виклики. Автотранспортна галузь, яка є важливою складовою інфраструктури 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країни, опинилася у центрі цих викликів. Після завершення війни відновлення підприємств неможливе без 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досягнення цілей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сталого розвитку, де екологічний менеджмент стане основним інструментом для забезпечення довгострокової стабільності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14F" w:rsidRPr="00FA11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A114F" w:rsidRPr="005F1C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</w:t>
      </w:r>
      <w:r w:rsid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</w:t>
      </w:r>
      <w:r w:rsidR="00FA114F" w:rsidRPr="00FA114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Роль автотранспортних компаній полягає не лише у відновленні логістики та інфраструктури, а й у зменшенні негативного впливу на довкілля шляхом інноваційних рішень та ефективного управління ресурсами.</w:t>
      </w:r>
    </w:p>
    <w:p w:rsidR="006B640D" w:rsidRPr="007C7BED" w:rsidRDefault="006B640D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воєнних дій авто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мобільний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транспорт використовується інтенсивніше 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багатьох причин –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евакуаці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населення, перевезення гуманітарних вантажів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військові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Такі обставини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призвод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 до збільшення викидів шкідливих 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речовин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48CF" w:rsidRPr="00AA6570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</w:t>
      </w:r>
      <w:r w:rsid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048CF" w:rsidRPr="00AA657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даними Міжнародного агентства з енергетики, збільшення кількості старого та технічно зношеного транспорту у кризовий період може підвищити рівень забруднення 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атмосферного повітря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20-30%. Особливо небезпечними є викиди твердих част</w:t>
      </w:r>
      <w:r w:rsidR="00FA1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негативно впливають на здоров'я людей і 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довкілля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eastAsia="ru-RU"/>
        </w:rPr>
        <w:t>[3, с. </w:t>
      </w:r>
      <w:proofErr w:type="gramStart"/>
      <w:r w:rsidR="001048CF" w:rsidRPr="001048CF">
        <w:rPr>
          <w:rFonts w:ascii="Times New Roman" w:eastAsia="Times New Roman" w:hAnsi="Times New Roman" w:cs="Times New Roman"/>
          <w:sz w:val="28"/>
          <w:szCs w:val="28"/>
          <w:lang w:eastAsia="ru-RU"/>
        </w:rPr>
        <w:t>59]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</w:p>
    <w:p w:rsidR="006B640D" w:rsidRPr="007C7BED" w:rsidRDefault="005F1C81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Воєнні дії призводять до руйнації доріг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ів, що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змушу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шукати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нові логістичні рішення, які досить часто не є дружніми до природного середовища. Додатковими перепонами до досягнення цілей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сталого розвитку стають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руйнування паливних сховищ та заправних станцій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створює ризики розливів нафтопродуктів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спричиняє забруднення ґрунтів і водних ресурсів.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результаті цього б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агато підприємств змушені тимчасово відходити від екологічних норм, зосереджуючись на виконанні критичних завдань. Це може призвести 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деградаці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B640D"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 і погіршення якості повітря у промислових зонах.</w:t>
      </w:r>
    </w:p>
    <w:p w:rsidR="006B640D" w:rsidRPr="007C7BED" w:rsidRDefault="006B640D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завершення війни першочерговим</w:t>
      </w:r>
      <w:r w:rsidR="005F1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завданням</w:t>
      </w:r>
      <w:r w:rsidR="005F1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стане впровадження нових екологічних стандартів</w:t>
      </w:r>
      <w:r w:rsidR="005F1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тимулювання підприємств до впровадження систем 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екологічного менеджменту відповідно до стандарту ДСТУ </w:t>
      </w:r>
      <w:r w:rsidR="00FE13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="00FE135A" w:rsidRP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14001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E135A" w:rsidRP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2015 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чітких процесів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біомоніторингу</w:t>
      </w:r>
      <w:proofErr w:type="spellEnd"/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якості повітря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135A" w:rsidRP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</w:t>
      </w:r>
      <w:r w:rsidR="00C96DEA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1048CF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106</w:t>
      </w:r>
      <w:r w:rsidR="00FE135A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5F1C81"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ідновлення та оновлення автопарку з акцентом на екологіч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транспортні засоби (електромобілі, водневий транспорт).</w:t>
      </w:r>
    </w:p>
    <w:p w:rsidR="006B640D" w:rsidRPr="007C7BED" w:rsidRDefault="006B640D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системи екологічного менеджменту у цьому випадку буде невідривно пов’язуватись із застосуванням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новітніх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інноваційних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мініміз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ації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негативн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діяльності автотранспортних підприємств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довкілля</w:t>
      </w:r>
      <w:r w:rsidRP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 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перспективних напрямків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135A" w:rsidRP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лектрифікація 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="00431FC9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ерехід на електробуси та </w:t>
      </w:r>
      <w:proofErr w:type="spellStart"/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електровантажівки</w:t>
      </w:r>
      <w:proofErr w:type="spellEnd"/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міських перевезень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а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льтернативн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видів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палив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(в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</w:t>
      </w:r>
      <w:proofErr w:type="spellStart"/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біодизелю</w:t>
      </w:r>
      <w:proofErr w:type="spellEnd"/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водневого палива та природного газу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і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нтелектуальн</w:t>
      </w:r>
      <w:r w:rsidR="00FE135A"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 управління</w:t>
      </w:r>
      <w:r w:rsidR="00FE13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GPS-моніторинг та автоматизовані системи маршрутизації для оптимізації перевезень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Такі рішення можливі за підтримки міжнародних партнерів, як через інвестування у промисловий сектор, так і в результаті діяльності представників екологічного відділу підприємств у міжнародних екологічних (при</w:t>
      </w:r>
      <w:r w:rsidR="00431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одоохоронних) </w:t>
      </w:r>
      <w:proofErr w:type="spellStart"/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проєктах</w:t>
      </w:r>
      <w:proofErr w:type="spellEnd"/>
      <w:r w:rsidR="00FE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640D" w:rsidRPr="007C7BED" w:rsidRDefault="006B640D" w:rsidP="00DF3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нових технологій у логістиці допоможе не лише зменшити витрати, а й знизити навантаження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природні компоненти довкілля </w:t>
      </w:r>
      <w:r w:rsidR="00C96DEA" w:rsidRPr="00C96DE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9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</w:t>
      </w:r>
      <w:r w:rsidR="0099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907F0" w:rsidRPr="0099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96DEA" w:rsidRPr="0099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96DEA" w:rsidRPr="009907F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9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C7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Оптимізація маршрутів, використання систем контролю пального та технічного стану транспорту сприятиме підвищенню ефективності.</w:t>
      </w:r>
      <w:r w:rsidR="007F3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6506" w:rsidRDefault="00216506" w:rsidP="002165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Отже, для того щоб впроваджувати екологічний менеджмент необхідно мати чітку поетапну стратегію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екологоорганізаційних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з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мін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на підприємстві. Під </w:t>
      </w: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час війни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екологоорганізаційні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зміни на підприємства стають у більшості випадків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вимушен</w:t>
      </w:r>
      <w:r>
        <w:rPr>
          <w:rFonts w:asciiTheme="majorBidi" w:hAnsiTheme="majorBidi" w:cstheme="majorBidi"/>
          <w:sz w:val="28"/>
          <w:szCs w:val="28"/>
          <w:lang w:val="uk-UA"/>
        </w:rPr>
        <w:t>ими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оскільки вони є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відповід</w:t>
      </w:r>
      <w:r>
        <w:rPr>
          <w:rFonts w:asciiTheme="majorBidi" w:hAnsiTheme="majorBidi" w:cstheme="majorBidi"/>
          <w:sz w:val="28"/>
          <w:szCs w:val="28"/>
          <w:lang w:val="uk-UA"/>
        </w:rPr>
        <w:t>дю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вплив </w:t>
      </w:r>
      <w:r>
        <w:rPr>
          <w:rFonts w:asciiTheme="majorBidi" w:hAnsiTheme="majorBidi" w:cstheme="majorBidi"/>
          <w:sz w:val="28"/>
          <w:szCs w:val="28"/>
          <w:lang w:val="uk-UA"/>
        </w:rPr>
        <w:t>зовнішніх факторів.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Разом із тим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екозміни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потрібно планувати для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розвитк</w:t>
      </w:r>
      <w:r>
        <w:rPr>
          <w:rFonts w:asciiTheme="majorBidi" w:hAnsiTheme="majorBidi" w:cstheme="majorBidi"/>
          <w:sz w:val="28"/>
          <w:szCs w:val="28"/>
          <w:lang w:val="uk-UA"/>
        </w:rPr>
        <w:t>у та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досягненн</w:t>
      </w:r>
      <w:r>
        <w:rPr>
          <w:rFonts w:asciiTheme="majorBidi" w:hAnsiTheme="majorBidi" w:cstheme="majorBidi"/>
          <w:sz w:val="28"/>
          <w:szCs w:val="28"/>
          <w:lang w:val="uk-UA"/>
        </w:rPr>
        <w:t>я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стратегічних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екологічних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цілей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 xml:space="preserve"> підприємства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і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для 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 xml:space="preserve">забезпечення </w:t>
      </w:r>
      <w:r>
        <w:rPr>
          <w:rFonts w:asciiTheme="majorBidi" w:hAnsiTheme="majorBidi" w:cstheme="majorBidi"/>
          <w:sz w:val="28"/>
          <w:szCs w:val="28"/>
          <w:lang w:val="uk-UA"/>
        </w:rPr>
        <w:t>конкурентоздатн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о</w:t>
      </w:r>
      <w:r>
        <w:rPr>
          <w:rFonts w:asciiTheme="majorBidi" w:hAnsiTheme="majorBidi" w:cstheme="majorBidi"/>
          <w:sz w:val="28"/>
          <w:szCs w:val="28"/>
          <w:lang w:val="uk-UA"/>
        </w:rPr>
        <w:t>ст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і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підприємства </w:t>
      </w:r>
      <w:r w:rsidRPr="00A23097">
        <w:rPr>
          <w:rFonts w:asciiTheme="majorBidi" w:hAnsiTheme="majorBidi" w:cstheme="majorBidi"/>
          <w:sz w:val="28"/>
          <w:szCs w:val="28"/>
          <w:lang w:val="uk-UA"/>
        </w:rPr>
        <w:t>[</w:t>
      </w:r>
      <w:r w:rsidR="0010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73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</w:t>
      </w:r>
      <w:r w:rsidR="0099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73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23097">
        <w:rPr>
          <w:rFonts w:asciiTheme="majorBidi" w:hAnsiTheme="majorBidi" w:cstheme="majorBidi"/>
          <w:sz w:val="28"/>
          <w:szCs w:val="28"/>
          <w:lang w:val="uk-UA"/>
        </w:rPr>
        <w:t>]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Під час управління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екологоорганізаційними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змінами відбувається оптимізація контексту підприємства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, що особливо важливо для виживання та підтримки виробництва під час війни. Це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позначається на інтенсивності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вплив</w:t>
      </w:r>
      <w:r>
        <w:rPr>
          <w:rFonts w:asciiTheme="majorBidi" w:hAnsiTheme="majorBidi" w:cstheme="majorBidi"/>
          <w:sz w:val="28"/>
          <w:szCs w:val="28"/>
          <w:lang w:val="uk-UA"/>
        </w:rPr>
        <w:t>ів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зовнішніх та внутрішніх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факторів, </w:t>
      </w:r>
      <w:r>
        <w:rPr>
          <w:rFonts w:asciiTheme="majorBidi" w:hAnsiTheme="majorBidi" w:cstheme="majorBidi"/>
          <w:sz w:val="28"/>
          <w:szCs w:val="28"/>
          <w:lang w:val="uk-UA"/>
        </w:rPr>
        <w:t>які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дозволяють створити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 нові умови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для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функціонування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підприємства та з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’являється можливість 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застосовувати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нові 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>методи та інструмент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и, 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що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підвищ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>ують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рівень екологічної безпеки підприємства</w:t>
      </w:r>
      <w:r w:rsidR="00673736">
        <w:rPr>
          <w:rFonts w:asciiTheme="majorBidi" w:hAnsiTheme="majorBidi" w:cstheme="majorBidi"/>
          <w:sz w:val="28"/>
          <w:szCs w:val="28"/>
          <w:lang w:val="uk-UA"/>
        </w:rPr>
        <w:t xml:space="preserve"> та економію природних ресурсів</w:t>
      </w:r>
      <w:r w:rsidRPr="00D35985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431FC9" w:rsidRPr="00431FC9" w:rsidRDefault="00431FC9" w:rsidP="00431FC9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431FC9">
        <w:rPr>
          <w:rFonts w:asciiTheme="majorBidi" w:hAnsiTheme="majorBidi" w:cstheme="majorBidi"/>
          <w:b/>
          <w:bCs/>
          <w:sz w:val="24"/>
          <w:szCs w:val="24"/>
          <w:lang w:val="uk-UA"/>
        </w:rPr>
        <w:t>Література</w:t>
      </w:r>
    </w:p>
    <w:p w:rsidR="00431FC9" w:rsidRPr="00D31EC8" w:rsidRDefault="00C72130" w:rsidP="000E79AF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jc w:val="both"/>
        <w:rPr>
          <w:rFonts w:asciiTheme="majorBidi" w:hAnsiTheme="majorBidi" w:cstheme="majorBidi"/>
          <w:kern w:val="2"/>
          <w:sz w:val="24"/>
          <w:szCs w:val="24"/>
          <w:lang w:val="uk-UA"/>
        </w:rPr>
      </w:pPr>
      <w:r>
        <w:fldChar w:fldCharType="begin"/>
      </w:r>
      <w:r>
        <w:instrText>HYPERLINK</w:instrText>
      </w:r>
      <w:r w:rsidRPr="00AA6570">
        <w:rPr>
          <w:lang w:val="uk-UA"/>
        </w:rPr>
        <w:instrText xml:space="preserve"> "</w:instrText>
      </w:r>
      <w:r>
        <w:instrText>https</w:instrText>
      </w:r>
      <w:r w:rsidRPr="00AA6570">
        <w:rPr>
          <w:lang w:val="uk-UA"/>
        </w:rPr>
        <w:instrText>://</w:instrText>
      </w:r>
      <w:r>
        <w:instrText>www</w:instrText>
      </w:r>
      <w:r w:rsidRPr="00AA6570">
        <w:rPr>
          <w:lang w:val="uk-UA"/>
        </w:rPr>
        <w:instrText>.</w:instrText>
      </w:r>
      <w:r>
        <w:instrText>scopus</w:instrText>
      </w:r>
      <w:r w:rsidRPr="00AA6570">
        <w:rPr>
          <w:lang w:val="uk-UA"/>
        </w:rPr>
        <w:instrText>.</w:instrText>
      </w:r>
      <w:r>
        <w:instrText>com</w:instrText>
      </w:r>
      <w:r w:rsidRPr="00AA6570">
        <w:rPr>
          <w:lang w:val="uk-UA"/>
        </w:rPr>
        <w:instrText>/</w:instrText>
      </w:r>
      <w:r>
        <w:instrText>authid</w:instrText>
      </w:r>
      <w:r w:rsidRPr="00AA6570">
        <w:rPr>
          <w:lang w:val="uk-UA"/>
        </w:rPr>
        <w:instrText>/</w:instrText>
      </w:r>
      <w:r>
        <w:instrText>detail</w:instrText>
      </w:r>
      <w:r w:rsidRPr="00AA6570">
        <w:rPr>
          <w:lang w:val="uk-UA"/>
        </w:rPr>
        <w:instrText>.</w:instrText>
      </w:r>
      <w:r>
        <w:instrText>uri</w:instrText>
      </w:r>
      <w:r w:rsidRPr="00AA6570">
        <w:rPr>
          <w:lang w:val="uk-UA"/>
        </w:rPr>
        <w:instrText>?</w:instrText>
      </w:r>
      <w:r>
        <w:instrText>authorId</w:instrText>
      </w:r>
      <w:r w:rsidRPr="00AA6570">
        <w:rPr>
          <w:lang w:val="uk-UA"/>
        </w:rPr>
        <w:instrText>=57219050446"</w:instrText>
      </w:r>
      <w:r>
        <w:fldChar w:fldCharType="separate"/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Barabash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 xml:space="preserve">, 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O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V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>
        <w:fldChar w:fldCharType="end"/>
      </w:r>
      <w:r w:rsidR="00431FC9" w:rsidRPr="00D31EC8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, </w:t>
      </w:r>
      <w:r>
        <w:fldChar w:fldCharType="begin"/>
      </w:r>
      <w:r>
        <w:instrText>HYPERLINK</w:instrText>
      </w:r>
      <w:r w:rsidRPr="00AA6570">
        <w:rPr>
          <w:lang w:val="uk-UA"/>
        </w:rPr>
        <w:instrText xml:space="preserve"> "</w:instrText>
      </w:r>
      <w:r>
        <w:instrText>https</w:instrText>
      </w:r>
      <w:r w:rsidRPr="00AA6570">
        <w:rPr>
          <w:lang w:val="uk-UA"/>
        </w:rPr>
        <w:instrText>://</w:instrText>
      </w:r>
      <w:r>
        <w:instrText>www</w:instrText>
      </w:r>
      <w:r w:rsidRPr="00AA6570">
        <w:rPr>
          <w:lang w:val="uk-UA"/>
        </w:rPr>
        <w:instrText>.</w:instrText>
      </w:r>
      <w:r>
        <w:instrText>scopus</w:instrText>
      </w:r>
      <w:r w:rsidRPr="00AA6570">
        <w:rPr>
          <w:lang w:val="uk-UA"/>
        </w:rPr>
        <w:instrText>.</w:instrText>
      </w:r>
      <w:r>
        <w:instrText>com</w:instrText>
      </w:r>
      <w:r w:rsidRPr="00AA6570">
        <w:rPr>
          <w:lang w:val="uk-UA"/>
        </w:rPr>
        <w:instrText>/</w:instrText>
      </w:r>
      <w:r>
        <w:instrText>authid</w:instrText>
      </w:r>
      <w:r w:rsidRPr="00AA6570">
        <w:rPr>
          <w:lang w:val="uk-UA"/>
        </w:rPr>
        <w:instrText>/</w:instrText>
      </w:r>
      <w:r>
        <w:instrText>detail</w:instrText>
      </w:r>
      <w:r w:rsidRPr="00AA6570">
        <w:rPr>
          <w:lang w:val="uk-UA"/>
        </w:rPr>
        <w:instrText>.</w:instrText>
      </w:r>
      <w:r>
        <w:instrText>uri</w:instrText>
      </w:r>
      <w:r w:rsidRPr="00AA6570">
        <w:rPr>
          <w:lang w:val="uk-UA"/>
        </w:rPr>
        <w:instrText>?</w:instrText>
      </w:r>
      <w:r>
        <w:instrText>authorId</w:instrText>
      </w:r>
      <w:r w:rsidRPr="00AA6570">
        <w:rPr>
          <w:lang w:val="uk-UA"/>
        </w:rPr>
        <w:instrText>=55522742000"</w:instrText>
      </w:r>
      <w:r>
        <w:fldChar w:fldCharType="separate"/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Pavlychenko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 xml:space="preserve">, 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A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V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>
        <w:fldChar w:fldCharType="end"/>
      </w:r>
      <w:r w:rsidR="00431FC9" w:rsidRPr="00D31EC8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, </w:t>
      </w:r>
      <w:r>
        <w:fldChar w:fldCharType="begin"/>
      </w:r>
      <w:r>
        <w:instrText>HYPERLINK</w:instrText>
      </w:r>
      <w:r w:rsidRPr="00AA6570">
        <w:rPr>
          <w:lang w:val="uk-UA"/>
        </w:rPr>
        <w:instrText xml:space="preserve"> "</w:instrText>
      </w:r>
      <w:r>
        <w:instrText>https</w:instrText>
      </w:r>
      <w:r w:rsidRPr="00AA6570">
        <w:rPr>
          <w:lang w:val="uk-UA"/>
        </w:rPr>
        <w:instrText>://</w:instrText>
      </w:r>
      <w:r>
        <w:instrText>www</w:instrText>
      </w:r>
      <w:r w:rsidRPr="00AA6570">
        <w:rPr>
          <w:lang w:val="uk-UA"/>
        </w:rPr>
        <w:instrText>.</w:instrText>
      </w:r>
      <w:r>
        <w:instrText>scopus</w:instrText>
      </w:r>
      <w:r w:rsidRPr="00AA6570">
        <w:rPr>
          <w:lang w:val="uk-UA"/>
        </w:rPr>
        <w:instrText>.</w:instrText>
      </w:r>
      <w:r>
        <w:instrText>com</w:instrText>
      </w:r>
      <w:r w:rsidRPr="00AA6570">
        <w:rPr>
          <w:lang w:val="uk-UA"/>
        </w:rPr>
        <w:instrText>/</w:instrText>
      </w:r>
      <w:r>
        <w:instrText>authid</w:instrText>
      </w:r>
      <w:r w:rsidRPr="00AA6570">
        <w:rPr>
          <w:lang w:val="uk-UA"/>
        </w:rPr>
        <w:instrText>/</w:instrText>
      </w:r>
      <w:r>
        <w:instrText>detail</w:instrText>
      </w:r>
      <w:r w:rsidRPr="00AA6570">
        <w:rPr>
          <w:lang w:val="uk-UA"/>
        </w:rPr>
        <w:instrText>.</w:instrText>
      </w:r>
      <w:r>
        <w:instrText>uri</w:instrText>
      </w:r>
      <w:r w:rsidRPr="00AA6570">
        <w:rPr>
          <w:lang w:val="uk-UA"/>
        </w:rPr>
        <w:instrText>?</w:instrText>
      </w:r>
      <w:r>
        <w:instrText>authorId</w:instrText>
      </w:r>
      <w:r w:rsidRPr="00AA6570">
        <w:rPr>
          <w:lang w:val="uk-UA"/>
        </w:rPr>
        <w:instrText>=59412998300"</w:instrText>
      </w:r>
      <w:r>
        <w:fldChar w:fldCharType="separate"/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Waigang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 xml:space="preserve">, 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G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O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>
        <w:fldChar w:fldCharType="end"/>
      </w:r>
      <w:r w:rsidR="00431FC9" w:rsidRPr="00D31EC8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, </w:t>
      </w:r>
      <w:r>
        <w:fldChar w:fldCharType="begin"/>
      </w:r>
      <w:r>
        <w:instrText>HYPERLINK</w:instrText>
      </w:r>
      <w:r w:rsidRPr="00AA6570">
        <w:rPr>
          <w:lang w:val="uk-UA"/>
        </w:rPr>
        <w:instrText xml:space="preserve"> "</w:instrText>
      </w:r>
      <w:r>
        <w:instrText>https</w:instrText>
      </w:r>
      <w:r w:rsidRPr="00AA6570">
        <w:rPr>
          <w:lang w:val="uk-UA"/>
        </w:rPr>
        <w:instrText>://</w:instrText>
      </w:r>
      <w:r>
        <w:instrText>www</w:instrText>
      </w:r>
      <w:r w:rsidRPr="00AA6570">
        <w:rPr>
          <w:lang w:val="uk-UA"/>
        </w:rPr>
        <w:instrText>.</w:instrText>
      </w:r>
      <w:r>
        <w:instrText>scopus</w:instrText>
      </w:r>
      <w:r w:rsidRPr="00AA6570">
        <w:rPr>
          <w:lang w:val="uk-UA"/>
        </w:rPr>
        <w:instrText>.</w:instrText>
      </w:r>
      <w:r>
        <w:instrText>com</w:instrText>
      </w:r>
      <w:r w:rsidRPr="00AA6570">
        <w:rPr>
          <w:lang w:val="uk-UA"/>
        </w:rPr>
        <w:instrText>/</w:instrText>
      </w:r>
      <w:r>
        <w:instrText>authid</w:instrText>
      </w:r>
      <w:r w:rsidRPr="00AA6570">
        <w:rPr>
          <w:lang w:val="uk-UA"/>
        </w:rPr>
        <w:instrText>/</w:instrText>
      </w:r>
      <w:r>
        <w:instrText>detail</w:instrText>
      </w:r>
      <w:r w:rsidRPr="00AA6570">
        <w:rPr>
          <w:lang w:val="uk-UA"/>
        </w:rPr>
        <w:instrText>.</w:instrText>
      </w:r>
      <w:r>
        <w:instrText>uri</w:instrText>
      </w:r>
      <w:r w:rsidRPr="00AA6570">
        <w:rPr>
          <w:lang w:val="uk-UA"/>
        </w:rPr>
        <w:instrText>?</w:instrText>
      </w:r>
      <w:r>
        <w:instrText>authorId</w:instrText>
      </w:r>
      <w:r w:rsidRPr="00AA6570">
        <w:rPr>
          <w:lang w:val="uk-UA"/>
        </w:rPr>
        <w:instrText>=59412640500"</w:instrText>
      </w:r>
      <w:r>
        <w:fldChar w:fldCharType="separate"/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Vozniuk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 xml:space="preserve">, 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Y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</w:rPr>
        <w:t>Y</w:t>
      </w:r>
      <w:r w:rsidR="007F367D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en-US"/>
        </w:rPr>
        <w:t>u</w:t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uk-UA"/>
        </w:rPr>
        <w:t>.</w:t>
      </w:r>
      <w:r>
        <w:fldChar w:fldCharType="end"/>
      </w:r>
      <w:r w:rsidR="00431FC9" w:rsidRPr="00D31EC8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 </w:t>
      </w:r>
      <w:r>
        <w:fldChar w:fldCharType="begin"/>
      </w:r>
      <w:r>
        <w:instrText>HYPERLINK</w:instrText>
      </w:r>
      <w:r w:rsidRPr="00AA6570">
        <w:rPr>
          <w:lang w:val="uk-UA"/>
        </w:rPr>
        <w:instrText xml:space="preserve"> "</w:instrText>
      </w:r>
      <w:r>
        <w:instrText>https</w:instrText>
      </w:r>
      <w:r w:rsidRPr="00AA6570">
        <w:rPr>
          <w:lang w:val="uk-UA"/>
        </w:rPr>
        <w:instrText>://</w:instrText>
      </w:r>
      <w:r>
        <w:instrText>www</w:instrText>
      </w:r>
      <w:r w:rsidRPr="00AA6570">
        <w:rPr>
          <w:lang w:val="uk-UA"/>
        </w:rPr>
        <w:instrText>.</w:instrText>
      </w:r>
      <w:r>
        <w:instrText>scopus</w:instrText>
      </w:r>
      <w:r w:rsidRPr="00AA6570">
        <w:rPr>
          <w:lang w:val="uk-UA"/>
        </w:rPr>
        <w:instrText>.</w:instrText>
      </w:r>
      <w:r>
        <w:instrText>com</w:instrText>
      </w:r>
      <w:r w:rsidRPr="00AA6570">
        <w:rPr>
          <w:lang w:val="uk-UA"/>
        </w:rPr>
        <w:instrText>/</w:instrText>
      </w:r>
      <w:r>
        <w:instrText>record</w:instrText>
      </w:r>
      <w:r w:rsidRPr="00AA6570">
        <w:rPr>
          <w:lang w:val="uk-UA"/>
        </w:rPr>
        <w:instrText>/</w:instrText>
      </w:r>
      <w:r>
        <w:instrText>display</w:instrText>
      </w:r>
      <w:r w:rsidRPr="00AA6570">
        <w:rPr>
          <w:lang w:val="uk-UA"/>
        </w:rPr>
        <w:instrText>.</w:instrText>
      </w:r>
      <w:r>
        <w:instrText>uri</w:instrText>
      </w:r>
      <w:r w:rsidRPr="00AA6570">
        <w:rPr>
          <w:lang w:val="uk-UA"/>
        </w:rPr>
        <w:instrText>?</w:instrText>
      </w:r>
      <w:r>
        <w:instrText>eid</w:instrText>
      </w:r>
      <w:r w:rsidRPr="00AA6570">
        <w:rPr>
          <w:lang w:val="uk-UA"/>
        </w:rPr>
        <w:instrText>=2-</w:instrText>
      </w:r>
      <w:r>
        <w:instrText>s</w:instrText>
      </w:r>
      <w:r w:rsidRPr="00AA6570">
        <w:rPr>
          <w:lang w:val="uk-UA"/>
        </w:rPr>
        <w:instrText>2.0-85209239795&amp;</w:instrText>
      </w:r>
      <w:r>
        <w:instrText>origin</w:instrText>
      </w:r>
      <w:r w:rsidRPr="00AA6570">
        <w:rPr>
          <w:lang w:val="uk-UA"/>
        </w:rPr>
        <w:instrText>=</w:instrText>
      </w:r>
      <w:r>
        <w:instrText>resultslist</w:instrText>
      </w:r>
      <w:r w:rsidRPr="00AA6570">
        <w:rPr>
          <w:lang w:val="uk-UA"/>
        </w:rPr>
        <w:instrText>"</w:instrText>
      </w:r>
      <w:r>
        <w:fldChar w:fldCharType="separate"/>
      </w:r>
      <w:r w:rsidR="00431FC9" w:rsidRPr="00D31EC8">
        <w:rPr>
          <w:rStyle w:val="a6"/>
          <w:rFonts w:asciiTheme="majorBidi" w:hAnsiTheme="majorBidi" w:cstheme="majorBidi"/>
          <w:color w:val="auto"/>
          <w:kern w:val="2"/>
          <w:sz w:val="24"/>
          <w:szCs w:val="24"/>
          <w:u w:val="none"/>
          <w:lang w:val="en-US"/>
        </w:rPr>
        <w:t>Assessment of the efficiency of functioning of the environmental management system of enterprises</w:t>
      </w:r>
      <w:r>
        <w:fldChar w:fldCharType="end"/>
      </w:r>
      <w:r w:rsidR="00431FC9" w:rsidRPr="00D31EC8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. </w:t>
      </w:r>
      <w:r>
        <w:fldChar w:fldCharType="begin"/>
      </w:r>
      <w:r w:rsidRPr="00AA6570">
        <w:rPr>
          <w:lang w:val="en-US"/>
        </w:rPr>
        <w:instrText>HYPERLINK "https://www.scopus.com/sourceid/21100206261?origin=resultslist"</w:instrText>
      </w:r>
      <w:r>
        <w:fldChar w:fldCharType="separate"/>
      </w:r>
      <w:r w:rsidR="00431FC9" w:rsidRPr="007F367D">
        <w:rPr>
          <w:rStyle w:val="a6"/>
          <w:rFonts w:asciiTheme="majorBidi" w:hAnsiTheme="majorBidi" w:cstheme="majorBidi"/>
          <w:i/>
          <w:iCs/>
          <w:color w:val="auto"/>
          <w:kern w:val="2"/>
          <w:sz w:val="24"/>
          <w:szCs w:val="24"/>
          <w:u w:val="none"/>
          <w:lang w:val="en-US"/>
        </w:rPr>
        <w:t>Naukovyi Visnyk Natsionalnoho Hirnychoho Universytetu</w:t>
      </w:r>
      <w:r>
        <w:fldChar w:fldCharType="end"/>
      </w:r>
      <w:r w:rsidR="00431FC9"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>,</w:t>
      </w:r>
      <w:r w:rsidR="00D31EC8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 </w:t>
      </w:r>
      <w:r w:rsidR="00431FC9"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2024, </w:t>
      </w:r>
      <w:r w:rsidR="007F367D">
        <w:rPr>
          <w:rFonts w:asciiTheme="majorBidi" w:hAnsiTheme="majorBidi" w:cstheme="majorBidi"/>
          <w:kern w:val="2"/>
          <w:sz w:val="24"/>
          <w:szCs w:val="24"/>
          <w:lang w:val="en-US"/>
        </w:rPr>
        <w:t>Vol. </w:t>
      </w:r>
      <w:r w:rsidR="00431FC9"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5, </w:t>
      </w:r>
      <w:r w:rsidR="007F367D">
        <w:rPr>
          <w:rFonts w:asciiTheme="majorBidi" w:hAnsiTheme="majorBidi" w:cstheme="majorBidi"/>
          <w:sz w:val="24"/>
          <w:szCs w:val="24"/>
          <w:lang w:val="uk-UA"/>
        </w:rPr>
        <w:t>Р. </w:t>
      </w:r>
      <w:r w:rsidR="00431FC9"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>107–115</w:t>
      </w:r>
      <w:r w:rsidR="00D31EC8" w:rsidRPr="00D31EC8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. </w:t>
      </w:r>
      <w:r w:rsidR="000E79AF" w:rsidRPr="000E79AF">
        <w:rPr>
          <w:rFonts w:asciiTheme="majorBidi" w:hAnsiTheme="majorBidi" w:cstheme="majorBidi"/>
          <w:kern w:val="2"/>
          <w:sz w:val="24"/>
          <w:szCs w:val="24"/>
          <w:lang w:val="en-US"/>
        </w:rPr>
        <w:t>DOI:</w:t>
      </w:r>
      <w:r w:rsidR="000E79AF" w:rsidRPr="00AA6570">
        <w:rPr>
          <w:rFonts w:asciiTheme="majorBidi" w:hAnsiTheme="majorBidi" w:cstheme="majorBidi"/>
          <w:kern w:val="2"/>
          <w:sz w:val="24"/>
          <w:szCs w:val="24"/>
          <w:lang w:val="en-US"/>
        </w:rPr>
        <w:t> </w:t>
      </w:r>
      <w:r>
        <w:fldChar w:fldCharType="begin"/>
      </w:r>
      <w:r w:rsidRPr="00AA6570">
        <w:rPr>
          <w:lang w:val="en-US"/>
        </w:rPr>
        <w:instrText>HYPERLINK "https://doi.org/10.33271/nvngu/2024-5/107"</w:instrText>
      </w:r>
      <w:r>
        <w:fldChar w:fldCharType="separate"/>
      </w:r>
      <w:r w:rsidR="000E79AF" w:rsidRPr="00AA6570">
        <w:rPr>
          <w:rStyle w:val="a6"/>
          <w:rFonts w:asciiTheme="majorBidi" w:hAnsiTheme="majorBidi" w:cstheme="majorBidi"/>
          <w:kern w:val="2"/>
          <w:sz w:val="24"/>
          <w:szCs w:val="24"/>
          <w:lang w:val="en-US"/>
        </w:rPr>
        <w:t>https://doi.org/10.33271/nvngu/2024-5/107</w:t>
      </w:r>
      <w:r>
        <w:fldChar w:fldCharType="end"/>
      </w:r>
    </w:p>
    <w:p w:rsidR="001048CF" w:rsidRPr="00673736" w:rsidRDefault="001048CF" w:rsidP="001048CF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jc w:val="both"/>
        <w:rPr>
          <w:rFonts w:asciiTheme="majorBidi" w:hAnsiTheme="majorBidi" w:cstheme="majorBidi"/>
          <w:kern w:val="2"/>
          <w:sz w:val="24"/>
          <w:szCs w:val="24"/>
          <w:lang w:val="en-US"/>
        </w:rPr>
      </w:pP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>Barabash</w:t>
      </w:r>
      <w:r w:rsidRPr="00431FC9">
        <w:rPr>
          <w:rFonts w:asciiTheme="majorBidi" w:hAnsiTheme="majorBidi" w:cstheme="majorBidi"/>
          <w:kern w:val="2"/>
          <w:sz w:val="24"/>
          <w:szCs w:val="24"/>
          <w:lang w:val="uk-UA"/>
        </w:rPr>
        <w:t>,</w:t>
      </w: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 O. V., </w:t>
      </w:r>
      <w:proofErr w:type="spellStart"/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>Lozova</w:t>
      </w:r>
      <w:proofErr w:type="spellEnd"/>
      <w:r w:rsidRPr="00431FC9">
        <w:rPr>
          <w:rFonts w:asciiTheme="majorBidi" w:hAnsiTheme="majorBidi" w:cstheme="majorBidi"/>
          <w:kern w:val="2"/>
          <w:sz w:val="24"/>
          <w:szCs w:val="24"/>
          <w:lang w:val="uk-UA"/>
        </w:rPr>
        <w:t>,</w:t>
      </w: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 T. M., Kozlova</w:t>
      </w:r>
      <w:r w:rsidRPr="00431FC9">
        <w:rPr>
          <w:rFonts w:asciiTheme="majorBidi" w:hAnsiTheme="majorBidi" w:cstheme="majorBidi"/>
          <w:kern w:val="2"/>
          <w:sz w:val="24"/>
          <w:szCs w:val="24"/>
          <w:lang w:val="uk-UA"/>
        </w:rPr>
        <w:t>,</w:t>
      </w: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 T. A. Assessment of the urban environment quality in Kyiv. </w:t>
      </w:r>
      <w:proofErr w:type="spellStart"/>
      <w:r w:rsidRPr="00431FC9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>Acta</w:t>
      </w:r>
      <w:proofErr w:type="spellEnd"/>
      <w:r w:rsidRPr="00431FC9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 xml:space="preserve"> </w:t>
      </w:r>
      <w:proofErr w:type="spellStart"/>
      <w:r w:rsidRPr="00431FC9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>Carpatica</w:t>
      </w:r>
      <w:proofErr w:type="spellEnd"/>
      <w:r w:rsidRPr="00431FC9">
        <w:rPr>
          <w:rFonts w:asciiTheme="majorBidi" w:hAnsiTheme="majorBidi" w:cstheme="majorBidi"/>
          <w:kern w:val="2"/>
          <w:sz w:val="24"/>
          <w:szCs w:val="24"/>
          <w:lang w:val="uk-UA"/>
        </w:rPr>
        <w:t>,</w:t>
      </w: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2018, </w:t>
      </w:r>
      <w:r w:rsidRPr="00431FC9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>27</w:t>
      </w:r>
      <w:r w:rsidRPr="00431FC9">
        <w:rPr>
          <w:rFonts w:asciiTheme="majorBidi" w:hAnsiTheme="majorBidi" w:cstheme="majorBidi"/>
          <w:kern w:val="2"/>
          <w:sz w:val="24"/>
          <w:szCs w:val="24"/>
          <w:lang w:val="uk-UA"/>
        </w:rPr>
        <w:t>,</w:t>
      </w: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kern w:val="2"/>
          <w:sz w:val="24"/>
          <w:szCs w:val="24"/>
        </w:rPr>
        <w:t>Р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. </w:t>
      </w:r>
      <w:r w:rsidRPr="00431FC9">
        <w:rPr>
          <w:rFonts w:asciiTheme="majorBidi" w:hAnsiTheme="majorBidi" w:cstheme="majorBidi"/>
          <w:kern w:val="2"/>
          <w:sz w:val="24"/>
          <w:szCs w:val="24"/>
          <w:lang w:val="en-US"/>
        </w:rPr>
        <w:t>5−11.</w:t>
      </w:r>
      <w:r w:rsidRPr="00431FC9">
        <w:rPr>
          <w:sz w:val="24"/>
          <w:szCs w:val="24"/>
          <w:lang w:val="en-US"/>
        </w:rPr>
        <w:t xml:space="preserve"> </w:t>
      </w:r>
      <w:r w:rsidRPr="007F367D">
        <w:rPr>
          <w:rFonts w:asciiTheme="majorBidi" w:hAnsiTheme="majorBidi" w:cstheme="majorBidi"/>
          <w:sz w:val="24"/>
          <w:szCs w:val="24"/>
          <w:lang w:val="en-US"/>
        </w:rPr>
        <w:t>URL:</w:t>
      </w:r>
      <w:r>
        <w:rPr>
          <w:sz w:val="24"/>
          <w:szCs w:val="24"/>
          <w:lang w:val="en-US"/>
        </w:rPr>
        <w:t> </w:t>
      </w:r>
      <w:r w:rsidR="00C72130">
        <w:fldChar w:fldCharType="begin"/>
      </w:r>
      <w:r w:rsidR="00C72130" w:rsidRPr="00AA6570">
        <w:rPr>
          <w:lang w:val="en-US"/>
        </w:rPr>
        <w:instrText>HYPERLINK "http://journals.dspu.in.ua/index.php/actacarpathica/issue/view/27/27"</w:instrText>
      </w:r>
      <w:r w:rsidR="00C72130">
        <w:fldChar w:fldCharType="separate"/>
      </w:r>
      <w:r w:rsidRPr="00B27F9E">
        <w:rPr>
          <w:rStyle w:val="a6"/>
          <w:rFonts w:asciiTheme="majorBidi" w:hAnsiTheme="majorBidi" w:cstheme="majorBidi"/>
          <w:kern w:val="2"/>
          <w:sz w:val="24"/>
          <w:szCs w:val="24"/>
          <w:lang w:val="en-US"/>
        </w:rPr>
        <w:t>http://journals.dspu.in.ua/index.php/actacarpathica/issue/view/27/27</w:t>
      </w:r>
      <w:r w:rsidR="00C72130">
        <w:fldChar w:fldCharType="end"/>
      </w:r>
    </w:p>
    <w:p w:rsidR="001048CF" w:rsidRPr="007F367D" w:rsidRDefault="001048CF" w:rsidP="001048C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Style w:val="a6"/>
          <w:rFonts w:asciiTheme="majorBidi" w:hAnsiTheme="majorBidi" w:cstheme="majorBidi"/>
          <w:color w:val="auto"/>
          <w:sz w:val="24"/>
          <w:szCs w:val="24"/>
          <w:u w:val="none"/>
          <w:lang w:val="uk-UA"/>
        </w:rPr>
      </w:pPr>
      <w:r w:rsidRPr="007F367D">
        <w:rPr>
          <w:rFonts w:asciiTheme="majorBidi" w:hAnsiTheme="majorBidi" w:cstheme="majorBidi"/>
          <w:sz w:val="24"/>
          <w:szCs w:val="24"/>
          <w:lang w:val="en-US"/>
        </w:rPr>
        <w:t xml:space="preserve">Barabash O. V. Ecological hazard assessment of the atmospheric air at the urban ecosystem by the state of the deposit environment. </w:t>
      </w:r>
      <w:r w:rsidRPr="007F367D">
        <w:rPr>
          <w:rFonts w:asciiTheme="majorBidi" w:hAnsiTheme="majorBidi" w:cstheme="majorBidi"/>
          <w:i/>
          <w:sz w:val="24"/>
          <w:szCs w:val="24"/>
          <w:lang w:val="en-US"/>
        </w:rPr>
        <w:t>Proceedings of the National Aviation University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, 2019, </w:t>
      </w:r>
      <w:r w:rsidRPr="007F367D">
        <w:rPr>
          <w:rFonts w:asciiTheme="majorBidi" w:hAnsiTheme="majorBidi" w:cstheme="majorBidi"/>
          <w:sz w:val="24"/>
          <w:szCs w:val="24"/>
          <w:lang w:val="en-US"/>
        </w:rPr>
        <w:t xml:space="preserve">81(4). </w:t>
      </w:r>
      <w:r>
        <w:rPr>
          <w:rFonts w:asciiTheme="majorBidi" w:hAnsiTheme="majorBidi" w:cstheme="majorBidi"/>
          <w:sz w:val="24"/>
          <w:szCs w:val="24"/>
          <w:lang w:val="uk-UA"/>
        </w:rPr>
        <w:t>Р. </w:t>
      </w:r>
      <w:r w:rsidRPr="007F367D">
        <w:rPr>
          <w:rFonts w:asciiTheme="majorBidi" w:hAnsiTheme="majorBidi" w:cstheme="majorBidi"/>
          <w:sz w:val="24"/>
          <w:szCs w:val="24"/>
          <w:lang w:val="en-US"/>
        </w:rPr>
        <w:t>57−63</w:t>
      </w:r>
      <w:r w:rsidRPr="000E79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C72130">
        <w:fldChar w:fldCharType="begin"/>
      </w:r>
      <w:r w:rsidR="00C72130" w:rsidRPr="00AA6570">
        <w:rPr>
          <w:lang w:val="en-US"/>
        </w:rPr>
        <w:instrText>HYPERLINK "https://doi.org/10.18372/2306-1472.81.14602"</w:instrText>
      </w:r>
      <w:r w:rsidR="00C72130">
        <w:fldChar w:fldCharType="separate"/>
      </w:r>
      <w:r w:rsidRPr="000E79AF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A6570">
        <w:rPr>
          <w:rStyle w:val="a6"/>
          <w:rFonts w:asciiTheme="majorBidi" w:hAnsiTheme="majorBidi" w:cstheme="majorBidi"/>
          <w:sz w:val="24"/>
          <w:szCs w:val="24"/>
          <w:lang w:val="en-US"/>
        </w:rPr>
        <w:t>DOI:</w:t>
      </w:r>
      <w:r w:rsidRPr="000E79AF">
        <w:rPr>
          <w:rStyle w:val="a6"/>
          <w:rFonts w:asciiTheme="majorBidi" w:hAnsiTheme="majorBidi" w:cstheme="majorBidi"/>
          <w:sz w:val="24"/>
          <w:szCs w:val="24"/>
          <w:lang w:val="en-US"/>
        </w:rPr>
        <w:t>http://dx.doi.org/10.18372/2306-1472.81.14602</w:t>
      </w:r>
      <w:r w:rsidR="00C72130">
        <w:fldChar w:fldCharType="end"/>
      </w:r>
    </w:p>
    <w:p w:rsidR="001048CF" w:rsidRPr="001048CF" w:rsidRDefault="001048CF" w:rsidP="001048CF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jc w:val="both"/>
        <w:rPr>
          <w:rFonts w:asciiTheme="majorBidi" w:hAnsiTheme="majorBidi" w:cstheme="majorBidi"/>
          <w:kern w:val="2"/>
          <w:sz w:val="24"/>
          <w:szCs w:val="24"/>
          <w:lang w:val="en-US"/>
        </w:rPr>
      </w:pPr>
      <w:r w:rsidRPr="001048CF">
        <w:rPr>
          <w:rFonts w:asciiTheme="majorBidi" w:hAnsiTheme="majorBidi" w:cstheme="majorBidi"/>
          <w:kern w:val="2"/>
          <w:sz w:val="24"/>
          <w:szCs w:val="24"/>
        </w:rPr>
        <w:t xml:space="preserve">Барабаш О.В.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</w:rPr>
        <w:t>Оцінка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</w:rPr>
        <w:t xml:space="preserve"> </w:t>
      </w:r>
      <w:proofErr w:type="spellStart"/>
      <w:proofErr w:type="gramStart"/>
      <w:r w:rsidRPr="001048CF">
        <w:rPr>
          <w:rFonts w:asciiTheme="majorBidi" w:hAnsiTheme="majorBidi" w:cstheme="majorBidi"/>
          <w:kern w:val="2"/>
          <w:sz w:val="24"/>
          <w:szCs w:val="24"/>
        </w:rPr>
        <w:t>р</w:t>
      </w:r>
      <w:proofErr w:type="gramEnd"/>
      <w:r w:rsidRPr="001048CF">
        <w:rPr>
          <w:rFonts w:asciiTheme="majorBidi" w:hAnsiTheme="majorBidi" w:cstheme="majorBidi"/>
          <w:kern w:val="2"/>
          <w:sz w:val="24"/>
          <w:szCs w:val="24"/>
        </w:rPr>
        <w:t>івня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</w:rPr>
        <w:t xml:space="preserve">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</w:rPr>
        <w:t>забруднення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</w:rPr>
        <w:t xml:space="preserve"> атмосферного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</w:rPr>
        <w:t>повітря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</w:rPr>
        <w:t xml:space="preserve"> методом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</w:rPr>
        <w:t>дендроіндикації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</w:rPr>
        <w:t xml:space="preserve">. </w:t>
      </w:r>
      <w:proofErr w:type="spellStart"/>
      <w:r w:rsidRPr="001048CF">
        <w:rPr>
          <w:rFonts w:asciiTheme="majorBidi" w:hAnsiTheme="majorBidi" w:cstheme="majorBidi"/>
          <w:i/>
          <w:iCs/>
          <w:kern w:val="2"/>
          <w:sz w:val="24"/>
          <w:szCs w:val="24"/>
        </w:rPr>
        <w:t>Екологічні</w:t>
      </w:r>
      <w:proofErr w:type="spellEnd"/>
      <w:r w:rsidRPr="001048CF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 xml:space="preserve"> </w:t>
      </w:r>
      <w:r w:rsidRPr="001048CF">
        <w:rPr>
          <w:rFonts w:asciiTheme="majorBidi" w:hAnsiTheme="majorBidi" w:cstheme="majorBidi"/>
          <w:i/>
          <w:iCs/>
          <w:kern w:val="2"/>
          <w:sz w:val="24"/>
          <w:szCs w:val="24"/>
        </w:rPr>
        <w:t>науки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. 2019.</w:t>
      </w:r>
      <w:r w:rsidRPr="001048CF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 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№ 4 (27). </w:t>
      </w:r>
      <w:r w:rsidRPr="001048CF">
        <w:rPr>
          <w:rFonts w:asciiTheme="majorBidi" w:hAnsiTheme="majorBidi" w:cstheme="majorBidi"/>
          <w:kern w:val="2"/>
          <w:sz w:val="24"/>
          <w:szCs w:val="24"/>
        </w:rPr>
        <w:t>С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. 102–107</w:t>
      </w:r>
      <w:r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. 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DOI</w:t>
      </w:r>
      <w:r w:rsidRPr="001048CF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: </w:t>
      </w:r>
      <w:hyperlink r:id="rId5" w:history="1">
        <w:r w:rsidRPr="00B27F9E">
          <w:rPr>
            <w:rStyle w:val="a6"/>
            <w:rFonts w:asciiTheme="majorBidi" w:hAnsiTheme="majorBidi" w:cstheme="majorBidi"/>
            <w:kern w:val="2"/>
            <w:sz w:val="24"/>
            <w:szCs w:val="24"/>
            <w:lang w:val="en-US"/>
          </w:rPr>
          <w:t>https://doi.org/10.32846/2306-9716-2019-4-27-14</w:t>
        </w:r>
      </w:hyperlink>
    </w:p>
    <w:p w:rsidR="007F367D" w:rsidRPr="007F367D" w:rsidRDefault="00431FC9" w:rsidP="000E79AF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jc w:val="both"/>
        <w:rPr>
          <w:rFonts w:asciiTheme="majorBidi" w:hAnsiTheme="majorBidi" w:cstheme="majorBidi"/>
          <w:kern w:val="2"/>
          <w:sz w:val="24"/>
          <w:szCs w:val="24"/>
          <w:lang w:val="en-US"/>
        </w:rPr>
      </w:pPr>
      <w:r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Barabash, O., Weigang, G. (2021). Mathematical Modeling of the Summarizing Index for the Biosystems Status as a Tool to Control the Functioning of the Environmental Management System at Business Entities. </w:t>
      </w:r>
      <w:r w:rsidRPr="007F367D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>Mathematical Modeling and Simulation of Systems (MODS'2020)</w:t>
      </w:r>
      <w:r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, </w:t>
      </w:r>
      <w:r w:rsidR="007F367D" w:rsidRPr="007F367D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2021, </w:t>
      </w:r>
      <w:r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1265, </w:t>
      </w:r>
      <w:r w:rsidR="007F367D" w:rsidRPr="007F367D">
        <w:rPr>
          <w:rFonts w:asciiTheme="majorBidi" w:hAnsiTheme="majorBidi" w:cstheme="majorBidi"/>
          <w:sz w:val="24"/>
          <w:szCs w:val="24"/>
          <w:lang w:val="uk-UA"/>
        </w:rPr>
        <w:t>Р. </w:t>
      </w:r>
      <w:r w:rsidRPr="007F367D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56−66. </w:t>
      </w:r>
      <w:r w:rsidR="00C72130">
        <w:fldChar w:fldCharType="begin"/>
      </w:r>
      <w:r w:rsidR="00C72130" w:rsidRPr="00AA6570">
        <w:rPr>
          <w:lang w:val="en-US"/>
        </w:rPr>
        <w:instrText>HYPERLINK "http://dx.doi.org/10.1007/978-3-030-58124-4_6"</w:instrText>
      </w:r>
      <w:r w:rsidR="00C72130">
        <w:fldChar w:fldCharType="separate"/>
      </w:r>
      <w:r w:rsidR="007F367D" w:rsidRPr="000E79AF">
        <w:rPr>
          <w:rStyle w:val="a6"/>
          <w:lang w:val="en-US"/>
        </w:rPr>
        <w:t xml:space="preserve"> </w:t>
      </w:r>
      <w:r w:rsidR="000E79AF" w:rsidRPr="00AA6570">
        <w:rPr>
          <w:rStyle w:val="a6"/>
          <w:rFonts w:asciiTheme="majorBidi" w:hAnsiTheme="majorBidi" w:cstheme="majorBidi"/>
          <w:sz w:val="24"/>
          <w:szCs w:val="24"/>
          <w:lang w:val="en-US"/>
        </w:rPr>
        <w:t>DOI:</w:t>
      </w:r>
      <w:r w:rsidR="007F367D" w:rsidRPr="000E79AF">
        <w:rPr>
          <w:rStyle w:val="a6"/>
          <w:rFonts w:asciiTheme="majorBidi" w:hAnsiTheme="majorBidi" w:cstheme="majorBidi"/>
          <w:kern w:val="2"/>
          <w:sz w:val="24"/>
          <w:szCs w:val="24"/>
          <w:lang w:val="en-US"/>
        </w:rPr>
        <w:t>https://doi.org/</w:t>
      </w:r>
      <w:r w:rsidRPr="000E79AF">
        <w:rPr>
          <w:rStyle w:val="a6"/>
          <w:rFonts w:asciiTheme="majorBidi" w:hAnsiTheme="majorBidi" w:cstheme="majorBidi"/>
          <w:kern w:val="2"/>
          <w:sz w:val="24"/>
          <w:szCs w:val="24"/>
          <w:lang w:val="en-US"/>
        </w:rPr>
        <w:t>10.1007/978-3-030-58124-4_6</w:t>
      </w:r>
      <w:r w:rsidR="00C72130">
        <w:fldChar w:fldCharType="end"/>
      </w:r>
      <w:r w:rsidRPr="007F367D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 </w:t>
      </w:r>
    </w:p>
    <w:p w:rsidR="007F367D" w:rsidRPr="001048CF" w:rsidRDefault="00673736" w:rsidP="004C47DC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Barabash, O., Weigang, G.,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Dychko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, A.,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Belokon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, K., </w:t>
      </w:r>
      <w:proofErr w:type="spellStart"/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Zhelnovach</w:t>
      </w:r>
      <w:proofErr w:type="spellEnd"/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, G. Modeling a Set of Management Approaches for the Effective Operation of the Environmental Management System at 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lastRenderedPageBreak/>
        <w:t xml:space="preserve">the Business Entities. </w:t>
      </w:r>
      <w:r w:rsidRPr="001048CF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 xml:space="preserve">Ecological Engineering &amp; Environmental Technology, 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2021</w:t>
      </w:r>
      <w:r w:rsidRPr="001048CF">
        <w:rPr>
          <w:rFonts w:asciiTheme="majorBidi" w:hAnsiTheme="majorBidi" w:cstheme="majorBidi"/>
          <w:kern w:val="2"/>
          <w:sz w:val="24"/>
          <w:szCs w:val="24"/>
          <w:lang w:val="uk-UA"/>
        </w:rPr>
        <w:t>,</w:t>
      </w:r>
      <w:r w:rsidRPr="001048CF">
        <w:rPr>
          <w:rFonts w:asciiTheme="majorBidi" w:hAnsiTheme="majorBidi" w:cstheme="majorBidi"/>
          <w:i/>
          <w:iCs/>
          <w:kern w:val="2"/>
          <w:sz w:val="24"/>
          <w:szCs w:val="24"/>
          <w:lang w:val="en-US"/>
        </w:rPr>
        <w:t xml:space="preserve"> 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>22(6),</w:t>
      </w:r>
      <w:r w:rsidRPr="001048CF">
        <w:rPr>
          <w:rFonts w:asciiTheme="majorBidi" w:hAnsiTheme="majorBidi" w:cstheme="majorBidi"/>
          <w:kern w:val="2"/>
          <w:sz w:val="24"/>
          <w:szCs w:val="24"/>
          <w:lang w:val="uk-UA"/>
        </w:rPr>
        <w:t xml:space="preserve"> </w:t>
      </w:r>
      <w:r w:rsidRPr="001048CF">
        <w:rPr>
          <w:rFonts w:asciiTheme="majorBidi" w:hAnsiTheme="majorBidi" w:cstheme="majorBidi"/>
          <w:sz w:val="24"/>
          <w:szCs w:val="24"/>
          <w:lang w:val="uk-UA"/>
        </w:rPr>
        <w:t>Р. </w:t>
      </w:r>
      <w:r w:rsidRPr="001048CF">
        <w:rPr>
          <w:rFonts w:asciiTheme="majorBidi" w:hAnsiTheme="majorBidi" w:cstheme="majorBidi"/>
          <w:kern w:val="2"/>
          <w:sz w:val="24"/>
          <w:szCs w:val="24"/>
          <w:lang w:val="en-US"/>
        </w:rPr>
        <w:t xml:space="preserve">1-10. </w:t>
      </w:r>
      <w:hyperlink r:id="rId6" w:history="1">
        <w:r w:rsidRPr="001048CF">
          <w:rPr>
            <w:rStyle w:val="a6"/>
            <w:rFonts w:asciiTheme="majorBidi" w:hAnsiTheme="majorBidi" w:cstheme="majorBidi"/>
            <w:kern w:val="2"/>
            <w:sz w:val="24"/>
            <w:szCs w:val="24"/>
            <w:lang w:val="en-US"/>
          </w:rPr>
          <w:br/>
          <w:t>DOI: https://doi.org/10.12912/27197050/141895</w:t>
        </w:r>
      </w:hyperlink>
    </w:p>
    <w:sectPr w:rsidR="007F367D" w:rsidRPr="001048CF" w:rsidSect="00DF35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5DC9"/>
    <w:multiLevelType w:val="multilevel"/>
    <w:tmpl w:val="63D4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20D4A"/>
    <w:multiLevelType w:val="hybridMultilevel"/>
    <w:tmpl w:val="077EDDB6"/>
    <w:lvl w:ilvl="0" w:tplc="0A56E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AA0CF5"/>
    <w:multiLevelType w:val="hybridMultilevel"/>
    <w:tmpl w:val="417A4CD6"/>
    <w:lvl w:ilvl="0" w:tplc="E92823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2222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1258"/>
    <w:multiLevelType w:val="multilevel"/>
    <w:tmpl w:val="C8B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40D"/>
    <w:rsid w:val="000E79AF"/>
    <w:rsid w:val="001048CF"/>
    <w:rsid w:val="00216506"/>
    <w:rsid w:val="00431FC9"/>
    <w:rsid w:val="005F1C81"/>
    <w:rsid w:val="00673736"/>
    <w:rsid w:val="006B640D"/>
    <w:rsid w:val="007C7BED"/>
    <w:rsid w:val="007E7135"/>
    <w:rsid w:val="007F367D"/>
    <w:rsid w:val="00847D2E"/>
    <w:rsid w:val="009907F0"/>
    <w:rsid w:val="00AA6570"/>
    <w:rsid w:val="00BA62FD"/>
    <w:rsid w:val="00C72130"/>
    <w:rsid w:val="00C96DEA"/>
    <w:rsid w:val="00D00010"/>
    <w:rsid w:val="00D31EC8"/>
    <w:rsid w:val="00D97851"/>
    <w:rsid w:val="00DF352E"/>
    <w:rsid w:val="00FA114F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51"/>
  </w:style>
  <w:style w:type="paragraph" w:styleId="3">
    <w:name w:val="heading 3"/>
    <w:basedOn w:val="a"/>
    <w:link w:val="30"/>
    <w:uiPriority w:val="9"/>
    <w:qFormat/>
    <w:rsid w:val="006B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6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64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640D"/>
    <w:rPr>
      <w:b/>
      <w:bCs/>
    </w:rPr>
  </w:style>
  <w:style w:type="paragraph" w:styleId="a4">
    <w:name w:val="Normal (Web)"/>
    <w:basedOn w:val="a"/>
    <w:uiPriority w:val="99"/>
    <w:semiHidden/>
    <w:unhideWhenUsed/>
    <w:rsid w:val="006B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1F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1F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F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E7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OI:&#160;https://doi.org/10.12912/27197050/141895" TargetMode="External"/><Relationship Id="rId5" Type="http://schemas.openxmlformats.org/officeDocument/2006/relationships/hyperlink" Target="https://doi.org/10.32846/2306-9716-2019-4-27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Ярик</cp:lastModifiedBy>
  <cp:revision>2</cp:revision>
  <dcterms:created xsi:type="dcterms:W3CDTF">2024-11-27T08:21:00Z</dcterms:created>
  <dcterms:modified xsi:type="dcterms:W3CDTF">2024-11-27T08:21:00Z</dcterms:modified>
</cp:coreProperties>
</file>