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F0E3E" w14:textId="77777777" w:rsidR="00BF2551" w:rsidRPr="00BF2551" w:rsidRDefault="00BF2551" w:rsidP="00BF2551">
      <w:pPr>
        <w:ind w:firstLine="0"/>
        <w:jc w:val="right"/>
        <w:rPr>
          <w:rFonts w:eastAsia="Calibri" w:cs="Times New Roman"/>
          <w:kern w:val="0"/>
          <w:szCs w:val="28"/>
          <w14:ligatures w14:val="none"/>
        </w:rPr>
      </w:pPr>
      <w:r w:rsidRPr="00BF2551">
        <w:rPr>
          <w:rFonts w:eastAsia="Calibri" w:cs="Times New Roman"/>
          <w:kern w:val="0"/>
          <w:szCs w:val="28"/>
          <w14:ligatures w14:val="none"/>
        </w:rPr>
        <w:t>Гузенко Тетяна Сергіївна, к.е.н., доцент</w:t>
      </w:r>
    </w:p>
    <w:p w14:paraId="2C2212BA" w14:textId="77777777" w:rsidR="00BF2551" w:rsidRPr="00BF2551" w:rsidRDefault="00BF2551" w:rsidP="00BF2551">
      <w:pPr>
        <w:ind w:firstLine="0"/>
        <w:jc w:val="right"/>
        <w:rPr>
          <w:rFonts w:eastAsia="Calibri" w:cs="Times New Roman"/>
          <w:kern w:val="0"/>
          <w:szCs w:val="28"/>
          <w14:ligatures w14:val="none"/>
        </w:rPr>
      </w:pPr>
      <w:r w:rsidRPr="00BF2551">
        <w:rPr>
          <w:rFonts w:eastAsia="Calibri" w:cs="Times New Roman"/>
          <w:kern w:val="0"/>
          <w:szCs w:val="28"/>
          <w14:ligatures w14:val="none"/>
        </w:rPr>
        <w:t>Сумський національний агарний університет, м. Суми</w:t>
      </w:r>
    </w:p>
    <w:p w14:paraId="323537DF" w14:textId="77777777" w:rsidR="00BF2551" w:rsidRPr="00BF2551" w:rsidRDefault="00BF2551" w:rsidP="00BF2551">
      <w:pPr>
        <w:ind w:firstLine="0"/>
        <w:jc w:val="right"/>
        <w:rPr>
          <w:rFonts w:eastAsia="Calibri" w:cs="Times New Roman"/>
          <w:kern w:val="0"/>
          <w:szCs w:val="28"/>
          <w14:ligatures w14:val="none"/>
        </w:rPr>
      </w:pPr>
      <w:r w:rsidRPr="00BF2551">
        <w:rPr>
          <w:rFonts w:eastAsia="Calibri" w:cs="Times New Roman"/>
          <w:kern w:val="0"/>
          <w:szCs w:val="28"/>
          <w14:ligatures w14:val="none"/>
        </w:rPr>
        <w:t>ORCID 0000-0002-2520-7871</w:t>
      </w:r>
    </w:p>
    <w:p w14:paraId="139B90C6" w14:textId="7B0E26F8" w:rsidR="00BF2551" w:rsidRPr="005D0B5F" w:rsidRDefault="00BF2551" w:rsidP="00BF2551">
      <w:pPr>
        <w:jc w:val="right"/>
        <w:rPr>
          <w:rFonts w:cs="Times New Roman"/>
          <w:szCs w:val="28"/>
        </w:rPr>
      </w:pPr>
      <w:r w:rsidRPr="005D0B5F">
        <w:rPr>
          <w:rFonts w:cs="Times New Roman"/>
          <w:szCs w:val="28"/>
        </w:rPr>
        <w:t>Волкова Анастасія Миколаївна</w:t>
      </w:r>
      <w:r w:rsidRPr="005D0B5F">
        <w:rPr>
          <w:rFonts w:cs="Times New Roman"/>
          <w:szCs w:val="28"/>
        </w:rPr>
        <w:t>, магістрант</w:t>
      </w:r>
    </w:p>
    <w:p w14:paraId="520DB2A0" w14:textId="77777777" w:rsidR="00BF2551" w:rsidRPr="005D0B5F" w:rsidRDefault="00BF2551" w:rsidP="00BF2551">
      <w:pPr>
        <w:jc w:val="right"/>
        <w:rPr>
          <w:rFonts w:cs="Times New Roman"/>
          <w:szCs w:val="28"/>
        </w:rPr>
      </w:pPr>
      <w:r w:rsidRPr="005D0B5F">
        <w:rPr>
          <w:rFonts w:cs="Times New Roman"/>
          <w:szCs w:val="28"/>
        </w:rPr>
        <w:t>Сумський національний агарний університет, м. Суми</w:t>
      </w:r>
    </w:p>
    <w:p w14:paraId="728A94E4" w14:textId="77777777" w:rsidR="00BF2551" w:rsidRPr="005D0B5F" w:rsidRDefault="00BF2551" w:rsidP="00BF2551">
      <w:pPr>
        <w:jc w:val="center"/>
        <w:rPr>
          <w:rFonts w:cs="Times New Roman"/>
          <w:caps/>
          <w:szCs w:val="28"/>
        </w:rPr>
      </w:pPr>
    </w:p>
    <w:p w14:paraId="497ED6D4" w14:textId="6808FA99" w:rsidR="00BF2551" w:rsidRPr="005D0B5F" w:rsidRDefault="00BF2551" w:rsidP="00BF2551">
      <w:pPr>
        <w:pStyle w:val="af0"/>
        <w:spacing w:before="0" w:after="0" w:line="36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  <w:r w:rsidRPr="00BF2551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Фінансова грамотність суб’єктів господарювання як об’єкт наукових досліджень</w:t>
      </w:r>
    </w:p>
    <w:p w14:paraId="02674465" w14:textId="77777777" w:rsidR="00BF2551" w:rsidRPr="005D0B5F" w:rsidRDefault="00BF2551" w:rsidP="00BF2551">
      <w:pPr>
        <w:pStyle w:val="af0"/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6A4E475" w14:textId="77777777" w:rsidR="005D0B5F" w:rsidRPr="00BF2551" w:rsidRDefault="005D0B5F" w:rsidP="005D0B5F">
      <w:pPr>
        <w:jc w:val="both"/>
      </w:pPr>
      <w:r w:rsidRPr="005D0B5F">
        <w:t xml:space="preserve">В умовах </w:t>
      </w:r>
      <w:r w:rsidRPr="00BF2551">
        <w:t>турбулентності фінансових ринків та посилення конкуренції фінансова грамотність суб’єктів господарювання розглядається як ключовий чинник їх стійкості, інвестиційної привабливості та здатності до довгострокового розвитку. Якщо традиційно поняття «фінансова грамотність» ототожнювали переважно з рівнем фінансових знань населення, то нині досить активно розвивається напрям досліджень, спрямований на вивчення фінансової грамотності мікро-, малих та середніх підприємств.</w:t>
      </w:r>
    </w:p>
    <w:p w14:paraId="4EDD1E84" w14:textId="61CA4F24" w:rsidR="005D0B5F" w:rsidRPr="00BF2551" w:rsidRDefault="005D0B5F" w:rsidP="005D0B5F">
      <w:pPr>
        <w:jc w:val="both"/>
      </w:pPr>
      <w:r w:rsidRPr="005D0B5F">
        <w:t xml:space="preserve">Організаціє економічного співробітництва </w:t>
      </w:r>
      <w:r w:rsidRPr="00BF2551">
        <w:t xml:space="preserve">визначає фінансову грамотність </w:t>
      </w:r>
      <w:r w:rsidRPr="005D0B5F">
        <w:t xml:space="preserve">суб’єктів підприємницької діяльності </w:t>
      </w:r>
      <w:r w:rsidRPr="00BF2551">
        <w:t>як поєднання знань, навичок, установок та поведінки власників/менеджерів підприємств, що дає їм змогу приймати обґрунтовані фінансові рішення, ефективно користуватися фінансовими продуктами та послугами, управляти ризиками й забезпечувати стійкість бізнесу в умовах невизначеності</w:t>
      </w:r>
      <w:r w:rsidRPr="005D0B5F">
        <w:t xml:space="preserve"> [</w:t>
      </w:r>
      <w:r w:rsidR="00496963">
        <w:t>3</w:t>
      </w:r>
      <w:r w:rsidRPr="005D0B5F">
        <w:t>]</w:t>
      </w:r>
      <w:r w:rsidRPr="00BF2551">
        <w:t>.</w:t>
      </w:r>
    </w:p>
    <w:p w14:paraId="13E888C5" w14:textId="3C54C8DA" w:rsidR="005D0B5F" w:rsidRPr="00BF2551" w:rsidRDefault="005D0B5F" w:rsidP="005D0B5F">
      <w:pPr>
        <w:jc w:val="both"/>
      </w:pPr>
      <w:r w:rsidRPr="00BF2551">
        <w:t>Всесвітній банк запроваджує близьке за змістом поняття «фінансова спроможність» (</w:t>
      </w:r>
      <w:proofErr w:type="spellStart"/>
      <w:r w:rsidRPr="00BF2551">
        <w:t>financial</w:t>
      </w:r>
      <w:proofErr w:type="spellEnd"/>
      <w:r w:rsidRPr="00BF2551">
        <w:t xml:space="preserve"> </w:t>
      </w:r>
      <w:proofErr w:type="spellStart"/>
      <w:r w:rsidRPr="00BF2551">
        <w:t>capability</w:t>
      </w:r>
      <w:proofErr w:type="spellEnd"/>
      <w:r w:rsidRPr="00BF2551">
        <w:t>), під якою розуміють внутрішню здатність економічних суб’єктів діяти в їхніх найкращих фінансових інтересах з урахуванням економічного й інституційного середовища</w:t>
      </w:r>
      <w:r w:rsidRPr="005D0B5F">
        <w:t xml:space="preserve"> [</w:t>
      </w:r>
      <w:r w:rsidR="00496963">
        <w:t>1</w:t>
      </w:r>
      <w:r w:rsidRPr="005D0B5F">
        <w:t>]</w:t>
      </w:r>
      <w:r w:rsidRPr="00BF2551">
        <w:t>. Це поняття включає не лише знання, а й поведінкові аспекти: планування, контроль витрат, управління боргом, здатність оцінювати фінансові ризики та порівнювати альтернативні фінансові інструменти.</w:t>
      </w:r>
    </w:p>
    <w:p w14:paraId="5AD3A6BC" w14:textId="77777777" w:rsidR="005D0B5F" w:rsidRPr="00BF2551" w:rsidRDefault="005D0B5F" w:rsidP="005D0B5F">
      <w:pPr>
        <w:jc w:val="both"/>
      </w:pPr>
      <w:r w:rsidRPr="00BF2551">
        <w:lastRenderedPageBreak/>
        <w:t xml:space="preserve">В українській економічній літературі фінансова грамотність найчастіше трактується як сукупність знань, умінь, навичок і моделей поведінки, що забезпечують раціональне прийняття фінансових рішень на рівні домогосподарств та суб’єктів господарювання. Дослідники підкреслюють, що для бізнесу, особливо для </w:t>
      </w:r>
      <w:r w:rsidRPr="005D0B5F">
        <w:t>суб’єктів підприємництва</w:t>
      </w:r>
      <w:r w:rsidRPr="00BF2551">
        <w:t>, критичним є розуміння вартості капіталу, структури фінансових ресурсів, джерел фінансування, інструментів управління ліквідністю, податкових та регуляторних вимог.</w:t>
      </w:r>
    </w:p>
    <w:p w14:paraId="04B06AD8" w14:textId="6ABC81DF" w:rsidR="005D0B5F" w:rsidRPr="00BF2551" w:rsidRDefault="005D0B5F" w:rsidP="005D0B5F">
      <w:pPr>
        <w:jc w:val="both"/>
      </w:pPr>
      <w:r w:rsidRPr="00BF2551">
        <w:t>На макрорівні важливість підвищення фінансової грамотності підприємців відображена в оновленій Національній стратегії розвитку фінансової грамотності до 2030 року, яка виокремлює підприємців-початківців та представників малого бізнесу як одну з ключових цільових груп</w:t>
      </w:r>
      <w:r w:rsidRPr="005D0B5F">
        <w:t xml:space="preserve"> [</w:t>
      </w:r>
      <w:r w:rsidR="00496963">
        <w:t>2</w:t>
      </w:r>
      <w:r w:rsidRPr="005D0B5F">
        <w:t>]</w:t>
      </w:r>
      <w:r w:rsidRPr="00BF2551">
        <w:t>. Це формує запит на інституційні механізми, що здатні забезпечити адресну фінансову освіту та консультування бізнесу, серед яких значну роль відіграють консалтингові компанії.</w:t>
      </w:r>
    </w:p>
    <w:p w14:paraId="7EFF8D33" w14:textId="77777777" w:rsidR="005D0B5F" w:rsidRPr="005D0B5F" w:rsidRDefault="005D0B5F" w:rsidP="005D0B5F">
      <w:pPr>
        <w:jc w:val="both"/>
      </w:pPr>
      <w:r w:rsidRPr="005D0B5F">
        <w:t>На наше особисте переконання</w:t>
      </w:r>
      <w:r w:rsidRPr="00BF2551">
        <w:t xml:space="preserve"> доцільно розглядати фінансову грамотність суб’єктів господарювання в таких вимірах:</w:t>
      </w:r>
    </w:p>
    <w:p w14:paraId="2CD8C83A" w14:textId="77777777" w:rsidR="005D0B5F" w:rsidRPr="005D0B5F" w:rsidRDefault="005D0B5F" w:rsidP="005D0B5F">
      <w:pPr>
        <w:jc w:val="both"/>
      </w:pPr>
      <w:r w:rsidRPr="005D0B5F">
        <w:t xml:space="preserve">1) </w:t>
      </w:r>
      <w:r w:rsidRPr="00BF2551">
        <w:t>когнітивний – знання базових фінансових понять (дохід, витрати, прибуток, грошові потоки, дисконтна ставка, NPV, IRR, фінансовий важіль, податкове навантаження тощо);</w:t>
      </w:r>
    </w:p>
    <w:p w14:paraId="138625BA" w14:textId="77777777" w:rsidR="005D0B5F" w:rsidRPr="005D0B5F" w:rsidRDefault="005D0B5F" w:rsidP="005D0B5F">
      <w:pPr>
        <w:jc w:val="both"/>
      </w:pPr>
      <w:r w:rsidRPr="005D0B5F">
        <w:t xml:space="preserve">2) </w:t>
      </w:r>
      <w:r w:rsidRPr="00BF2551">
        <w:t>операційний – практичні навички складання бюджетів, фінансових планів, аналізу фінансової звітності, вибору банківських продуктів, роботи з податковими консультантами, аудиторами, інвесторами;</w:t>
      </w:r>
    </w:p>
    <w:p w14:paraId="1C61FD15" w14:textId="77777777" w:rsidR="005D0B5F" w:rsidRPr="005D0B5F" w:rsidRDefault="005D0B5F" w:rsidP="005D0B5F">
      <w:pPr>
        <w:jc w:val="both"/>
      </w:pPr>
      <w:r w:rsidRPr="005D0B5F">
        <w:t xml:space="preserve">3) </w:t>
      </w:r>
      <w:r w:rsidRPr="00BF2551">
        <w:t>поведінковий – схильність до планування, дотримання фінансової дисципліни, уникнення надмірного боргового навантаження, диверсифікація ризиків;</w:t>
      </w:r>
    </w:p>
    <w:p w14:paraId="7636BE0E" w14:textId="77777777" w:rsidR="005D0B5F" w:rsidRPr="00BF2551" w:rsidRDefault="005D0B5F" w:rsidP="005D0B5F">
      <w:pPr>
        <w:jc w:val="both"/>
      </w:pPr>
      <w:r w:rsidRPr="005D0B5F">
        <w:t xml:space="preserve">4) </w:t>
      </w:r>
      <w:r w:rsidRPr="00BF2551">
        <w:t>інституційний – здатність орієнтуватися в регуляторному полі, взаємодіяти з банками, небанківськими фінансовими установами, консалтинговими компаніями, державними програмами підтримки.</w:t>
      </w:r>
    </w:p>
    <w:p w14:paraId="7B0C332D" w14:textId="4593DD49" w:rsidR="005D0B5F" w:rsidRPr="005D0B5F" w:rsidRDefault="005D0B5F" w:rsidP="005D0B5F">
      <w:pPr>
        <w:jc w:val="both"/>
      </w:pPr>
      <w:r w:rsidRPr="00BF2551">
        <w:t xml:space="preserve">У міжнародній практиці для оцінювання фінансової грамотності </w:t>
      </w:r>
      <w:r w:rsidR="00496963" w:rsidRPr="005D0B5F">
        <w:t>суб’єктів</w:t>
      </w:r>
      <w:r w:rsidRPr="005D0B5F">
        <w:t xml:space="preserve"> підприємництва </w:t>
      </w:r>
      <w:r w:rsidRPr="00BF2551">
        <w:t xml:space="preserve">використовують стандартизовані анкетні інструменти, розроблені </w:t>
      </w:r>
      <w:r w:rsidRPr="005D0B5F">
        <w:t>Організацією економічного співробітництва</w:t>
      </w:r>
      <w:r w:rsidRPr="00BF2551">
        <w:t>, Всесвітнім банком</w:t>
      </w:r>
      <w:r w:rsidRPr="005D0B5F">
        <w:t xml:space="preserve"> та </w:t>
      </w:r>
      <w:r w:rsidRPr="00BF2551">
        <w:lastRenderedPageBreak/>
        <w:t>національними регуляторами. Ключові методичні підходи включають</w:t>
      </w:r>
      <w:r w:rsidRPr="005D0B5F">
        <w:t>, по-перше а</w:t>
      </w:r>
      <w:r w:rsidRPr="00BF2551">
        <w:t xml:space="preserve">нкетні обстеження власників/менеджерів </w:t>
      </w:r>
      <w:r w:rsidRPr="005D0B5F">
        <w:t>суб’єкта підприємництва (</w:t>
      </w:r>
      <w:r w:rsidRPr="00BF2551">
        <w:t>розуміння відсоткових ставок, інфляції, ризику, диверсифікації, реальної вартості грошей у часі;</w:t>
      </w:r>
      <w:r w:rsidRPr="005D0B5F">
        <w:t xml:space="preserve"> </w:t>
      </w:r>
      <w:r w:rsidRPr="00BF2551">
        <w:t>наявність бюджету, планування грошових потоків, аналіз фінансової звітності, використання консультацій;</w:t>
      </w:r>
      <w:r w:rsidRPr="005D0B5F">
        <w:t xml:space="preserve"> </w:t>
      </w:r>
      <w:r w:rsidRPr="00BF2551">
        <w:t>ставлення до боргу, заощаджень, ризику, прозорості бізнесу).</w:t>
      </w:r>
      <w:r w:rsidR="00496963">
        <w:t xml:space="preserve"> </w:t>
      </w:r>
      <w:r w:rsidRPr="005D0B5F">
        <w:t>Наступним етапом є присвоєння респондентам балів,</w:t>
      </w:r>
      <w:r w:rsidRPr="00BF2551">
        <w:t xml:space="preserve"> які згодом </w:t>
      </w:r>
      <w:proofErr w:type="spellStart"/>
      <w:r w:rsidRPr="00BF2551">
        <w:t>агрегують</w:t>
      </w:r>
      <w:proofErr w:type="spellEnd"/>
      <w:r w:rsidRPr="00BF2551">
        <w:t xml:space="preserve"> у композитний індекс фінансової грамотності підприємства. Для побудови індексу використовують або просте усереднення, або методи факторного аналізу/аналізу головних компонент.</w:t>
      </w:r>
    </w:p>
    <w:p w14:paraId="08615F22" w14:textId="12DF2806" w:rsidR="005D0B5F" w:rsidRDefault="005D0B5F" w:rsidP="00496963">
      <w:pPr>
        <w:jc w:val="both"/>
      </w:pPr>
      <w:r w:rsidRPr="005D0B5F">
        <w:t>Далі застосовуються м</w:t>
      </w:r>
      <w:r w:rsidRPr="00BF2551">
        <w:t>етодик</w:t>
      </w:r>
      <w:r w:rsidRPr="005D0B5F">
        <w:t>и</w:t>
      </w:r>
      <w:r w:rsidRPr="00BF2551">
        <w:t xml:space="preserve"> вимірювання фінансової спроможності</w:t>
      </w:r>
      <w:r w:rsidRPr="005D0B5F">
        <w:t xml:space="preserve">. </w:t>
      </w:r>
      <w:r w:rsidRPr="00BF2551">
        <w:t>Згідно із рекомендаціями Всесвітнього банку, фінансову спроможність оцінюють за чотирма блоками: гроші й платіжні операції, планування, інформованість, вибір фінансових продуктів, захист прав споживачів</w:t>
      </w:r>
      <w:r w:rsidR="00496963">
        <w:t xml:space="preserve"> [1]</w:t>
      </w:r>
      <w:r w:rsidRPr="00BF2551">
        <w:t xml:space="preserve">. </w:t>
      </w:r>
      <w:r w:rsidR="00496963">
        <w:t>Крім того, р</w:t>
      </w:r>
      <w:r w:rsidRPr="00BF2551">
        <w:t xml:space="preserve">івень фінансової грамотності підприємств опосередковано оцінюють через якість фінансової звітності, частоту та характер порушень податкової дисципліни, структуру залучених фінансових ресурсів, використання страхових і </w:t>
      </w:r>
      <w:proofErr w:type="spellStart"/>
      <w:r w:rsidRPr="00BF2551">
        <w:t>хеджувальних</w:t>
      </w:r>
      <w:proofErr w:type="spellEnd"/>
      <w:r w:rsidRPr="00BF2551">
        <w:t xml:space="preserve"> інструментів тощо.</w:t>
      </w:r>
    </w:p>
    <w:p w14:paraId="5E7C70D7" w14:textId="5362FE4F" w:rsidR="00496963" w:rsidRPr="00BF2551" w:rsidRDefault="00496963" w:rsidP="00496963">
      <w:pPr>
        <w:jc w:val="both"/>
      </w:pPr>
      <w:r w:rsidRPr="00496963">
        <w:rPr>
          <w:rStyle w:val="af3"/>
          <w:b w:val="0"/>
          <w:bCs w:val="0"/>
        </w:rPr>
        <w:t>Таким чином ф</w:t>
      </w:r>
      <w:r w:rsidRPr="00496963">
        <w:rPr>
          <w:rStyle w:val="af3"/>
          <w:b w:val="0"/>
          <w:bCs w:val="0"/>
        </w:rPr>
        <w:t>інансова грамотність суб’єктів господарювання</w:t>
      </w:r>
      <w:r w:rsidRPr="00496963">
        <w:t xml:space="preserve"> є багатовимірним явищем, що поєднує знання, навички, поведінкові установки та інституційні практики в управлінні фінансами підприємства. Вона безпосередньо впливає на фінансову стійкість, інвестиційний потенціал і конкурентоспроможність бізнесу.</w:t>
      </w:r>
    </w:p>
    <w:p w14:paraId="4EB7987A" w14:textId="77777777" w:rsidR="00BF2551" w:rsidRPr="005D0B5F" w:rsidRDefault="00BF2551" w:rsidP="00BF2551">
      <w:pPr>
        <w:pStyle w:val="af0"/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D0B5F">
        <w:rPr>
          <w:rFonts w:ascii="Times New Roman" w:hAnsi="Times New Roman" w:cs="Times New Roman"/>
          <w:sz w:val="28"/>
          <w:szCs w:val="28"/>
          <w:lang w:val="uk-UA"/>
        </w:rPr>
        <w:t>Література</w:t>
      </w:r>
    </w:p>
    <w:p w14:paraId="108585A8" w14:textId="1595E718" w:rsidR="00496963" w:rsidRPr="00496963" w:rsidRDefault="00496963" w:rsidP="00496963">
      <w:pPr>
        <w:pStyle w:val="af0"/>
        <w:spacing w:before="0" w:after="0" w:line="360" w:lineRule="auto"/>
        <w:ind w:firstLine="709"/>
        <w:jc w:val="both"/>
        <w:rPr>
          <w:rFonts w:ascii="Times New Roman" w:hAnsi="Times New Roman" w:cs="Times New Roman"/>
          <w:lang w:val="en-GB"/>
        </w:rPr>
      </w:pPr>
      <w:r w:rsidRPr="00496963">
        <w:rPr>
          <w:rFonts w:ascii="Times New Roman" w:hAnsi="Times New Roman" w:cs="Times New Roman"/>
          <w:lang w:val="en-GB"/>
        </w:rPr>
        <w:t xml:space="preserve">1. </w:t>
      </w:r>
      <w:r w:rsidRPr="00496963">
        <w:rPr>
          <w:rFonts w:ascii="Times New Roman" w:hAnsi="Times New Roman" w:cs="Times New Roman"/>
          <w:lang w:val="en-GB"/>
        </w:rPr>
        <w:t xml:space="preserve">Measuring Financial Capability: A New Instrument and Results from Low- and Middle-Income Countries: </w:t>
      </w:r>
      <w:r>
        <w:rPr>
          <w:rFonts w:ascii="Times New Roman" w:hAnsi="Times New Roman" w:cs="Times New Roman"/>
          <w:lang w:val="en-GB"/>
        </w:rPr>
        <w:t>Policy Research Working Paper</w:t>
      </w:r>
      <w:r w:rsidRPr="00496963">
        <w:rPr>
          <w:rFonts w:ascii="Times New Roman" w:hAnsi="Times New Roman" w:cs="Times New Roman"/>
          <w:lang w:val="en-GB"/>
        </w:rPr>
        <w:t xml:space="preserve">. </w:t>
      </w:r>
      <w:r w:rsidRPr="00496963">
        <w:rPr>
          <w:rFonts w:ascii="Times New Roman" w:hAnsi="Times New Roman" w:cs="Times New Roman"/>
          <w:lang w:val="en-GB"/>
        </w:rPr>
        <w:t xml:space="preserve">World Bank. Washington, DC: World Bank, 2013.  110 p. </w:t>
      </w:r>
    </w:p>
    <w:p w14:paraId="4B96C0D8" w14:textId="37BCFF51" w:rsidR="00496963" w:rsidRPr="00496963" w:rsidRDefault="00496963" w:rsidP="00BF2551">
      <w:pPr>
        <w:pStyle w:val="af0"/>
        <w:spacing w:before="0" w:after="0" w:line="360" w:lineRule="auto"/>
        <w:ind w:firstLine="709"/>
        <w:jc w:val="both"/>
        <w:rPr>
          <w:rFonts w:ascii="Times New Roman" w:hAnsi="Times New Roman" w:cs="Times New Roman"/>
          <w:lang w:val="en-GB"/>
        </w:rPr>
      </w:pPr>
      <w:r w:rsidRPr="00496963">
        <w:rPr>
          <w:rFonts w:ascii="Times New Roman" w:hAnsi="Times New Roman" w:cs="Times New Roman"/>
          <w:lang w:val="en-GB"/>
        </w:rPr>
        <w:t xml:space="preserve">2. </w:t>
      </w:r>
      <w:r w:rsidRPr="00496963">
        <w:rPr>
          <w:rFonts w:ascii="Times New Roman" w:hAnsi="Times New Roman" w:cs="Times New Roman"/>
          <w:lang w:val="en-GB"/>
        </w:rPr>
        <w:t>National Strategy for Financial Literacy Development in Ukraine until 2030 / National Bank of Ukraine. Kyiv, 2024. 40 p.</w:t>
      </w:r>
    </w:p>
    <w:p w14:paraId="5AFD8EE0" w14:textId="435717B7" w:rsidR="00496963" w:rsidRPr="00496963" w:rsidRDefault="00496963" w:rsidP="00496963">
      <w:pPr>
        <w:pStyle w:val="af0"/>
        <w:spacing w:before="0" w:after="0" w:line="360" w:lineRule="auto"/>
        <w:ind w:firstLine="709"/>
        <w:jc w:val="both"/>
        <w:rPr>
          <w:rFonts w:ascii="Times New Roman" w:hAnsi="Times New Roman" w:cs="Times New Roman"/>
          <w:lang w:val="en-GB"/>
        </w:rPr>
      </w:pPr>
      <w:r w:rsidRPr="00496963">
        <w:rPr>
          <w:rFonts w:ascii="Times New Roman" w:hAnsi="Times New Roman" w:cs="Times New Roman"/>
          <w:lang w:val="en-GB"/>
        </w:rPr>
        <w:t xml:space="preserve">3. </w:t>
      </w:r>
      <w:r w:rsidRPr="00496963">
        <w:rPr>
          <w:rFonts w:ascii="Times New Roman" w:hAnsi="Times New Roman" w:cs="Times New Roman"/>
          <w:lang w:val="en-GB"/>
        </w:rPr>
        <w:t xml:space="preserve">OECD/INFE Core Competencies Framework on Financial Literacy for MSMEs. Paris: OECD Publishing, 2018. 60 p. </w:t>
      </w:r>
    </w:p>
    <w:sectPr w:rsidR="00496963" w:rsidRPr="00496963" w:rsidSect="00BF255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E71BE"/>
    <w:multiLevelType w:val="multilevel"/>
    <w:tmpl w:val="9C46C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885A4B"/>
    <w:multiLevelType w:val="multilevel"/>
    <w:tmpl w:val="61D45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0161955">
    <w:abstractNumId w:val="0"/>
  </w:num>
  <w:num w:numId="2" w16cid:durableId="1219247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551"/>
    <w:rsid w:val="0001283B"/>
    <w:rsid w:val="000907BE"/>
    <w:rsid w:val="001F403D"/>
    <w:rsid w:val="00496963"/>
    <w:rsid w:val="005103C4"/>
    <w:rsid w:val="005D0B5F"/>
    <w:rsid w:val="0072537B"/>
    <w:rsid w:val="00806D05"/>
    <w:rsid w:val="00A60C1D"/>
    <w:rsid w:val="00B06BB7"/>
    <w:rsid w:val="00BF2551"/>
    <w:rsid w:val="00D45CE7"/>
    <w:rsid w:val="00F4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74E9F"/>
  <w15:chartTrackingRefBased/>
  <w15:docId w15:val="{DEA7D9D3-7D22-452D-B7DC-7AA4BD7E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8"/>
        <w:szCs w:val="22"/>
        <w:lang w:val="uk-UA" w:eastAsia="en-US" w:bidi="ar-SA"/>
        <w14:ligatures w14:val="standardContextual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25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5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55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55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55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55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55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55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55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25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25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255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255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255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255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255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255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255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25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F2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2551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F255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BF25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F25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25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25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25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F25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2551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BF2551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F2551"/>
    <w:rPr>
      <w:color w:val="605E5C"/>
      <w:shd w:val="clear" w:color="auto" w:fill="E1DFDD"/>
    </w:rPr>
  </w:style>
  <w:style w:type="paragraph" w:styleId="af0">
    <w:name w:val="Body Text"/>
    <w:basedOn w:val="a"/>
    <w:link w:val="af1"/>
    <w:qFormat/>
    <w:rsid w:val="00BF2551"/>
    <w:pPr>
      <w:spacing w:before="180" w:after="180" w:line="240" w:lineRule="auto"/>
      <w:ind w:firstLine="0"/>
    </w:pPr>
    <w:rPr>
      <w:rFonts w:asciiTheme="minorHAnsi" w:hAnsiTheme="minorHAnsi" w:cstheme="minorBidi"/>
      <w:kern w:val="0"/>
      <w:sz w:val="24"/>
      <w:szCs w:val="24"/>
      <w:lang w:val="ru"/>
    </w:rPr>
  </w:style>
  <w:style w:type="character" w:customStyle="1" w:styleId="af1">
    <w:name w:val="Основний текст Знак"/>
    <w:basedOn w:val="a0"/>
    <w:link w:val="af0"/>
    <w:rsid w:val="00BF2551"/>
    <w:rPr>
      <w:rFonts w:asciiTheme="minorHAnsi" w:hAnsiTheme="minorHAnsi" w:cstheme="minorBidi"/>
      <w:kern w:val="0"/>
      <w:sz w:val="24"/>
      <w:szCs w:val="24"/>
      <w:lang w:val="ru"/>
    </w:rPr>
  </w:style>
  <w:style w:type="paragraph" w:styleId="af2">
    <w:name w:val="Normal (Web)"/>
    <w:basedOn w:val="a"/>
    <w:uiPriority w:val="99"/>
    <w:semiHidden/>
    <w:unhideWhenUsed/>
    <w:rsid w:val="00F449BA"/>
    <w:pPr>
      <w:spacing w:before="100" w:beforeAutospacing="1" w:after="100" w:afterAutospacing="1" w:line="240" w:lineRule="auto"/>
      <w:ind w:firstLine="0"/>
    </w:pPr>
    <w:rPr>
      <w:rFonts w:eastAsia="Times New Roman" w:cs="Times New Roman"/>
      <w:kern w:val="0"/>
      <w:sz w:val="24"/>
      <w:szCs w:val="24"/>
      <w:lang w:eastAsia="uk-UA"/>
    </w:rPr>
  </w:style>
  <w:style w:type="character" w:styleId="af3">
    <w:name w:val="Strong"/>
    <w:basedOn w:val="a0"/>
    <w:uiPriority w:val="22"/>
    <w:qFormat/>
    <w:rsid w:val="004969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3517</Words>
  <Characters>2006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2025-12-11T05:06:00Z</dcterms:created>
  <dcterms:modified xsi:type="dcterms:W3CDTF">2025-12-11T06:48:00Z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c69959f6-fe0e-4a5d-bf59-3d210b7e1c86</vt:lpwstr>
  </property>
</Properties>
</file>