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F37E1" w14:textId="440F6309" w:rsidR="00A04613" w:rsidRPr="005D1C47" w:rsidRDefault="00EA4C7A" w:rsidP="00A046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Віткова Аліна Валеріївна</w:t>
      </w:r>
      <w:r w:rsidR="00A04613" w:rsidRPr="005D1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D1C47" w:rsidRPr="005D1C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к.е.н, доцент</w:t>
      </w:r>
    </w:p>
    <w:p w14:paraId="370F5F8C" w14:textId="40F9DAEA" w:rsidR="00A04613" w:rsidRPr="005D1C47" w:rsidRDefault="00EA4C7A" w:rsidP="00A046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D1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МУФ</w:t>
      </w:r>
      <w:r w:rsidR="00A04613" w:rsidRPr="005D1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D1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</w:t>
      </w:r>
    </w:p>
    <w:p w14:paraId="145D246A" w14:textId="2C3E36E0" w:rsidR="00F12C76" w:rsidRPr="005D1C47" w:rsidRDefault="00036D1F" w:rsidP="00A04613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tgtFrame="_blank" w:history="1">
        <w:r w:rsidR="005D1C47" w:rsidRPr="005D1C47">
          <w:rPr>
            <w:rStyle w:val="a9"/>
            <w:rFonts w:ascii="Times New Roman" w:hAnsi="Times New Roman" w:cs="Times New Roman"/>
            <w:color w:val="000000" w:themeColor="text1"/>
            <w:spacing w:val="-4"/>
            <w:sz w:val="28"/>
            <w:szCs w:val="28"/>
            <w:u w:val="none"/>
            <w:shd w:val="clear" w:color="auto" w:fill="FFFFFF"/>
            <w:lang w:val="uk-UA"/>
          </w:rPr>
          <w:t>0000-0001-6528-6810</w:t>
        </w:r>
      </w:hyperlink>
    </w:p>
    <w:p w14:paraId="57F15B5D" w14:textId="2802A899" w:rsidR="00A04613" w:rsidRDefault="00A04613" w:rsidP="00740A31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F1F19"/>
          <w:sz w:val="28"/>
          <w:szCs w:val="28"/>
          <w:lang w:val="uk-UA"/>
        </w:rPr>
      </w:pPr>
      <w:r w:rsidRPr="00740A31">
        <w:rPr>
          <w:rFonts w:ascii="Times New Roman" w:hAnsi="Times New Roman" w:cs="Times New Roman"/>
          <w:b/>
          <w:bCs/>
          <w:color w:val="2F1F19"/>
          <w:sz w:val="28"/>
          <w:szCs w:val="28"/>
        </w:rPr>
        <w:t>А</w:t>
      </w:r>
      <w:r w:rsidRPr="00740A31">
        <w:rPr>
          <w:rFonts w:ascii="Times New Roman" w:hAnsi="Times New Roman" w:cs="Times New Roman"/>
          <w:b/>
          <w:bCs/>
          <w:color w:val="2F1F19"/>
          <w:sz w:val="28"/>
          <w:szCs w:val="28"/>
          <w:lang w:val="uk-UA"/>
        </w:rPr>
        <w:t xml:space="preserve">НТИКРИЗОВА ПРОГРАМА ПІДПРИЄМСТВА (НА ПРИКЛАДІ АТ </w:t>
      </w:r>
      <w:r w:rsidRPr="00740A31">
        <w:rPr>
          <w:rFonts w:ascii="Times New Roman" w:hAnsi="Times New Roman" w:cs="Times New Roman"/>
          <w:b/>
          <w:bCs/>
          <w:color w:val="2F1F19"/>
          <w:sz w:val="28"/>
          <w:szCs w:val="28"/>
        </w:rPr>
        <w:t>“</w:t>
      </w:r>
      <w:r w:rsidRPr="00740A31">
        <w:rPr>
          <w:rFonts w:ascii="Times New Roman" w:hAnsi="Times New Roman" w:cs="Times New Roman"/>
          <w:b/>
          <w:bCs/>
          <w:color w:val="2F1F19"/>
          <w:sz w:val="28"/>
          <w:szCs w:val="28"/>
          <w:lang w:val="uk-UA"/>
        </w:rPr>
        <w:t xml:space="preserve">ВО </w:t>
      </w:r>
      <w:r w:rsidRPr="00740A31">
        <w:rPr>
          <w:rFonts w:ascii="Times New Roman" w:hAnsi="Times New Roman" w:cs="Times New Roman"/>
          <w:b/>
          <w:bCs/>
          <w:color w:val="2F1F19"/>
          <w:sz w:val="28"/>
          <w:szCs w:val="28"/>
        </w:rPr>
        <w:t>“</w:t>
      </w:r>
      <w:r w:rsidR="00740A31" w:rsidRPr="00740A31">
        <w:rPr>
          <w:rFonts w:ascii="Times New Roman" w:hAnsi="Times New Roman" w:cs="Times New Roman"/>
          <w:b/>
          <w:bCs/>
          <w:color w:val="2F1F19"/>
          <w:sz w:val="28"/>
          <w:szCs w:val="28"/>
          <w:lang w:val="uk-UA"/>
        </w:rPr>
        <w:t>КОНТІ</w:t>
      </w:r>
      <w:r w:rsidRPr="00740A31">
        <w:rPr>
          <w:rFonts w:ascii="Times New Roman" w:hAnsi="Times New Roman" w:cs="Times New Roman"/>
          <w:b/>
          <w:bCs/>
          <w:color w:val="2F1F19"/>
          <w:sz w:val="28"/>
          <w:szCs w:val="28"/>
        </w:rPr>
        <w:t>”</w:t>
      </w:r>
      <w:r w:rsidR="00740A31" w:rsidRPr="00740A31">
        <w:rPr>
          <w:rFonts w:ascii="Times New Roman" w:hAnsi="Times New Roman" w:cs="Times New Roman"/>
          <w:b/>
          <w:bCs/>
          <w:color w:val="2F1F19"/>
          <w:sz w:val="28"/>
          <w:szCs w:val="28"/>
          <w:lang w:val="uk-UA"/>
        </w:rPr>
        <w:t>)</w:t>
      </w:r>
    </w:p>
    <w:p w14:paraId="0AC24D86" w14:textId="77777777" w:rsidR="003363C7" w:rsidRDefault="003363C7" w:rsidP="00740A31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F1F19"/>
          <w:sz w:val="28"/>
          <w:szCs w:val="28"/>
          <w:lang w:val="uk-UA"/>
        </w:rPr>
      </w:pPr>
    </w:p>
    <w:p w14:paraId="23B9EF3F" w14:textId="492253CB" w:rsidR="003363C7" w:rsidRDefault="003363C7" w:rsidP="003363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етапі діяльність підприємств в Україні </w:t>
      </w:r>
      <w:r w:rsidR="00244E74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дією негативних факторів, які пов</w:t>
      </w:r>
      <w:r w:rsidRPr="003363C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язані з економічною кризою, інфляцією та війною. Дані фактори являються так званим каталізатором кризових явищ, які дуже часто доводять підприємство до банкрутства. Відповідно до цього</w:t>
      </w:r>
      <w:r w:rsidR="00254192">
        <w:rPr>
          <w:rFonts w:ascii="Times New Roman" w:hAnsi="Times New Roman" w:cs="Times New Roman"/>
          <w:sz w:val="28"/>
          <w:szCs w:val="28"/>
          <w:lang w:val="uk-UA"/>
        </w:rPr>
        <w:t xml:space="preserve">, сьогодні головним завданням управління кожного підприємства має бути профілактика кризових явищ та розробка антикризових програм. </w:t>
      </w:r>
    </w:p>
    <w:p w14:paraId="33F1B8E7" w14:textId="77E3A062" w:rsidR="003363C7" w:rsidRDefault="00254192" w:rsidP="003363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Антикризові програми – </w:t>
      </w:r>
      <w:r w:rsidR="00F15888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 управління для </w:t>
      </w:r>
      <w:r w:rsidR="009D18D6">
        <w:rPr>
          <w:rFonts w:ascii="Times New Roman" w:hAnsi="Times New Roman" w:cs="Times New Roman"/>
          <w:sz w:val="28"/>
          <w:szCs w:val="28"/>
          <w:lang w:val="uk-UA"/>
        </w:rPr>
        <w:t xml:space="preserve">оздоровлення підприємства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r w:rsidR="009D18D6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 w:cs="Times New Roman"/>
          <w:sz w:val="28"/>
          <w:szCs w:val="28"/>
          <w:lang w:val="uk-UA"/>
        </w:rPr>
        <w:t>банкрутства</w:t>
      </w:r>
      <w:r w:rsidR="004E19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63C7" w:rsidRPr="00C87502">
        <w:rPr>
          <w:rFonts w:ascii="Times New Roman" w:hAnsi="Times New Roman" w:cs="Times New Roman"/>
          <w:sz w:val="28"/>
          <w:szCs w:val="28"/>
          <w:lang w:val="uk-UA"/>
        </w:rPr>
        <w:t>Основними елементами антикризової програми управління підприємством</w:t>
      </w:r>
      <w:r w:rsidR="009D18D6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3363C7" w:rsidRPr="00C87502">
        <w:rPr>
          <w:rFonts w:ascii="Times New Roman" w:hAnsi="Times New Roman" w:cs="Times New Roman"/>
          <w:sz w:val="28"/>
          <w:szCs w:val="28"/>
          <w:lang w:val="uk-UA"/>
        </w:rPr>
        <w:t>: предмет, мета, принципи, функції, нормативно-правове та методичне забезпечення, а також процес її реалізації.</w:t>
      </w:r>
    </w:p>
    <w:p w14:paraId="7C987F5B" w14:textId="322F60DE" w:rsidR="002D4C26" w:rsidRPr="00C87502" w:rsidRDefault="001F540E" w:rsidP="002D4C2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87502">
        <w:rPr>
          <w:rFonts w:ascii="Times New Roman" w:hAnsi="Times New Roman" w:cs="Times New Roman"/>
          <w:sz w:val="28"/>
          <w:szCs w:val="28"/>
          <w:lang w:val="uk-UA"/>
        </w:rPr>
        <w:t>нтикризова програма відіграє одну з найважливіших ролей в системі управління підприємства, оскільки забезпечує вирішення конкретних проблем, безперервне управління через використання нових форм, метод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87502">
        <w:rPr>
          <w:rFonts w:ascii="Times New Roman" w:hAnsi="Times New Roman" w:cs="Times New Roman"/>
          <w:sz w:val="28"/>
          <w:szCs w:val="28"/>
          <w:lang w:val="uk-UA"/>
        </w:rPr>
        <w:t xml:space="preserve"> та процедур для забезпечення відновлення суб</w:t>
      </w:r>
      <w:r w:rsidRPr="001F540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87502">
        <w:rPr>
          <w:rFonts w:ascii="Times New Roman" w:hAnsi="Times New Roman" w:cs="Times New Roman"/>
          <w:sz w:val="28"/>
          <w:szCs w:val="28"/>
          <w:lang w:val="uk-UA"/>
        </w:rPr>
        <w:t>єкта господарювання в майбутньому.</w:t>
      </w:r>
      <w:r w:rsidR="002D4C26">
        <w:rPr>
          <w:rFonts w:ascii="Times New Roman" w:hAnsi="Times New Roman" w:cs="Times New Roman"/>
          <w:sz w:val="28"/>
          <w:szCs w:val="28"/>
          <w:lang w:val="uk-UA"/>
        </w:rPr>
        <w:t xml:space="preserve"> Дана </w:t>
      </w:r>
      <w:r w:rsidR="002D4C26" w:rsidRPr="00C87502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підприємства </w:t>
      </w:r>
      <w:r w:rsidR="009D18D6">
        <w:rPr>
          <w:rFonts w:ascii="Times New Roman" w:hAnsi="Times New Roman" w:cs="Times New Roman"/>
          <w:sz w:val="28"/>
          <w:szCs w:val="28"/>
          <w:lang w:val="uk-UA"/>
        </w:rPr>
        <w:t xml:space="preserve">являє собою </w:t>
      </w:r>
      <w:r w:rsidR="002D4C26" w:rsidRPr="00C87502">
        <w:rPr>
          <w:rFonts w:ascii="Times New Roman" w:hAnsi="Times New Roman" w:cs="Times New Roman"/>
          <w:sz w:val="28"/>
          <w:szCs w:val="28"/>
          <w:lang w:val="uk-UA"/>
        </w:rPr>
        <w:t>спеціальни</w:t>
      </w:r>
      <w:r w:rsidR="009D18D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D4C26" w:rsidRPr="00C87502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</w:t>
      </w:r>
      <w:r w:rsidR="009D18D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D4C26" w:rsidRPr="00C87502">
        <w:rPr>
          <w:rFonts w:ascii="Times New Roman" w:hAnsi="Times New Roman" w:cs="Times New Roman"/>
          <w:sz w:val="28"/>
          <w:szCs w:val="28"/>
          <w:lang w:val="uk-UA"/>
        </w:rPr>
        <w:t xml:space="preserve"> документ, який систематизує перелік основних заходів, які планується здійснити його структурними підрозділами та функціональними службами для досягнення поставленої мети – виведення підприємства з криз</w:t>
      </w:r>
      <w:r w:rsidR="002D4C26">
        <w:rPr>
          <w:rFonts w:ascii="Times New Roman" w:hAnsi="Times New Roman" w:cs="Times New Roman"/>
          <w:sz w:val="28"/>
          <w:szCs w:val="28"/>
          <w:lang w:val="uk-UA"/>
        </w:rPr>
        <w:t xml:space="preserve">ового </w:t>
      </w:r>
      <w:r w:rsidR="002D4C26" w:rsidRPr="00C87502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2D4C2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D4C26" w:rsidRPr="00C875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5ACA29" w14:textId="2C045E9E" w:rsidR="002D4C26" w:rsidRPr="00C87502" w:rsidRDefault="009D18D6" w:rsidP="002D4C2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Загалом, п</w:t>
      </w:r>
      <w:r w:rsidR="002D4C26" w:rsidRPr="00C87502">
        <w:rPr>
          <w:rFonts w:ascii="Times New Roman" w:hAnsi="Times New Roman" w:cs="Times New Roman"/>
          <w:sz w:val="28"/>
          <w:szCs w:val="28"/>
          <w:lang w:val="uk-UA"/>
        </w:rPr>
        <w:t>лан антикризових заходів, який може бути закладений у програмі антикризового розвитку підприємства, повинен відповідати таким вимогам</w:t>
      </w:r>
      <w:r w:rsidR="002D4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C26" w:rsidRPr="002D4C26">
        <w:rPr>
          <w:rFonts w:ascii="Times New Roman" w:hAnsi="Times New Roman" w:cs="Times New Roman"/>
          <w:sz w:val="28"/>
          <w:szCs w:val="28"/>
        </w:rPr>
        <w:t>[</w:t>
      </w:r>
      <w:r w:rsidR="00DE09BD">
        <w:rPr>
          <w:rFonts w:ascii="Times New Roman" w:hAnsi="Times New Roman" w:cs="Times New Roman"/>
          <w:sz w:val="28"/>
          <w:szCs w:val="28"/>
        </w:rPr>
        <w:fldChar w:fldCharType="begin"/>
      </w:r>
      <w:r w:rsidR="00DE09BD">
        <w:rPr>
          <w:rFonts w:ascii="Times New Roman" w:hAnsi="Times New Roman" w:cs="Times New Roman"/>
          <w:sz w:val="28"/>
          <w:szCs w:val="28"/>
        </w:rPr>
        <w:instrText xml:space="preserve"> REF _Ref151850385 \r \h </w:instrText>
      </w:r>
      <w:r w:rsidR="00DE09BD">
        <w:rPr>
          <w:rFonts w:ascii="Times New Roman" w:hAnsi="Times New Roman" w:cs="Times New Roman"/>
          <w:sz w:val="28"/>
          <w:szCs w:val="28"/>
        </w:rPr>
      </w:r>
      <w:r w:rsidR="00DE09BD">
        <w:rPr>
          <w:rFonts w:ascii="Times New Roman" w:hAnsi="Times New Roman" w:cs="Times New Roman"/>
          <w:sz w:val="28"/>
          <w:szCs w:val="28"/>
        </w:rPr>
        <w:fldChar w:fldCharType="separate"/>
      </w:r>
      <w:r w:rsidR="00DE09BD">
        <w:rPr>
          <w:rFonts w:ascii="Times New Roman" w:hAnsi="Times New Roman" w:cs="Times New Roman"/>
          <w:sz w:val="28"/>
          <w:szCs w:val="28"/>
        </w:rPr>
        <w:t>1</w:t>
      </w:r>
      <w:r w:rsidR="00DE09BD">
        <w:rPr>
          <w:rFonts w:ascii="Times New Roman" w:hAnsi="Times New Roman" w:cs="Times New Roman"/>
          <w:sz w:val="28"/>
          <w:szCs w:val="28"/>
        </w:rPr>
        <w:fldChar w:fldCharType="end"/>
      </w:r>
      <w:r w:rsidR="002D4C26" w:rsidRPr="002D4C26">
        <w:rPr>
          <w:rFonts w:ascii="Times New Roman" w:hAnsi="Times New Roman" w:cs="Times New Roman"/>
          <w:sz w:val="28"/>
          <w:szCs w:val="28"/>
        </w:rPr>
        <w:t>]</w:t>
      </w:r>
      <w:r w:rsidR="002D4C26" w:rsidRPr="00C8750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30A435D" w14:textId="7AC3E4AE" w:rsidR="002D4C26" w:rsidRPr="002D4C26" w:rsidRDefault="002D4C26" w:rsidP="002D4C26">
      <w:pPr>
        <w:pStyle w:val="a3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C26">
        <w:rPr>
          <w:rFonts w:ascii="Times New Roman" w:hAnsi="Times New Roman" w:cs="Times New Roman"/>
          <w:sz w:val="28"/>
          <w:szCs w:val="28"/>
          <w:lang w:val="uk-UA"/>
        </w:rPr>
        <w:t>забезпечити комплексне вирішення проблем фінансового оздоровлення та відновлення нормального функціонування функціональних підсистем підприємства;</w:t>
      </w:r>
    </w:p>
    <w:p w14:paraId="5B121FA9" w14:textId="77777777" w:rsidR="002D4C26" w:rsidRPr="002D4C26" w:rsidRDefault="002D4C26" w:rsidP="002D4C26">
      <w:pPr>
        <w:pStyle w:val="a3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C26">
        <w:rPr>
          <w:rFonts w:ascii="Times New Roman" w:hAnsi="Times New Roman" w:cs="Times New Roman"/>
          <w:sz w:val="28"/>
          <w:szCs w:val="28"/>
          <w:lang w:val="uk-UA"/>
        </w:rPr>
        <w:t>підпорядковуватися стратегічним інтересам підприємства в цілому;</w:t>
      </w:r>
    </w:p>
    <w:p w14:paraId="4944EB9E" w14:textId="77777777" w:rsidR="002D4C26" w:rsidRPr="002D4C26" w:rsidRDefault="002D4C26" w:rsidP="002D4C26">
      <w:pPr>
        <w:pStyle w:val="a3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C26">
        <w:rPr>
          <w:rFonts w:ascii="Times New Roman" w:hAnsi="Times New Roman" w:cs="Times New Roman"/>
          <w:sz w:val="28"/>
          <w:szCs w:val="28"/>
          <w:lang w:val="uk-UA"/>
        </w:rPr>
        <w:lastRenderedPageBreak/>
        <w:t>бути привабливим для потенційних інвесторів і забезпечувати залучення зовнішніх коштів, необхідних для здійснення цієї діяльності;</w:t>
      </w:r>
    </w:p>
    <w:p w14:paraId="50C66BEF" w14:textId="59E53591" w:rsidR="002D4C26" w:rsidRPr="002D4C26" w:rsidRDefault="002D4C26" w:rsidP="002D4C26">
      <w:pPr>
        <w:pStyle w:val="a3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C26">
        <w:rPr>
          <w:rFonts w:ascii="Times New Roman" w:hAnsi="Times New Roman" w:cs="Times New Roman"/>
          <w:sz w:val="28"/>
          <w:szCs w:val="28"/>
          <w:lang w:val="uk-UA"/>
        </w:rPr>
        <w:t>встановити цілі, які можуть бути кількісно визначені та перевірені вищим керівництвом;</w:t>
      </w:r>
    </w:p>
    <w:p w14:paraId="6727A1CA" w14:textId="0410F300" w:rsidR="002D4C26" w:rsidRPr="002D4C26" w:rsidRDefault="002D4C26" w:rsidP="002D4C26">
      <w:pPr>
        <w:pStyle w:val="a3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C26">
        <w:rPr>
          <w:rFonts w:ascii="Times New Roman" w:hAnsi="Times New Roman" w:cs="Times New Roman"/>
          <w:sz w:val="28"/>
          <w:szCs w:val="28"/>
          <w:lang w:val="uk-UA"/>
        </w:rPr>
        <w:t>включати рішення щодо усунення існуючих проблем розвитку та актуальних загроз функціонуванню підприємства;</w:t>
      </w:r>
    </w:p>
    <w:p w14:paraId="7676A6C9" w14:textId="33848FB4" w:rsidR="002D4C26" w:rsidRPr="002D4C26" w:rsidRDefault="002D4C26" w:rsidP="002D4C26">
      <w:pPr>
        <w:pStyle w:val="a3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C26">
        <w:rPr>
          <w:rFonts w:ascii="Times New Roman" w:hAnsi="Times New Roman" w:cs="Times New Roman"/>
          <w:sz w:val="28"/>
          <w:szCs w:val="28"/>
          <w:lang w:val="uk-UA"/>
        </w:rPr>
        <w:t>визначення завдань у сфері діяльності структурних підрозділів і функціональних підсистем підприємства;</w:t>
      </w:r>
    </w:p>
    <w:p w14:paraId="40E95625" w14:textId="5657E6F9" w:rsidR="002D4C26" w:rsidRDefault="002D4C26" w:rsidP="002D4C26">
      <w:pPr>
        <w:pStyle w:val="a3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C26">
        <w:rPr>
          <w:rFonts w:ascii="Times New Roman" w:hAnsi="Times New Roman" w:cs="Times New Roman"/>
          <w:sz w:val="28"/>
          <w:szCs w:val="28"/>
          <w:lang w:val="uk-UA"/>
        </w:rPr>
        <w:t>передбачає істотні наслідки (кількісні та якісні) запропонованих дій, можливі умови їх отримання.</w:t>
      </w:r>
    </w:p>
    <w:p w14:paraId="7BACF476" w14:textId="06244A89" w:rsidR="00177EC8" w:rsidRDefault="0083784A" w:rsidP="00177EC8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сучасному етапі особливо важливе значення формування антикризових програм має для підприємств кондитерської галузі. Це пов</w:t>
      </w:r>
      <w:r w:rsidRPr="0083784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язано з тим, що  сучасний </w:t>
      </w:r>
      <w:r w:rsidR="00177EC8">
        <w:rPr>
          <w:rFonts w:ascii="Times New Roman" w:hAnsi="Times New Roman" w:cs="Times New Roman"/>
          <w:sz w:val="28"/>
          <w:szCs w:val="28"/>
          <w:lang w:val="uk-UA"/>
        </w:rPr>
        <w:t>ринок кондитерських виробів, суб</w:t>
      </w:r>
      <w:r w:rsidR="00177EC8" w:rsidRPr="007C436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77EC8">
        <w:rPr>
          <w:rFonts w:ascii="Times New Roman" w:hAnsi="Times New Roman" w:cs="Times New Roman"/>
          <w:sz w:val="28"/>
          <w:szCs w:val="28"/>
          <w:lang w:val="uk-UA"/>
        </w:rPr>
        <w:t xml:space="preserve">єктом якого являється АТ </w:t>
      </w:r>
      <w:r w:rsidR="00177EC8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177EC8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="00177EC8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177EC8">
        <w:rPr>
          <w:rFonts w:ascii="Times New Roman" w:hAnsi="Times New Roman" w:cs="Times New Roman"/>
          <w:sz w:val="28"/>
          <w:szCs w:val="28"/>
          <w:lang w:val="uk-UA"/>
        </w:rPr>
        <w:t>КОНТІ</w:t>
      </w:r>
      <w:r w:rsidR="00177EC8" w:rsidRPr="007C436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177E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4364">
        <w:rPr>
          <w:rFonts w:ascii="Times New Roman" w:hAnsi="Times New Roman" w:cs="Times New Roman"/>
          <w:sz w:val="28"/>
          <w:szCs w:val="28"/>
          <w:lang w:val="uk-UA"/>
        </w:rPr>
        <w:t>характеризується</w:t>
      </w:r>
      <w:r w:rsidR="008527A9">
        <w:rPr>
          <w:rFonts w:ascii="Times New Roman" w:hAnsi="Times New Roman" w:cs="Times New Roman"/>
          <w:sz w:val="28"/>
          <w:szCs w:val="28"/>
          <w:lang w:val="uk-UA"/>
        </w:rPr>
        <w:t xml:space="preserve"> наявністю </w:t>
      </w:r>
      <w:r w:rsidR="00AE0D70">
        <w:rPr>
          <w:rFonts w:ascii="Times New Roman" w:hAnsi="Times New Roman" w:cs="Times New Roman"/>
          <w:sz w:val="28"/>
          <w:szCs w:val="28"/>
          <w:lang w:val="uk-UA"/>
        </w:rPr>
        <w:t>значни</w:t>
      </w:r>
      <w:r w:rsidR="008527A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E0D70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</w:t>
      </w:r>
      <w:r w:rsidR="008527A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E0D70">
        <w:rPr>
          <w:rFonts w:ascii="Times New Roman" w:hAnsi="Times New Roman" w:cs="Times New Roman"/>
          <w:sz w:val="28"/>
          <w:szCs w:val="28"/>
          <w:lang w:val="uk-UA"/>
        </w:rPr>
        <w:t xml:space="preserve"> фактор</w:t>
      </w:r>
      <w:r w:rsidR="008527A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E0D70">
        <w:rPr>
          <w:rFonts w:ascii="Times New Roman" w:hAnsi="Times New Roman" w:cs="Times New Roman"/>
          <w:sz w:val="28"/>
          <w:szCs w:val="28"/>
          <w:lang w:val="uk-UA"/>
        </w:rPr>
        <w:t>, які порушують фінансову стійкість та рентабельність</w:t>
      </w:r>
      <w:r w:rsidR="00E75AF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AE0D70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7C4364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концентрації конкурентного середовища, </w:t>
      </w:r>
      <w:r w:rsidR="008527A9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вартості сировини, </w:t>
      </w:r>
      <w:r w:rsidR="007C4364">
        <w:rPr>
          <w:rFonts w:ascii="Times New Roman" w:hAnsi="Times New Roman" w:cs="Times New Roman"/>
          <w:sz w:val="28"/>
          <w:szCs w:val="28"/>
          <w:lang w:val="uk-UA"/>
        </w:rPr>
        <w:t xml:space="preserve">зниження експорту кондитерської продукції, </w:t>
      </w:r>
      <w:r w:rsidR="00AE0D70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14:paraId="29EAAAE1" w14:textId="22D27B1A" w:rsidR="00773F4F" w:rsidRDefault="008527A9" w:rsidP="00773F4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Існування </w:t>
      </w:r>
      <w:r w:rsidR="00773F4F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економічної кризи в Україні протягом 2020-2022 років негативно позначилось на діяльності АТ </w:t>
      </w:r>
      <w:r w:rsidR="00773F4F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773F4F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="00773F4F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773F4F">
        <w:rPr>
          <w:rFonts w:ascii="Times New Roman" w:hAnsi="Times New Roman" w:cs="Times New Roman"/>
          <w:sz w:val="28"/>
          <w:szCs w:val="28"/>
          <w:lang w:val="uk-UA"/>
        </w:rPr>
        <w:t>КОНТІ</w:t>
      </w:r>
      <w:r w:rsidR="00773F4F" w:rsidRPr="007C436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73F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функціонування </w:t>
      </w:r>
      <w:r w:rsidR="00773F4F">
        <w:rPr>
          <w:rFonts w:ascii="Times New Roman" w:hAnsi="Times New Roman" w:cs="Times New Roman"/>
          <w:sz w:val="28"/>
          <w:szCs w:val="28"/>
          <w:lang w:val="uk-UA"/>
        </w:rPr>
        <w:t>даного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ринку</w:t>
      </w:r>
      <w:r w:rsidR="00773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2020-2022 роках </w:t>
      </w:r>
      <w:r w:rsidR="00773F4F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наявності збитковості виробництва, яка з кожним роком зростає. Так, у 2020 році збиток підприємства складав </w:t>
      </w:r>
      <w:r w:rsidR="00057952">
        <w:rPr>
          <w:rFonts w:ascii="Times New Roman" w:hAnsi="Times New Roman" w:cs="Times New Roman"/>
          <w:sz w:val="28"/>
          <w:szCs w:val="28"/>
          <w:lang w:val="uk-UA"/>
        </w:rPr>
        <w:t xml:space="preserve">96,7 млн. грн., а у 2021 році даний показник зріс на 279,4 % та його сума сягнула </w:t>
      </w:r>
      <w:r w:rsidR="000A5E1B">
        <w:rPr>
          <w:rFonts w:ascii="Times New Roman" w:hAnsi="Times New Roman" w:cs="Times New Roman"/>
          <w:sz w:val="28"/>
          <w:szCs w:val="28"/>
          <w:lang w:val="uk-UA"/>
        </w:rPr>
        <w:t xml:space="preserve">366,9 млн. грн. Таке стрімке збільшення збитку підприємства було спричинено в основному економічними факторами, які виникли внаслідок пандемії </w:t>
      </w:r>
      <w:r w:rsidR="000A5E1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B68F8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="000A5E1B" w:rsidRPr="000A5E1B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0A5E1B">
        <w:rPr>
          <w:rFonts w:ascii="Times New Roman" w:hAnsi="Times New Roman" w:cs="Times New Roman"/>
          <w:sz w:val="28"/>
          <w:szCs w:val="28"/>
          <w:lang w:val="uk-UA"/>
        </w:rPr>
        <w:t xml:space="preserve"> (зменшення попиту на кондитерські вироби, </w:t>
      </w:r>
      <w:r w:rsidR="00AB68F8">
        <w:rPr>
          <w:rFonts w:ascii="Times New Roman" w:hAnsi="Times New Roman" w:cs="Times New Roman"/>
          <w:sz w:val="28"/>
          <w:szCs w:val="28"/>
          <w:lang w:val="uk-UA"/>
        </w:rPr>
        <w:t>зменшення експорту тощо)</w:t>
      </w:r>
      <w:r w:rsidR="000A5E1B" w:rsidRPr="000A5E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5E1B">
        <w:rPr>
          <w:rFonts w:ascii="Times New Roman" w:hAnsi="Times New Roman" w:cs="Times New Roman"/>
          <w:sz w:val="28"/>
          <w:szCs w:val="28"/>
          <w:lang w:val="uk-UA"/>
        </w:rPr>
        <w:t>У 2022 році економічна  криза в Україні ще більше посилились у зв</w:t>
      </w:r>
      <w:r w:rsidR="000A5E1B" w:rsidRPr="000A5E1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A5E1B">
        <w:rPr>
          <w:rFonts w:ascii="Times New Roman" w:hAnsi="Times New Roman" w:cs="Times New Roman"/>
          <w:sz w:val="28"/>
          <w:szCs w:val="28"/>
          <w:lang w:val="uk-UA"/>
        </w:rPr>
        <w:t xml:space="preserve">язку з розгортанням повномасштабної війни в країні. Відповідно до цього, АТ </w:t>
      </w:r>
      <w:r w:rsidR="000A5E1B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A5E1B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="000A5E1B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A5E1B">
        <w:rPr>
          <w:rFonts w:ascii="Times New Roman" w:hAnsi="Times New Roman" w:cs="Times New Roman"/>
          <w:sz w:val="28"/>
          <w:szCs w:val="28"/>
          <w:lang w:val="uk-UA"/>
        </w:rPr>
        <w:t>КОНТІ</w:t>
      </w:r>
      <w:r w:rsidR="000A5E1B" w:rsidRPr="007C436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0A5E1B">
        <w:rPr>
          <w:rFonts w:ascii="Times New Roman" w:hAnsi="Times New Roman" w:cs="Times New Roman"/>
          <w:sz w:val="28"/>
          <w:szCs w:val="28"/>
          <w:lang w:val="uk-UA"/>
        </w:rPr>
        <w:t xml:space="preserve"> знову понесло збиток</w:t>
      </w:r>
      <w:r w:rsidR="00AB68F8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288,9 млн. грн</w:t>
      </w:r>
      <w:r w:rsidR="0009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82E" w:rsidRPr="006611A3">
        <w:rPr>
          <w:rFonts w:ascii="Times New Roman" w:hAnsi="Times New Roman" w:cs="Times New Roman"/>
          <w:sz w:val="28"/>
          <w:szCs w:val="28"/>
        </w:rPr>
        <w:t>[</w:t>
      </w:r>
      <w:r w:rsidR="00DE09BD">
        <w:rPr>
          <w:rFonts w:ascii="Times New Roman" w:hAnsi="Times New Roman" w:cs="Times New Roman"/>
          <w:sz w:val="28"/>
          <w:szCs w:val="28"/>
        </w:rPr>
        <w:fldChar w:fldCharType="begin"/>
      </w:r>
      <w:r w:rsidR="00DE09BD">
        <w:rPr>
          <w:rFonts w:ascii="Times New Roman" w:hAnsi="Times New Roman" w:cs="Times New Roman"/>
          <w:sz w:val="28"/>
          <w:szCs w:val="28"/>
        </w:rPr>
        <w:instrText xml:space="preserve"> REF _Ref151850396 \r \h </w:instrText>
      </w:r>
      <w:r w:rsidR="00DE09BD">
        <w:rPr>
          <w:rFonts w:ascii="Times New Roman" w:hAnsi="Times New Roman" w:cs="Times New Roman"/>
          <w:sz w:val="28"/>
          <w:szCs w:val="28"/>
        </w:rPr>
      </w:r>
      <w:r w:rsidR="00DE09BD">
        <w:rPr>
          <w:rFonts w:ascii="Times New Roman" w:hAnsi="Times New Roman" w:cs="Times New Roman"/>
          <w:sz w:val="28"/>
          <w:szCs w:val="28"/>
        </w:rPr>
        <w:fldChar w:fldCharType="separate"/>
      </w:r>
      <w:r w:rsidR="00DE09BD">
        <w:rPr>
          <w:rFonts w:ascii="Times New Roman" w:hAnsi="Times New Roman" w:cs="Times New Roman"/>
          <w:sz w:val="28"/>
          <w:szCs w:val="28"/>
        </w:rPr>
        <w:t>2</w:t>
      </w:r>
      <w:r w:rsidR="00DE09BD">
        <w:rPr>
          <w:rFonts w:ascii="Times New Roman" w:hAnsi="Times New Roman" w:cs="Times New Roman"/>
          <w:sz w:val="28"/>
          <w:szCs w:val="28"/>
        </w:rPr>
        <w:fldChar w:fldCharType="end"/>
      </w:r>
      <w:r w:rsidR="0009482E" w:rsidRPr="006611A3">
        <w:rPr>
          <w:rFonts w:ascii="Times New Roman" w:hAnsi="Times New Roman" w:cs="Times New Roman"/>
          <w:sz w:val="28"/>
          <w:szCs w:val="28"/>
        </w:rPr>
        <w:t>]</w:t>
      </w:r>
      <w:r w:rsidR="00AB68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5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F1C207" w14:textId="5EE6CBC4" w:rsidR="0083347C" w:rsidRDefault="0083347C" w:rsidP="00773F4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Збиток, як фінансовий результат діяльності АТ </w:t>
      </w:r>
      <w:r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КОНТІ</w:t>
      </w:r>
      <w:r w:rsidRPr="007C436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4455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негативно вплинув на показник рентабельності </w:t>
      </w:r>
      <w:r w:rsidR="001019B0">
        <w:rPr>
          <w:rFonts w:ascii="Times New Roman" w:hAnsi="Times New Roman" w:cs="Times New Roman"/>
          <w:sz w:val="28"/>
          <w:szCs w:val="28"/>
          <w:lang w:val="uk-UA"/>
        </w:rPr>
        <w:t>діяльності даного підприємства (див. рис. 1)</w:t>
      </w:r>
      <w:r w:rsidR="000948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B042BEB" w14:textId="5206A076" w:rsidR="001019B0" w:rsidRPr="0083347C" w:rsidRDefault="001019B0" w:rsidP="001019B0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6346A508" wp14:editId="46C4B03D">
            <wp:extent cx="4143375" cy="1762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6961E7" w14:textId="4BE92008" w:rsidR="00F15888" w:rsidRDefault="00F15888" w:rsidP="00F158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88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*Джерело: </w:t>
      </w:r>
      <w:r w:rsidRPr="00F15888">
        <w:rPr>
          <w:rFonts w:ascii="Times New Roman" w:hAnsi="Times New Roman" w:cs="Times New Roman"/>
          <w:sz w:val="24"/>
          <w:szCs w:val="24"/>
          <w:lang w:val="uk-UA"/>
        </w:rPr>
        <w:t xml:space="preserve">розраховано автором на основі даних джерела </w:t>
      </w:r>
      <w:r w:rsidRPr="00F15888">
        <w:rPr>
          <w:rFonts w:ascii="Times New Roman" w:hAnsi="Times New Roman" w:cs="Times New Roman"/>
          <w:sz w:val="24"/>
          <w:szCs w:val="24"/>
        </w:rPr>
        <w:t>[</w:t>
      </w:r>
      <w:r w:rsidR="00DE09BD">
        <w:rPr>
          <w:rFonts w:ascii="Times New Roman" w:hAnsi="Times New Roman" w:cs="Times New Roman"/>
          <w:sz w:val="24"/>
          <w:szCs w:val="24"/>
        </w:rPr>
        <w:fldChar w:fldCharType="begin"/>
      </w:r>
      <w:r w:rsidR="00DE09BD">
        <w:rPr>
          <w:rFonts w:ascii="Times New Roman" w:hAnsi="Times New Roman" w:cs="Times New Roman"/>
          <w:sz w:val="24"/>
          <w:szCs w:val="24"/>
        </w:rPr>
        <w:instrText xml:space="preserve"> REF _Ref151850396 \r \h </w:instrText>
      </w:r>
      <w:r w:rsidR="00DE09BD">
        <w:rPr>
          <w:rFonts w:ascii="Times New Roman" w:hAnsi="Times New Roman" w:cs="Times New Roman"/>
          <w:sz w:val="24"/>
          <w:szCs w:val="24"/>
        </w:rPr>
      </w:r>
      <w:r w:rsidR="00DE09BD">
        <w:rPr>
          <w:rFonts w:ascii="Times New Roman" w:hAnsi="Times New Roman" w:cs="Times New Roman"/>
          <w:sz w:val="24"/>
          <w:szCs w:val="24"/>
        </w:rPr>
        <w:fldChar w:fldCharType="separate"/>
      </w:r>
      <w:r w:rsidR="00DE09BD">
        <w:rPr>
          <w:rFonts w:ascii="Times New Roman" w:hAnsi="Times New Roman" w:cs="Times New Roman"/>
          <w:sz w:val="24"/>
          <w:szCs w:val="24"/>
        </w:rPr>
        <w:t>2</w:t>
      </w:r>
      <w:r w:rsidR="00DE09BD">
        <w:rPr>
          <w:rFonts w:ascii="Times New Roman" w:hAnsi="Times New Roman" w:cs="Times New Roman"/>
          <w:sz w:val="24"/>
          <w:szCs w:val="24"/>
        </w:rPr>
        <w:fldChar w:fldCharType="end"/>
      </w:r>
      <w:r w:rsidRPr="00F15888">
        <w:rPr>
          <w:rFonts w:ascii="Times New Roman" w:hAnsi="Times New Roman" w:cs="Times New Roman"/>
          <w:sz w:val="24"/>
          <w:szCs w:val="24"/>
        </w:rPr>
        <w:t>]</w:t>
      </w:r>
    </w:p>
    <w:p w14:paraId="1FEBE40C" w14:textId="35907E7A" w:rsidR="006611A3" w:rsidRDefault="0009482E" w:rsidP="00F1588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7975F6">
        <w:rPr>
          <w:rFonts w:ascii="Times New Roman" w:hAnsi="Times New Roman" w:cs="Times New Roman"/>
          <w:sz w:val="28"/>
          <w:szCs w:val="28"/>
          <w:lang w:val="uk-UA"/>
        </w:rPr>
        <w:t xml:space="preserve">збитковий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результат діяльності АТ </w:t>
      </w:r>
      <w:r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КОНТІ</w:t>
      </w:r>
      <w:r w:rsidRPr="007C4364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щорічне зменшення рентабельності діяльності, можна стверджувати, що дане підприємство в край важкому становищі, що може в кінцевому результаті привести до його банкрутства</w:t>
      </w:r>
      <w:r w:rsidR="005251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11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25121">
        <w:rPr>
          <w:rFonts w:ascii="Times New Roman" w:hAnsi="Times New Roman" w:cs="Times New Roman"/>
          <w:sz w:val="28"/>
          <w:szCs w:val="28"/>
          <w:lang w:val="uk-UA"/>
        </w:rPr>
        <w:t xml:space="preserve">ихід із даної ситуації АТ </w:t>
      </w:r>
      <w:r w:rsidR="00525121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25121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="00525121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25121">
        <w:rPr>
          <w:rFonts w:ascii="Times New Roman" w:hAnsi="Times New Roman" w:cs="Times New Roman"/>
          <w:sz w:val="28"/>
          <w:szCs w:val="28"/>
          <w:lang w:val="uk-UA"/>
        </w:rPr>
        <w:t>КОНТІ</w:t>
      </w:r>
      <w:r w:rsidR="00525121" w:rsidRPr="007C436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25121">
        <w:rPr>
          <w:rFonts w:ascii="Times New Roman" w:hAnsi="Times New Roman" w:cs="Times New Roman"/>
          <w:sz w:val="28"/>
          <w:szCs w:val="28"/>
          <w:lang w:val="uk-UA"/>
        </w:rPr>
        <w:t xml:space="preserve"> може забезпечити лише ефективно сформована антикризова програма. </w:t>
      </w:r>
    </w:p>
    <w:p w14:paraId="2BB45CBC" w14:textId="02281B77" w:rsidR="007975F6" w:rsidRDefault="00525121" w:rsidP="007975F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75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Рекомендований варіант програми антикризового розвитку </w:t>
      </w:r>
      <w:r w:rsidR="007F349D">
        <w:rPr>
          <w:rFonts w:ascii="Times New Roman" w:hAnsi="Times New Roman" w:cs="Times New Roman"/>
          <w:sz w:val="28"/>
          <w:szCs w:val="28"/>
          <w:lang w:val="uk-UA"/>
        </w:rPr>
        <w:t xml:space="preserve">АТ </w:t>
      </w:r>
      <w:r w:rsidR="007F349D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7F349D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="007F349D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7F349D">
        <w:rPr>
          <w:rFonts w:ascii="Times New Roman" w:hAnsi="Times New Roman" w:cs="Times New Roman"/>
          <w:sz w:val="28"/>
          <w:szCs w:val="28"/>
          <w:lang w:val="uk-UA"/>
        </w:rPr>
        <w:t>КОНТІ</w:t>
      </w:r>
      <w:r w:rsidR="007F349D" w:rsidRPr="007C436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7F34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5F6" w:rsidRPr="007975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має включати </w:t>
      </w:r>
      <w:r w:rsidR="007975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наступні </w:t>
      </w:r>
      <w:r w:rsidR="007975F6" w:rsidRPr="007975F6">
        <w:rPr>
          <w:rFonts w:ascii="Times New Roman" w:hAnsi="Times New Roman" w:cs="Times New Roman"/>
          <w:bCs/>
          <w:sz w:val="28"/>
          <w:szCs w:val="28"/>
          <w:lang w:val="uk-UA"/>
        </w:rPr>
        <w:t>завдання та заходи, що необхідні для їх виконання</w:t>
      </w:r>
      <w:r w:rsidR="007975F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53570C83" w14:textId="33EC2B66" w:rsidR="007975F6" w:rsidRPr="0088394B" w:rsidRDefault="007975F6" w:rsidP="0088394B">
      <w:pPr>
        <w:pStyle w:val="a3"/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Впровадження</w:t>
      </w:r>
      <w:r w:rsidRPr="0088394B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антикризових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заходів</w:t>
      </w:r>
      <w:r w:rsidRPr="0088394B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в межах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антикризової</w:t>
      </w:r>
      <w:r w:rsidRPr="0088394B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політики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88394B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88394B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кошторису</w:t>
      </w:r>
      <w:r w:rsidRPr="0088394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бюджету: ф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ормування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прийняття</w:t>
      </w:r>
      <w:r w:rsidRPr="0088394B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кошторису</w:t>
      </w:r>
      <w:r w:rsidRPr="0088394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витрат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8394B">
        <w:rPr>
          <w:rFonts w:ascii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реалізацію</w:t>
      </w:r>
      <w:r w:rsidRPr="008839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антикризових</w:t>
      </w:r>
      <w:r w:rsidRPr="0088394B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заходів.</w:t>
      </w:r>
    </w:p>
    <w:p w14:paraId="3A13DEF2" w14:textId="77777777" w:rsidR="007975F6" w:rsidRPr="0088394B" w:rsidRDefault="007975F6" w:rsidP="0088394B">
      <w:pPr>
        <w:pStyle w:val="a3"/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Формування</w:t>
      </w:r>
      <w:r w:rsidRPr="0088394B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організаційного</w:t>
      </w:r>
      <w:r w:rsidRPr="0088394B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забезпечення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системи</w:t>
      </w:r>
      <w:r w:rsidRPr="0088394B"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антикризового</w:t>
      </w:r>
      <w:r w:rsidRPr="0088394B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управління: перегляд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 штатного</w:t>
      </w:r>
      <w:r w:rsidRPr="0088394B"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розкладу; найм</w:t>
      </w:r>
      <w:r w:rsidRPr="0088394B">
        <w:rPr>
          <w:rFonts w:ascii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аналітика; перегляд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посадових</w:t>
      </w:r>
      <w:r w:rsidRPr="0088394B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інструкцій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функціо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нальних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виконавці.</w:t>
      </w:r>
    </w:p>
    <w:p w14:paraId="35E43DAD" w14:textId="77777777" w:rsidR="007975F6" w:rsidRPr="0088394B" w:rsidRDefault="007975F6" w:rsidP="0088394B">
      <w:pPr>
        <w:pStyle w:val="a3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Підвищення ділової</w:t>
      </w:r>
      <w:r w:rsidRPr="0088394B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активності</w:t>
      </w:r>
      <w:r w:rsidRPr="0088394B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підприємства: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освоєння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нових</w:t>
      </w:r>
      <w:r w:rsidRPr="008839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ринків</w:t>
      </w:r>
      <w:r w:rsidRPr="0088394B"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збуту</w:t>
      </w:r>
      <w:r w:rsidRPr="0088394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продукції; зменшення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тривалості</w:t>
      </w:r>
      <w:r w:rsidRPr="0088394B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операційного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та фінансового </w:t>
      </w:r>
      <w:r w:rsidRPr="0088394B">
        <w:rPr>
          <w:rFonts w:ascii="Times New Roman" w:hAnsi="Times New Roman" w:cs="Times New Roman"/>
          <w:spacing w:val="-2"/>
          <w:sz w:val="28"/>
          <w:szCs w:val="28"/>
          <w:lang w:val="uk-UA"/>
        </w:rPr>
        <w:t>циклу; п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рогнозування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кон’юнктури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ринку; с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корочення</w:t>
      </w:r>
      <w:r w:rsidRPr="0088394B">
        <w:rPr>
          <w:rFonts w:ascii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залишку</w:t>
      </w:r>
      <w:r w:rsidRPr="0088394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необоротних</w:t>
      </w:r>
      <w:r w:rsidRPr="0088394B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активів; п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ерегляд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дого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ворів із</w:t>
      </w:r>
      <w:r w:rsidRPr="008839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постачальниками.</w:t>
      </w:r>
    </w:p>
    <w:p w14:paraId="26DB5CEB" w14:textId="101EE02E" w:rsidR="007975F6" w:rsidRPr="0088394B" w:rsidRDefault="007975F6" w:rsidP="0088394B">
      <w:pPr>
        <w:pStyle w:val="a3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Відновлення</w:t>
      </w:r>
      <w:r w:rsidRPr="0088394B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платоспроможності</w:t>
      </w:r>
      <w:r w:rsidRPr="0088394B"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підприємства: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скорочення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розміру</w:t>
      </w:r>
      <w:r w:rsidRPr="0088394B"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необоротних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активів; стягнення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дебіторської</w:t>
      </w:r>
      <w:r w:rsidRPr="0088394B"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заборгованості; переведення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 боргів</w:t>
      </w:r>
      <w:r w:rsidRPr="0088394B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дебіторів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банківські</w:t>
      </w:r>
      <w:r w:rsidRPr="0088394B">
        <w:rPr>
          <w:rFonts w:ascii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установи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допомогою</w:t>
      </w:r>
      <w:r w:rsidRPr="0088394B">
        <w:rPr>
          <w:rFonts w:ascii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88394B">
        <w:rPr>
          <w:rFonts w:ascii="Times New Roman" w:hAnsi="Times New Roman" w:cs="Times New Roman"/>
          <w:sz w:val="28"/>
          <w:szCs w:val="28"/>
          <w:lang w:val="uk-UA"/>
        </w:rPr>
        <w:t>факторингу.</w:t>
      </w:r>
    </w:p>
    <w:p w14:paraId="6E396ADC" w14:textId="77777777" w:rsidR="007975F6" w:rsidRPr="0088394B" w:rsidRDefault="007975F6" w:rsidP="0088394B">
      <w:pPr>
        <w:pStyle w:val="a3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Покриття чистих збитків та відновлення рентабельності господарської діяльності підприємства: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збільшення обсягу чистого доходу від реалізації продукції; скорочення розміру собівартості продукції; проведення виваженої податкової політики.</w:t>
      </w:r>
    </w:p>
    <w:p w14:paraId="3A4ED1F1" w14:textId="1372F2D6" w:rsidR="007975F6" w:rsidRPr="0088394B" w:rsidRDefault="007975F6" w:rsidP="0088394B">
      <w:pPr>
        <w:pStyle w:val="a3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88394B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операційних, інвестиційних та фінансових антикризових заходів: 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зростання розміру грошових потоків; скорочення розміру поточних витрат; збільшення розміру активів та інвестованого капіталу</w:t>
      </w:r>
      <w:r w:rsidR="0088394B"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; з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акриття неефективних інвестиційних проєктів</w:t>
      </w:r>
      <w:r w:rsidR="0088394B"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; р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аціоналізація структури капіталу</w:t>
      </w:r>
      <w:r w:rsidR="0088394B"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; о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птимізація розміру операційного прибутку</w:t>
      </w:r>
      <w:r w:rsidR="0088394B"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;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88394B"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п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роведення фінансової санації</w:t>
      </w:r>
      <w:r w:rsidR="0088394B"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</w:p>
    <w:p w14:paraId="072DCEC1" w14:textId="72C29CEE" w:rsidR="007975F6" w:rsidRPr="0088394B" w:rsidRDefault="0088394B" w:rsidP="0088394B">
      <w:pPr>
        <w:pStyle w:val="a3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394B">
        <w:rPr>
          <w:rFonts w:ascii="Times New Roman" w:hAnsi="Times New Roman" w:cs="Times New Roman"/>
          <w:sz w:val="28"/>
          <w:szCs w:val="28"/>
          <w:lang w:val="uk-UA"/>
        </w:rPr>
        <w:t>Закріплення антикризових заходів в межах антикризової програми розвитку підприємства: з</w:t>
      </w:r>
      <w:r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атвердження антикризової програми розвитку; регламентація повноважень виконавців; направлення фахівців на навчання; підвищення кваліфікації та тренінги.</w:t>
      </w:r>
    </w:p>
    <w:p w14:paraId="5D6E781E" w14:textId="24846479" w:rsidR="0088394B" w:rsidRDefault="008527A9" w:rsidP="0088394B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Д</w:t>
      </w:r>
      <w:r w:rsid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ана антикризова програма розрахована на вихід підприємства із кризового стану до ефективного ведення діяльності протягом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1</w:t>
      </w:r>
      <w:r w:rsid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,5-2 років, оскільки досконале </w:t>
      </w:r>
      <w:r w:rsidR="0088394B"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формування</w:t>
      </w:r>
      <w:r w:rsidR="0088394B" w:rsidRPr="0088394B"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="0088394B" w:rsidRPr="0088394B">
        <w:rPr>
          <w:rFonts w:ascii="Times New Roman" w:hAnsi="Times New Roman" w:cs="Times New Roman"/>
          <w:sz w:val="28"/>
          <w:szCs w:val="28"/>
          <w:lang w:val="uk-UA"/>
        </w:rPr>
        <w:t>організаційного</w:t>
      </w:r>
      <w:r w:rsidR="0088394B" w:rsidRPr="0088394B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="0088394B"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забезпечення</w:t>
      </w:r>
      <w:r w:rsidR="0088394B" w:rsidRPr="008839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8394B"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системи</w:t>
      </w:r>
      <w:r w:rsidR="0088394B" w:rsidRPr="0088394B"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="0088394B"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антикризового</w:t>
      </w:r>
      <w:r w:rsidR="0088394B" w:rsidRPr="0088394B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="0088394B" w:rsidRP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>управління</w:t>
      </w:r>
      <w:r w:rsidR="0088394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відбувається протягом такого період.</w:t>
      </w:r>
    </w:p>
    <w:p w14:paraId="7614C1C8" w14:textId="312A22D3" w:rsidR="005B512C" w:rsidRPr="00295F9B" w:rsidRDefault="005B512C" w:rsidP="0088394B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Таким чином, </w:t>
      </w:r>
      <w:r w:rsidR="00295F9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враховуючи вплив економічної кризи на  діяльність </w:t>
      </w:r>
      <w:r w:rsidR="00295F9B">
        <w:rPr>
          <w:rFonts w:ascii="Times New Roman" w:hAnsi="Times New Roman" w:cs="Times New Roman"/>
          <w:sz w:val="28"/>
          <w:szCs w:val="28"/>
          <w:lang w:val="uk-UA"/>
        </w:rPr>
        <w:t xml:space="preserve">АТ </w:t>
      </w:r>
      <w:r w:rsidR="00295F9B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295F9B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="00295F9B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295F9B">
        <w:rPr>
          <w:rFonts w:ascii="Times New Roman" w:hAnsi="Times New Roman" w:cs="Times New Roman"/>
          <w:sz w:val="28"/>
          <w:szCs w:val="28"/>
          <w:lang w:val="uk-UA"/>
        </w:rPr>
        <w:t>КОНТІ</w:t>
      </w:r>
      <w:r w:rsidR="00295F9B" w:rsidRPr="007C436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295F9B">
        <w:rPr>
          <w:rFonts w:ascii="Times New Roman" w:hAnsi="Times New Roman" w:cs="Times New Roman"/>
          <w:sz w:val="28"/>
          <w:szCs w:val="28"/>
          <w:lang w:val="uk-UA"/>
        </w:rPr>
        <w:t xml:space="preserve">, можна відмітити, що лише ефективна антикризова програма здатна забезпечити </w:t>
      </w:r>
      <w:r w:rsidR="00295F9B" w:rsidRPr="00295F9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295F9B">
        <w:rPr>
          <w:rFonts w:ascii="Times New Roman" w:hAnsi="Times New Roman" w:cs="Times New Roman"/>
          <w:sz w:val="28"/>
          <w:szCs w:val="28"/>
          <w:lang w:val="uk-UA"/>
        </w:rPr>
        <w:t>життєдіяльність</w:t>
      </w:r>
      <w:r w:rsidR="00295F9B" w:rsidRPr="00295F9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295F9B">
        <w:rPr>
          <w:rFonts w:ascii="Times New Roman" w:hAnsi="Times New Roman" w:cs="Times New Roman"/>
          <w:sz w:val="28"/>
          <w:szCs w:val="28"/>
          <w:lang w:val="uk-UA"/>
        </w:rPr>
        <w:t xml:space="preserve"> даному підприємству. </w:t>
      </w:r>
      <w:r w:rsidR="00295F9B" w:rsidRPr="007975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Рекомендований варіант програми антикризового розвитку </w:t>
      </w:r>
      <w:r w:rsidR="008527A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діяльність </w:t>
      </w:r>
      <w:r w:rsidR="008527A9">
        <w:rPr>
          <w:rFonts w:ascii="Times New Roman" w:hAnsi="Times New Roman" w:cs="Times New Roman"/>
          <w:sz w:val="28"/>
          <w:szCs w:val="28"/>
          <w:lang w:val="uk-UA"/>
        </w:rPr>
        <w:t xml:space="preserve">АТ </w:t>
      </w:r>
      <w:r w:rsidR="008527A9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8527A9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="008527A9" w:rsidRPr="007C436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8527A9">
        <w:rPr>
          <w:rFonts w:ascii="Times New Roman" w:hAnsi="Times New Roman" w:cs="Times New Roman"/>
          <w:sz w:val="28"/>
          <w:szCs w:val="28"/>
          <w:lang w:val="uk-UA"/>
        </w:rPr>
        <w:t>КОНТІ</w:t>
      </w:r>
      <w:r w:rsidR="008527A9" w:rsidRPr="007C4364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8527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F9B">
        <w:rPr>
          <w:rFonts w:ascii="Times New Roman" w:hAnsi="Times New Roman" w:cs="Times New Roman"/>
          <w:bCs/>
          <w:sz w:val="28"/>
          <w:szCs w:val="28"/>
          <w:lang w:val="uk-UA"/>
        </w:rPr>
        <w:t>враховує усі</w:t>
      </w:r>
      <w:r w:rsidR="007F3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існуючі недоліки підприємства</w:t>
      </w:r>
      <w:r w:rsidR="00295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тому реалізація даної програми може забезпечити позитивний результат для </w:t>
      </w:r>
      <w:r w:rsidR="007F3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</w:t>
      </w:r>
      <w:r w:rsidR="007F349D">
        <w:rPr>
          <w:rFonts w:ascii="Times New Roman" w:hAnsi="Times New Roman" w:cs="Times New Roman"/>
          <w:spacing w:val="-1"/>
          <w:sz w:val="28"/>
          <w:szCs w:val="28"/>
          <w:lang w:val="uk-UA"/>
        </w:rPr>
        <w:t>подальшого функціонування на ринку кондитерських послуг.</w:t>
      </w:r>
    </w:p>
    <w:p w14:paraId="48F1ECF5" w14:textId="73D28E61" w:rsidR="00435D98" w:rsidRDefault="00435D98" w:rsidP="001F54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2F1F19"/>
          <w:sz w:val="24"/>
          <w:szCs w:val="24"/>
          <w:lang w:val="uk-UA"/>
        </w:rPr>
      </w:pPr>
      <w:r w:rsidRPr="00435D98">
        <w:rPr>
          <w:rFonts w:ascii="Times New Roman" w:hAnsi="Times New Roman" w:cs="Times New Roman"/>
          <w:b/>
          <w:bCs/>
          <w:color w:val="2F1F19"/>
          <w:sz w:val="24"/>
          <w:szCs w:val="24"/>
          <w:lang w:val="uk-UA"/>
        </w:rPr>
        <w:t>Література</w:t>
      </w:r>
    </w:p>
    <w:p w14:paraId="1C9E5EC0" w14:textId="77777777" w:rsidR="00F15888" w:rsidRPr="00F15888" w:rsidRDefault="001F540E" w:rsidP="00F15888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151850385"/>
      <w:r w:rsidRPr="001F540E">
        <w:rPr>
          <w:rFonts w:ascii="Times New Roman" w:hAnsi="Times New Roman" w:cs="Times New Roman"/>
          <w:sz w:val="24"/>
          <w:szCs w:val="24"/>
          <w:lang w:val="uk-UA"/>
        </w:rPr>
        <w:t>Еш С. М. Система антикризового управління та методологічні підходи до її формування. Вісник Житомирського державного технологічного університету. Економічні науки. 2019. № 1. Ч. 2. С. 103-107</w:t>
      </w:r>
      <w:bookmarkEnd w:id="0"/>
    </w:p>
    <w:p w14:paraId="692427EC" w14:textId="3A5B3D1F" w:rsidR="00F15888" w:rsidRPr="00F15888" w:rsidRDefault="00F15888" w:rsidP="00F15888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51850396"/>
      <w:r w:rsidRPr="00F15888">
        <w:rPr>
          <w:rFonts w:ascii="Times New Roman" w:hAnsi="Times New Roman" w:cs="Times New Roman"/>
          <w:sz w:val="24"/>
          <w:szCs w:val="24"/>
          <w:lang w:val="uk-UA"/>
        </w:rPr>
        <w:t>Фінансова звітність АТ “ВО “КОНТІ”</w:t>
      </w:r>
      <w:r w:rsidR="00244E74">
        <w:rPr>
          <w:rFonts w:ascii="Times New Roman" w:hAnsi="Times New Roman" w:cs="Times New Roman"/>
          <w:sz w:val="24"/>
          <w:szCs w:val="24"/>
          <w:lang w:val="uk-UA"/>
        </w:rPr>
        <w:t>/ Інформаційно-аналітичні дані системи аналітики відкритих даних «</w:t>
      </w:r>
      <w:r w:rsidR="00244E74">
        <w:rPr>
          <w:rFonts w:ascii="Times New Roman" w:hAnsi="Times New Roman" w:cs="Times New Roman"/>
          <w:sz w:val="24"/>
          <w:szCs w:val="24"/>
          <w:lang w:val="en-US"/>
        </w:rPr>
        <w:t>Clarity</w:t>
      </w:r>
      <w:r w:rsidR="00244E74" w:rsidRPr="00244E74">
        <w:rPr>
          <w:rFonts w:ascii="Times New Roman" w:hAnsi="Times New Roman" w:cs="Times New Roman"/>
          <w:sz w:val="24"/>
          <w:szCs w:val="24"/>
        </w:rPr>
        <w:t xml:space="preserve"> </w:t>
      </w:r>
      <w:r w:rsidR="00244E74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244E7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44E74" w:rsidRPr="00244E74">
        <w:rPr>
          <w:rFonts w:ascii="Times New Roman" w:hAnsi="Times New Roman" w:cs="Times New Roman"/>
          <w:sz w:val="24"/>
          <w:szCs w:val="24"/>
        </w:rPr>
        <w:t xml:space="preserve">. </w:t>
      </w:r>
      <w:r w:rsidR="00244E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44E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44E74" w:rsidRPr="00244E74">
        <w:rPr>
          <w:rFonts w:ascii="Times New Roman" w:hAnsi="Times New Roman" w:cs="Times New Roman"/>
          <w:sz w:val="24"/>
          <w:szCs w:val="24"/>
          <w:lang w:val="uk-UA"/>
        </w:rPr>
        <w:t>https://clarity-project.info/edr/25112243/finances?</w:t>
      </w:r>
      <w:r w:rsidR="00244E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4E74" w:rsidRPr="00244E74">
        <w:rPr>
          <w:rFonts w:ascii="Times New Roman" w:hAnsi="Times New Roman" w:cs="Times New Roman"/>
          <w:sz w:val="24"/>
          <w:szCs w:val="24"/>
          <w:lang w:val="uk-UA"/>
        </w:rPr>
        <w:t>current_year=2022</w:t>
      </w:r>
      <w:bookmarkStart w:id="2" w:name="_GoBack"/>
      <w:bookmarkEnd w:id="1"/>
      <w:bookmarkEnd w:id="2"/>
    </w:p>
    <w:sectPr w:rsidR="00F15888" w:rsidRPr="00F15888" w:rsidSect="00832BFD">
      <w:footerReference w:type="default" r:id="rId10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2DAB" w14:textId="77777777" w:rsidR="00036D1F" w:rsidRDefault="00036D1F" w:rsidP="00832BFD">
      <w:pPr>
        <w:spacing w:after="0" w:line="240" w:lineRule="auto"/>
      </w:pPr>
      <w:r>
        <w:separator/>
      </w:r>
    </w:p>
  </w:endnote>
  <w:endnote w:type="continuationSeparator" w:id="0">
    <w:p w14:paraId="3AAB49DA" w14:textId="77777777" w:rsidR="00036D1F" w:rsidRDefault="00036D1F" w:rsidP="0083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990415"/>
      <w:docPartObj>
        <w:docPartGallery w:val="Page Numbers (Bottom of Page)"/>
        <w:docPartUnique/>
      </w:docPartObj>
    </w:sdtPr>
    <w:sdtEndPr/>
    <w:sdtContent>
      <w:p w14:paraId="0737E28A" w14:textId="1E44BAC2" w:rsidR="00832BFD" w:rsidRDefault="00832B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1F">
          <w:rPr>
            <w:noProof/>
          </w:rPr>
          <w:t>1</w:t>
        </w:r>
        <w:r>
          <w:fldChar w:fldCharType="end"/>
        </w:r>
      </w:p>
    </w:sdtContent>
  </w:sdt>
  <w:p w14:paraId="31A33E58" w14:textId="77777777" w:rsidR="00832BFD" w:rsidRDefault="00832B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100B1" w14:textId="77777777" w:rsidR="00036D1F" w:rsidRDefault="00036D1F" w:rsidP="00832BFD">
      <w:pPr>
        <w:spacing w:after="0" w:line="240" w:lineRule="auto"/>
      </w:pPr>
      <w:r>
        <w:separator/>
      </w:r>
    </w:p>
  </w:footnote>
  <w:footnote w:type="continuationSeparator" w:id="0">
    <w:p w14:paraId="6563F47E" w14:textId="77777777" w:rsidR="00036D1F" w:rsidRDefault="00036D1F" w:rsidP="0083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3EE"/>
    <w:multiLevelType w:val="hybridMultilevel"/>
    <w:tmpl w:val="04BA9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E213AA"/>
    <w:multiLevelType w:val="hybridMultilevel"/>
    <w:tmpl w:val="72464D3A"/>
    <w:lvl w:ilvl="0" w:tplc="89809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BB44B4"/>
    <w:multiLevelType w:val="hybridMultilevel"/>
    <w:tmpl w:val="6ACA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F5EBF"/>
    <w:multiLevelType w:val="hybridMultilevel"/>
    <w:tmpl w:val="41D283D6"/>
    <w:lvl w:ilvl="0" w:tplc="6DAE4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30E5F"/>
    <w:multiLevelType w:val="hybridMultilevel"/>
    <w:tmpl w:val="04BA92C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99"/>
    <w:rsid w:val="00036D1F"/>
    <w:rsid w:val="00057952"/>
    <w:rsid w:val="0009482E"/>
    <w:rsid w:val="000A5E1B"/>
    <w:rsid w:val="001019B0"/>
    <w:rsid w:val="001268BA"/>
    <w:rsid w:val="00177EC8"/>
    <w:rsid w:val="001D4830"/>
    <w:rsid w:val="001F540E"/>
    <w:rsid w:val="00244E74"/>
    <w:rsid w:val="00254192"/>
    <w:rsid w:val="00295F9B"/>
    <w:rsid w:val="002D4C26"/>
    <w:rsid w:val="003363C7"/>
    <w:rsid w:val="00435D98"/>
    <w:rsid w:val="004D79A1"/>
    <w:rsid w:val="004E192B"/>
    <w:rsid w:val="00525121"/>
    <w:rsid w:val="00544550"/>
    <w:rsid w:val="0054582D"/>
    <w:rsid w:val="005B512C"/>
    <w:rsid w:val="005D1C47"/>
    <w:rsid w:val="006611A3"/>
    <w:rsid w:val="006C0B77"/>
    <w:rsid w:val="00740A31"/>
    <w:rsid w:val="00773F4F"/>
    <w:rsid w:val="007975F6"/>
    <w:rsid w:val="007C4364"/>
    <w:rsid w:val="007F349D"/>
    <w:rsid w:val="008242FF"/>
    <w:rsid w:val="00832BFD"/>
    <w:rsid w:val="0083347C"/>
    <w:rsid w:val="0083784A"/>
    <w:rsid w:val="008527A9"/>
    <w:rsid w:val="008561BC"/>
    <w:rsid w:val="00870751"/>
    <w:rsid w:val="0088394B"/>
    <w:rsid w:val="00922C48"/>
    <w:rsid w:val="009D18D6"/>
    <w:rsid w:val="009D5925"/>
    <w:rsid w:val="00A04613"/>
    <w:rsid w:val="00A10D99"/>
    <w:rsid w:val="00AB68F8"/>
    <w:rsid w:val="00AC7C31"/>
    <w:rsid w:val="00AE0D70"/>
    <w:rsid w:val="00B71842"/>
    <w:rsid w:val="00B747DF"/>
    <w:rsid w:val="00B82F01"/>
    <w:rsid w:val="00B915B7"/>
    <w:rsid w:val="00BA175D"/>
    <w:rsid w:val="00DE09BD"/>
    <w:rsid w:val="00E75AF9"/>
    <w:rsid w:val="00EA4C7A"/>
    <w:rsid w:val="00EA59DF"/>
    <w:rsid w:val="00ED3C6C"/>
    <w:rsid w:val="00EE4070"/>
    <w:rsid w:val="00F12C76"/>
    <w:rsid w:val="00F15888"/>
    <w:rsid w:val="00F1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1E8B"/>
  <w15:chartTrackingRefBased/>
  <w15:docId w15:val="{BAEB4B67-DF46-48EC-B90F-CAAD03AE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1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BFD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83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BFD"/>
    <w:rPr>
      <w:kern w:val="0"/>
      <w14:ligatures w14:val="none"/>
    </w:rPr>
  </w:style>
  <w:style w:type="table" w:styleId="a8">
    <w:name w:val="Table Grid"/>
    <w:basedOn w:val="a1"/>
    <w:uiPriority w:val="39"/>
    <w:rsid w:val="00F1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44E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528-68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Рентабельність діяльності АТ “ВО “КОНТІ” </c:v>
                </c:pt>
              </c:strCache>
            </c:strRef>
          </c:tx>
          <c:spPr>
            <a:pattFill prst="pct5">
              <a:fgClr>
                <a:schemeClr val="tx1">
                  <a:lumMod val="95000"/>
                  <a:lumOff val="5000"/>
                </a:schemeClr>
              </a:fgClr>
              <a:bgClr>
                <a:schemeClr val="bg1"/>
              </a:bgClr>
            </a:pattFill>
            <a:ln>
              <a:solidFill>
                <a:schemeClr val="tx1">
                  <a:lumMod val="95000"/>
                  <a:lumOff val="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-0.1</c:v>
                </c:pt>
                <c:pt idx="1">
                  <c:v>-0.31</c:v>
                </c:pt>
                <c:pt idx="2" formatCode="0.00%">
                  <c:v>-0.53500000000000003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96-439B-AA31-C7A7E533D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4993752"/>
        <c:axId val="664985112"/>
      </c:barChart>
      <c:catAx>
        <c:axId val="664993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4985112"/>
        <c:crosses val="autoZero"/>
        <c:auto val="1"/>
        <c:lblAlgn val="ctr"/>
        <c:lblOffset val="100"/>
        <c:noMultiLvlLbl val="0"/>
      </c:catAx>
      <c:valAx>
        <c:axId val="66498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64993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A2D2-27D4-4189-97F7-CD8F16A2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Віткова Аліна Валеріївна</cp:lastModifiedBy>
  <cp:revision>24</cp:revision>
  <dcterms:created xsi:type="dcterms:W3CDTF">2023-11-25T09:07:00Z</dcterms:created>
  <dcterms:modified xsi:type="dcterms:W3CDTF">2023-11-27T13:12:00Z</dcterms:modified>
</cp:coreProperties>
</file>