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5434" w14:textId="77777777" w:rsidR="00F36FCB" w:rsidRPr="00FA212E" w:rsidRDefault="006472C4" w:rsidP="002F299C">
      <w:pPr>
        <w:spacing w:after="0" w:line="360" w:lineRule="auto"/>
        <w:jc w:val="right"/>
        <w:rPr>
          <w:rFonts w:ascii="Times New Roman" w:hAnsi="Times New Roman" w:cs="Times New Roman"/>
          <w:sz w:val="28"/>
          <w:szCs w:val="28"/>
        </w:rPr>
      </w:pPr>
      <w:proofErr w:type="spellStart"/>
      <w:r w:rsidRPr="00FA212E">
        <w:rPr>
          <w:rFonts w:ascii="Times New Roman" w:hAnsi="Times New Roman" w:cs="Times New Roman"/>
          <w:sz w:val="28"/>
          <w:szCs w:val="28"/>
        </w:rPr>
        <w:t>Віннік</w:t>
      </w:r>
      <w:proofErr w:type="spellEnd"/>
      <w:r w:rsidRPr="00FA212E">
        <w:rPr>
          <w:rFonts w:ascii="Times New Roman" w:hAnsi="Times New Roman" w:cs="Times New Roman"/>
          <w:sz w:val="28"/>
          <w:szCs w:val="28"/>
        </w:rPr>
        <w:t xml:space="preserve"> Сергій Євгенович</w:t>
      </w:r>
      <w:r w:rsidR="00EB3BA5" w:rsidRPr="00FA212E">
        <w:rPr>
          <w:rFonts w:ascii="Times New Roman" w:hAnsi="Times New Roman" w:cs="Times New Roman"/>
          <w:sz w:val="28"/>
          <w:szCs w:val="28"/>
        </w:rPr>
        <w:t xml:space="preserve">, </w:t>
      </w:r>
      <w:r w:rsidR="00F36FCB" w:rsidRPr="00FA212E">
        <w:rPr>
          <w:rFonts w:ascii="Times New Roman" w:hAnsi="Times New Roman" w:cs="Times New Roman"/>
          <w:sz w:val="28"/>
          <w:szCs w:val="28"/>
        </w:rPr>
        <w:t>здобувач вищої освіти</w:t>
      </w:r>
    </w:p>
    <w:p w14:paraId="73133094" w14:textId="068230E3" w:rsidR="00EB3BA5" w:rsidRPr="00FA212E" w:rsidRDefault="001F3B41" w:rsidP="002F299C">
      <w:pPr>
        <w:spacing w:after="0" w:line="360" w:lineRule="auto"/>
        <w:jc w:val="right"/>
        <w:rPr>
          <w:rFonts w:ascii="Times New Roman" w:hAnsi="Times New Roman" w:cs="Times New Roman"/>
          <w:sz w:val="28"/>
          <w:szCs w:val="28"/>
        </w:rPr>
      </w:pPr>
      <w:r w:rsidRPr="00FA212E">
        <w:rPr>
          <w:rFonts w:ascii="Times New Roman" w:hAnsi="Times New Roman" w:cs="Times New Roman"/>
          <w:sz w:val="28"/>
          <w:szCs w:val="28"/>
        </w:rPr>
        <w:t>Запорізький Національний Університет</w:t>
      </w:r>
      <w:r w:rsidRPr="00FA212E">
        <w:rPr>
          <w:rFonts w:ascii="Times New Roman" w:hAnsi="Times New Roman" w:cs="Times New Roman"/>
          <w:sz w:val="28"/>
          <w:szCs w:val="28"/>
        </w:rPr>
        <w:t>, Запоріжжя</w:t>
      </w:r>
    </w:p>
    <w:p w14:paraId="4BFCA49D" w14:textId="6C616C33" w:rsidR="00EB3BA5" w:rsidRPr="00FA212E" w:rsidRDefault="00C70D9D" w:rsidP="002F299C">
      <w:pPr>
        <w:spacing w:after="0" w:line="360" w:lineRule="auto"/>
        <w:jc w:val="right"/>
        <w:rPr>
          <w:rFonts w:ascii="Times New Roman" w:hAnsi="Times New Roman" w:cs="Times New Roman"/>
          <w:sz w:val="28"/>
          <w:szCs w:val="28"/>
        </w:rPr>
      </w:pPr>
      <w:r w:rsidRPr="00FA212E">
        <w:rPr>
          <w:rFonts w:ascii="Times New Roman" w:hAnsi="Times New Roman" w:cs="Times New Roman"/>
          <w:sz w:val="28"/>
          <w:szCs w:val="28"/>
        </w:rPr>
        <w:t>ORCID: 0009-0007-7465-4065</w:t>
      </w:r>
    </w:p>
    <w:p w14:paraId="6F515470" w14:textId="77777777" w:rsidR="00856218" w:rsidRDefault="00856218" w:rsidP="002F299C">
      <w:pPr>
        <w:spacing w:line="360" w:lineRule="auto"/>
        <w:jc w:val="center"/>
        <w:rPr>
          <w:rFonts w:ascii="Times New Roman" w:hAnsi="Times New Roman" w:cs="Times New Roman"/>
          <w:b/>
          <w:bCs/>
          <w:sz w:val="28"/>
          <w:szCs w:val="28"/>
          <w:lang w:val="ru-RU"/>
        </w:rPr>
      </w:pPr>
    </w:p>
    <w:p w14:paraId="1EBA3410" w14:textId="64B7840A" w:rsidR="00C70D9D" w:rsidRDefault="00C70D9D" w:rsidP="002F299C">
      <w:pPr>
        <w:spacing w:line="360" w:lineRule="auto"/>
        <w:jc w:val="center"/>
        <w:rPr>
          <w:rFonts w:ascii="Times New Roman" w:hAnsi="Times New Roman" w:cs="Times New Roman"/>
          <w:b/>
          <w:bCs/>
          <w:sz w:val="28"/>
          <w:szCs w:val="28"/>
        </w:rPr>
      </w:pPr>
      <w:r w:rsidRPr="00FA212E">
        <w:rPr>
          <w:rFonts w:ascii="Times New Roman" w:hAnsi="Times New Roman" w:cs="Times New Roman"/>
          <w:b/>
          <w:bCs/>
          <w:sz w:val="28"/>
          <w:szCs w:val="28"/>
        </w:rPr>
        <w:t>ВПЛИВ КОЛЬОРОВИХ МЕТАЛІВ НА ФАЗОВУ СТАБІЛЬНІСТЬ ТА КАТАЛІТИЧНІ ВЛАСТИВОСТІ ВИСОКОЕНТРОПІЙНИХ СПЛАВІВ У ПРОЦЕСАХ ЕЛЕКТРОЛІЗУ ВОДИ</w:t>
      </w:r>
    </w:p>
    <w:p w14:paraId="2D79C862" w14:textId="77777777" w:rsidR="004821FE" w:rsidRPr="00C70D9D" w:rsidRDefault="004821FE" w:rsidP="002F299C">
      <w:pPr>
        <w:spacing w:line="360" w:lineRule="auto"/>
        <w:jc w:val="center"/>
        <w:rPr>
          <w:rFonts w:ascii="Times New Roman" w:hAnsi="Times New Roman" w:cs="Times New Roman"/>
          <w:b/>
          <w:bCs/>
          <w:sz w:val="28"/>
          <w:szCs w:val="28"/>
        </w:rPr>
      </w:pPr>
    </w:p>
    <w:p w14:paraId="52907B39" w14:textId="76EDA10B" w:rsidR="0085550C" w:rsidRPr="00660AA8" w:rsidRDefault="0085550C" w:rsidP="002F299C">
      <w:pPr>
        <w:spacing w:after="0" w:line="360" w:lineRule="auto"/>
        <w:ind w:firstLine="709"/>
        <w:jc w:val="both"/>
        <w:rPr>
          <w:rFonts w:ascii="Times New Roman" w:hAnsi="Times New Roman" w:cs="Times New Roman"/>
          <w:sz w:val="28"/>
          <w:szCs w:val="28"/>
          <w:lang w:val="cs-CZ"/>
        </w:rPr>
      </w:pPr>
      <w:r w:rsidRPr="0085550C">
        <w:rPr>
          <w:rFonts w:ascii="Times New Roman" w:hAnsi="Times New Roman" w:cs="Times New Roman"/>
          <w:sz w:val="28"/>
          <w:szCs w:val="28"/>
        </w:rPr>
        <w:t xml:space="preserve">Високоентропійні сплави (ВЕС) - перспективний клас матеріалів для </w:t>
      </w:r>
      <w:proofErr w:type="spellStart"/>
      <w:r w:rsidRPr="0085550C">
        <w:rPr>
          <w:rFonts w:ascii="Times New Roman" w:hAnsi="Times New Roman" w:cs="Times New Roman"/>
          <w:sz w:val="28"/>
          <w:szCs w:val="28"/>
        </w:rPr>
        <w:t>електрокаталітичного</w:t>
      </w:r>
      <w:proofErr w:type="spellEnd"/>
      <w:r w:rsidRPr="0085550C">
        <w:rPr>
          <w:rFonts w:ascii="Times New Roman" w:hAnsi="Times New Roman" w:cs="Times New Roman"/>
          <w:sz w:val="28"/>
          <w:szCs w:val="28"/>
        </w:rPr>
        <w:t xml:space="preserve"> розкладання води за рахунок високої конфігураційної ентропії та синергії багатьох елементів, що забезпечує фазову стабільність та високу каталітичну активність.</w:t>
      </w:r>
      <w:r w:rsidR="00660AA8">
        <w:rPr>
          <w:rFonts w:ascii="Times New Roman" w:hAnsi="Times New Roman" w:cs="Times New Roman"/>
          <w:sz w:val="28"/>
          <w:szCs w:val="28"/>
          <w:lang w:val="cs-CZ"/>
        </w:rPr>
        <w:t>[1</w:t>
      </w:r>
      <w:r w:rsidR="00B36F3F">
        <w:rPr>
          <w:rFonts w:ascii="Times New Roman" w:hAnsi="Times New Roman" w:cs="Times New Roman"/>
          <w:sz w:val="28"/>
          <w:szCs w:val="28"/>
          <w:lang w:val="cs-CZ"/>
        </w:rPr>
        <w:t>;3</w:t>
      </w:r>
      <w:r w:rsidR="00660AA8">
        <w:rPr>
          <w:rFonts w:ascii="Times New Roman" w:hAnsi="Times New Roman" w:cs="Times New Roman"/>
          <w:sz w:val="28"/>
          <w:szCs w:val="28"/>
          <w:lang w:val="cs-CZ"/>
        </w:rPr>
        <w:t>]</w:t>
      </w:r>
    </w:p>
    <w:p w14:paraId="0BD41486" w14:textId="1D8FA1E1" w:rsidR="0085550C" w:rsidRPr="00B36F3F" w:rsidRDefault="0085550C" w:rsidP="002F299C">
      <w:pPr>
        <w:spacing w:after="0" w:line="360" w:lineRule="auto"/>
        <w:ind w:firstLine="709"/>
        <w:jc w:val="both"/>
        <w:rPr>
          <w:rFonts w:ascii="Times New Roman" w:hAnsi="Times New Roman" w:cs="Times New Roman"/>
          <w:sz w:val="28"/>
          <w:szCs w:val="28"/>
          <w:lang w:val="cs-CZ"/>
        </w:rPr>
      </w:pPr>
      <w:r w:rsidRPr="0085550C">
        <w:rPr>
          <w:rFonts w:ascii="Times New Roman" w:hAnsi="Times New Roman" w:cs="Times New Roman"/>
          <w:sz w:val="28"/>
          <w:szCs w:val="28"/>
        </w:rPr>
        <w:t>Зростаючий світовий попит на відновлювані джерела енергії, зокрема зелений водень, робить електроліз води ключовою технологією для досягнення вуглецевої нейтральності до 2050 року, як це передбачено Паризькою угодою та стратегіями водневої економіки ЄС. Однак традиційні каталізатори реакцій виділення кисню (P</w:t>
      </w:r>
      <w:r w:rsidR="00014F81">
        <w:rPr>
          <w:rFonts w:ascii="Times New Roman" w:hAnsi="Times New Roman" w:cs="Times New Roman"/>
          <w:sz w:val="28"/>
          <w:szCs w:val="28"/>
        </w:rPr>
        <w:t>ВК</w:t>
      </w:r>
      <w:r w:rsidRPr="0085550C">
        <w:rPr>
          <w:rFonts w:ascii="Times New Roman" w:hAnsi="Times New Roman" w:cs="Times New Roman"/>
          <w:sz w:val="28"/>
          <w:szCs w:val="28"/>
        </w:rPr>
        <w:t>) і водню (P</w:t>
      </w:r>
      <w:r w:rsidR="00014F81">
        <w:rPr>
          <w:rFonts w:ascii="Times New Roman" w:hAnsi="Times New Roman" w:cs="Times New Roman"/>
          <w:sz w:val="28"/>
          <w:szCs w:val="28"/>
        </w:rPr>
        <w:t>ВВ</w:t>
      </w:r>
      <w:r w:rsidRPr="0085550C">
        <w:rPr>
          <w:rFonts w:ascii="Times New Roman" w:hAnsi="Times New Roman" w:cs="Times New Roman"/>
          <w:sz w:val="28"/>
          <w:szCs w:val="28"/>
        </w:rPr>
        <w:t>), такі як платина (</w:t>
      </w:r>
      <w:proofErr w:type="spellStart"/>
      <w:r w:rsidRPr="0085550C">
        <w:rPr>
          <w:rFonts w:ascii="Times New Roman" w:hAnsi="Times New Roman" w:cs="Times New Roman"/>
          <w:sz w:val="28"/>
          <w:szCs w:val="28"/>
        </w:rPr>
        <w:t>Pt</w:t>
      </w:r>
      <w:proofErr w:type="spellEnd"/>
      <w:r w:rsidRPr="0085550C">
        <w:rPr>
          <w:rFonts w:ascii="Times New Roman" w:hAnsi="Times New Roman" w:cs="Times New Roman"/>
          <w:sz w:val="28"/>
          <w:szCs w:val="28"/>
        </w:rPr>
        <w:t>) для PEC і оксид іридію (</w:t>
      </w:r>
      <w:proofErr w:type="spellStart"/>
      <w:r w:rsidRPr="0085550C">
        <w:rPr>
          <w:rFonts w:ascii="Times New Roman" w:hAnsi="Times New Roman" w:cs="Times New Roman"/>
          <w:sz w:val="28"/>
          <w:szCs w:val="28"/>
        </w:rPr>
        <w:t>IrO</w:t>
      </w:r>
      <w:proofErr w:type="spellEnd"/>
      <w:r w:rsidRPr="0085550C">
        <w:rPr>
          <w:rFonts w:ascii="Times New Roman" w:hAnsi="Times New Roman" w:cs="Times New Roman"/>
          <w:sz w:val="28"/>
          <w:szCs w:val="28"/>
        </w:rPr>
        <w:t xml:space="preserve">₂) для PEC, обмежені високою вартістю, дефіцитом ресурсів і низькою стабільністю в лужних або кислих середовища </w:t>
      </w:r>
      <w:proofErr w:type="spellStart"/>
      <w:r w:rsidRPr="0085550C">
        <w:rPr>
          <w:rFonts w:ascii="Times New Roman" w:hAnsi="Times New Roman" w:cs="Times New Roman"/>
          <w:sz w:val="28"/>
          <w:szCs w:val="28"/>
        </w:rPr>
        <w:t>середовища</w:t>
      </w:r>
      <w:proofErr w:type="spellEnd"/>
      <w:r w:rsidRPr="0085550C">
        <w:rPr>
          <w:rFonts w:ascii="Times New Roman" w:hAnsi="Times New Roman" w:cs="Times New Roman"/>
          <w:sz w:val="28"/>
          <w:szCs w:val="28"/>
        </w:rPr>
        <w:t xml:space="preserve">. Згідно з даними Міжнародного енергетичного агентства (МЕА) за 2025 рік, вартість </w:t>
      </w:r>
      <w:proofErr w:type="spellStart"/>
      <w:r w:rsidRPr="0085550C">
        <w:rPr>
          <w:rFonts w:ascii="Times New Roman" w:hAnsi="Times New Roman" w:cs="Times New Roman"/>
          <w:sz w:val="28"/>
          <w:szCs w:val="28"/>
        </w:rPr>
        <w:t>Pt</w:t>
      </w:r>
      <w:proofErr w:type="spellEnd"/>
      <w:r w:rsidRPr="0085550C">
        <w:rPr>
          <w:rFonts w:ascii="Times New Roman" w:hAnsi="Times New Roman" w:cs="Times New Roman"/>
          <w:sz w:val="28"/>
          <w:szCs w:val="28"/>
        </w:rPr>
        <w:t xml:space="preserve"> та </w:t>
      </w:r>
      <w:proofErr w:type="spellStart"/>
      <w:r w:rsidRPr="0085550C">
        <w:rPr>
          <w:rFonts w:ascii="Times New Roman" w:hAnsi="Times New Roman" w:cs="Times New Roman"/>
          <w:sz w:val="28"/>
          <w:szCs w:val="28"/>
        </w:rPr>
        <w:t>Ir</w:t>
      </w:r>
      <w:proofErr w:type="spellEnd"/>
      <w:r w:rsidRPr="0085550C">
        <w:rPr>
          <w:rFonts w:ascii="Times New Roman" w:hAnsi="Times New Roman" w:cs="Times New Roman"/>
          <w:sz w:val="28"/>
          <w:szCs w:val="28"/>
        </w:rPr>
        <w:t xml:space="preserve"> становить понад 50% від загальної вартості електролізерів PEM, що стримує масштабування технології до рівня 1 </w:t>
      </w:r>
      <w:proofErr w:type="spellStart"/>
      <w:r w:rsidRPr="0085550C">
        <w:rPr>
          <w:rFonts w:ascii="Times New Roman" w:hAnsi="Times New Roman" w:cs="Times New Roman"/>
          <w:sz w:val="28"/>
          <w:szCs w:val="28"/>
        </w:rPr>
        <w:t>ГВт</w:t>
      </w:r>
      <w:proofErr w:type="spellEnd"/>
      <w:r w:rsidRPr="0085550C">
        <w:rPr>
          <w:rFonts w:ascii="Times New Roman" w:hAnsi="Times New Roman" w:cs="Times New Roman"/>
          <w:sz w:val="28"/>
          <w:szCs w:val="28"/>
        </w:rPr>
        <w:t xml:space="preserve"> на рік.</w:t>
      </w:r>
      <w:r w:rsidR="00B36F3F">
        <w:rPr>
          <w:rFonts w:ascii="Times New Roman" w:hAnsi="Times New Roman" w:cs="Times New Roman"/>
          <w:sz w:val="28"/>
          <w:szCs w:val="28"/>
          <w:lang w:val="cs-CZ"/>
        </w:rPr>
        <w:t>[7]</w:t>
      </w:r>
    </w:p>
    <w:p w14:paraId="6404D724" w14:textId="40D2BC52" w:rsidR="00014F81" w:rsidRDefault="0085550C" w:rsidP="002F299C">
      <w:pPr>
        <w:spacing w:after="0" w:line="360" w:lineRule="auto"/>
        <w:ind w:firstLine="709"/>
        <w:jc w:val="both"/>
        <w:rPr>
          <w:rFonts w:ascii="Times New Roman" w:hAnsi="Times New Roman" w:cs="Times New Roman"/>
          <w:sz w:val="28"/>
          <w:szCs w:val="28"/>
        </w:rPr>
      </w:pPr>
      <w:r w:rsidRPr="0085550C">
        <w:rPr>
          <w:rFonts w:ascii="Times New Roman" w:hAnsi="Times New Roman" w:cs="Times New Roman"/>
          <w:sz w:val="28"/>
          <w:szCs w:val="28"/>
        </w:rPr>
        <w:t xml:space="preserve">Сплави з високою ентропією, запропоновані </w:t>
      </w:r>
      <w:proofErr w:type="spellStart"/>
      <w:r w:rsidRPr="0085550C">
        <w:rPr>
          <w:rFonts w:ascii="Times New Roman" w:hAnsi="Times New Roman" w:cs="Times New Roman"/>
          <w:sz w:val="28"/>
          <w:szCs w:val="28"/>
        </w:rPr>
        <w:t>Yeh</w:t>
      </w:r>
      <w:proofErr w:type="spellEnd"/>
      <w:r w:rsidRPr="0085550C">
        <w:rPr>
          <w:rFonts w:ascii="Times New Roman" w:hAnsi="Times New Roman" w:cs="Times New Roman"/>
          <w:sz w:val="28"/>
          <w:szCs w:val="28"/>
        </w:rPr>
        <w:t xml:space="preserve"> et a у 2004 році представляють інноваційний клас матеріалів, де п'ять або більше елементів змішуються в майже </w:t>
      </w:r>
      <w:proofErr w:type="spellStart"/>
      <w:r w:rsidRPr="0085550C">
        <w:rPr>
          <w:rFonts w:ascii="Times New Roman" w:hAnsi="Times New Roman" w:cs="Times New Roman"/>
          <w:sz w:val="28"/>
          <w:szCs w:val="28"/>
        </w:rPr>
        <w:t>еквіатомних</w:t>
      </w:r>
      <w:proofErr w:type="spellEnd"/>
      <w:r w:rsidRPr="0085550C">
        <w:rPr>
          <w:rFonts w:ascii="Times New Roman" w:hAnsi="Times New Roman" w:cs="Times New Roman"/>
          <w:sz w:val="28"/>
          <w:szCs w:val="28"/>
        </w:rPr>
        <w:t xml:space="preserve"> пропорціях, створюючи високий ступінь безладу. Це призводить до стабілізації однофазних структур, уповільнення дифузії та «коктейльного ефекту» — синергії властивостей окремих елементів. У контексті електрокаталізу вітрові турбіни вже продемонстрували переваги: наприклад, у системах на основі </w:t>
      </w:r>
      <w:proofErr w:type="spellStart"/>
      <w:r w:rsidRPr="0085550C">
        <w:rPr>
          <w:rFonts w:ascii="Times New Roman" w:hAnsi="Times New Roman" w:cs="Times New Roman"/>
          <w:sz w:val="28"/>
          <w:szCs w:val="28"/>
        </w:rPr>
        <w:t>FeCoNiCrCu</w:t>
      </w:r>
      <w:proofErr w:type="spellEnd"/>
      <w:r w:rsidRPr="0085550C">
        <w:rPr>
          <w:rFonts w:ascii="Times New Roman" w:hAnsi="Times New Roman" w:cs="Times New Roman"/>
          <w:sz w:val="28"/>
          <w:szCs w:val="28"/>
        </w:rPr>
        <w:t xml:space="preserve"> перенапруга RVC становить 210–</w:t>
      </w:r>
      <w:r w:rsidRPr="0085550C">
        <w:rPr>
          <w:rFonts w:ascii="Times New Roman" w:hAnsi="Times New Roman" w:cs="Times New Roman"/>
          <w:sz w:val="28"/>
          <w:szCs w:val="28"/>
        </w:rPr>
        <w:lastRenderedPageBreak/>
        <w:t xml:space="preserve">250 </w:t>
      </w:r>
      <w:proofErr w:type="spellStart"/>
      <w:r w:rsidRPr="0085550C">
        <w:rPr>
          <w:rFonts w:ascii="Times New Roman" w:hAnsi="Times New Roman" w:cs="Times New Roman"/>
          <w:sz w:val="28"/>
          <w:szCs w:val="28"/>
        </w:rPr>
        <w:t>мВ</w:t>
      </w:r>
      <w:proofErr w:type="spellEnd"/>
      <w:r w:rsidRPr="0085550C">
        <w:rPr>
          <w:rFonts w:ascii="Times New Roman" w:hAnsi="Times New Roman" w:cs="Times New Roman"/>
          <w:sz w:val="28"/>
          <w:szCs w:val="28"/>
        </w:rPr>
        <w:t xml:space="preserve"> при 10 мА</w:t>
      </w:r>
      <w:r w:rsidRPr="0085550C">
        <w:rPr>
          <w:rFonts w:ascii="Cambria Math" w:hAnsi="Cambria Math" w:cs="Cambria Math"/>
          <w:sz w:val="28"/>
          <w:szCs w:val="28"/>
        </w:rPr>
        <w:t>⋅</w:t>
      </w:r>
      <w:r w:rsidRPr="0085550C">
        <w:rPr>
          <w:rFonts w:ascii="Times New Roman" w:hAnsi="Times New Roman" w:cs="Times New Roman"/>
          <w:sz w:val="28"/>
          <w:szCs w:val="28"/>
        </w:rPr>
        <w:t xml:space="preserve">см⁻², що на 20–50% нижче, ніж у бінарних сплавах </w:t>
      </w:r>
      <w:proofErr w:type="spellStart"/>
      <w:r w:rsidRPr="0085550C">
        <w:rPr>
          <w:rFonts w:ascii="Times New Roman" w:hAnsi="Times New Roman" w:cs="Times New Roman"/>
          <w:sz w:val="28"/>
          <w:szCs w:val="28"/>
        </w:rPr>
        <w:t>NiFe</w:t>
      </w:r>
      <w:proofErr w:type="spellEnd"/>
      <w:r w:rsidRPr="0085550C">
        <w:rPr>
          <w:rFonts w:ascii="Times New Roman" w:hAnsi="Times New Roman" w:cs="Times New Roman"/>
          <w:sz w:val="28"/>
          <w:szCs w:val="28"/>
        </w:rPr>
        <w:t>, через велику кількість активних центрів і корозійна стійкість</w:t>
      </w:r>
      <w:r w:rsidR="00B36F3F">
        <w:rPr>
          <w:rFonts w:ascii="Times New Roman" w:hAnsi="Times New Roman" w:cs="Times New Roman"/>
          <w:sz w:val="28"/>
          <w:szCs w:val="28"/>
          <w:lang w:val="cs-CZ"/>
        </w:rPr>
        <w:t xml:space="preserve"> [4;5]</w:t>
      </w:r>
      <w:r w:rsidRPr="0085550C">
        <w:rPr>
          <w:rFonts w:ascii="Times New Roman" w:hAnsi="Times New Roman" w:cs="Times New Roman"/>
          <w:sz w:val="28"/>
          <w:szCs w:val="28"/>
        </w:rPr>
        <w:t>.</w:t>
      </w:r>
    </w:p>
    <w:p w14:paraId="72EB781E" w14:textId="3EF8A5FE" w:rsidR="00F848AD" w:rsidRPr="00FA212E"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Кольорові метали, такі як алюміній (Al), мідь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 нікель (</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 кобальт (</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 та титан (</w:t>
      </w:r>
      <w:proofErr w:type="spellStart"/>
      <w:r w:rsidRPr="00FA212E">
        <w:rPr>
          <w:rFonts w:ascii="Times New Roman" w:hAnsi="Times New Roman" w:cs="Times New Roman"/>
          <w:sz w:val="28"/>
          <w:szCs w:val="28"/>
        </w:rPr>
        <w:t>Ti</w:t>
      </w:r>
      <w:proofErr w:type="spellEnd"/>
      <w:r w:rsidRPr="00FA212E">
        <w:rPr>
          <w:rFonts w:ascii="Times New Roman" w:hAnsi="Times New Roman" w:cs="Times New Roman"/>
          <w:sz w:val="28"/>
          <w:szCs w:val="28"/>
        </w:rPr>
        <w:t xml:space="preserve">), відіграють </w:t>
      </w:r>
      <w:r w:rsidR="007C40E5">
        <w:rPr>
          <w:rFonts w:ascii="Times New Roman" w:hAnsi="Times New Roman" w:cs="Times New Roman"/>
          <w:sz w:val="28"/>
          <w:szCs w:val="28"/>
        </w:rPr>
        <w:t>важливу</w:t>
      </w:r>
      <w:r w:rsidRPr="00FA212E">
        <w:rPr>
          <w:rFonts w:ascii="Times New Roman" w:hAnsi="Times New Roman" w:cs="Times New Roman"/>
          <w:sz w:val="28"/>
          <w:szCs w:val="28"/>
        </w:rPr>
        <w:t xml:space="preserve"> роль у формуванні структури та властивостей ВЕС. Al та </w:t>
      </w:r>
      <w:proofErr w:type="spellStart"/>
      <w:r w:rsidRPr="00FA212E">
        <w:rPr>
          <w:rFonts w:ascii="Times New Roman" w:hAnsi="Times New Roman" w:cs="Times New Roman"/>
          <w:sz w:val="28"/>
          <w:szCs w:val="28"/>
        </w:rPr>
        <w:t>Ti</w:t>
      </w:r>
      <w:proofErr w:type="spellEnd"/>
      <w:r w:rsidRPr="00FA212E">
        <w:rPr>
          <w:rFonts w:ascii="Times New Roman" w:hAnsi="Times New Roman" w:cs="Times New Roman"/>
          <w:sz w:val="28"/>
          <w:szCs w:val="28"/>
        </w:rPr>
        <w:t xml:space="preserve"> сприяють формуванню захисних оксидних шарів, підвищуючи корозійну стійкість у електролітичних середовищах, тоді як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 xml:space="preserve"> покращує електропровідність (σ ≈ 5,96</w:t>
      </w:r>
      <w:r w:rsidRPr="00FA212E">
        <w:rPr>
          <w:rFonts w:ascii="Cambria Math" w:hAnsi="Cambria Math" w:cs="Cambria Math"/>
          <w:sz w:val="28"/>
          <w:szCs w:val="28"/>
        </w:rPr>
        <w:t>⋅</w:t>
      </w:r>
      <w:r w:rsidRPr="00FA212E">
        <w:rPr>
          <w:rFonts w:ascii="Times New Roman" w:hAnsi="Times New Roman" w:cs="Times New Roman"/>
          <w:sz w:val="28"/>
          <w:szCs w:val="28"/>
        </w:rPr>
        <w:t xml:space="preserve">10⁷ См/м) та оптимізує електронну структуру для адсорбції проміжних частинок знижуючи енергію активації на 0,2–0,3 </w:t>
      </w:r>
      <w:proofErr w:type="spellStart"/>
      <w:r w:rsidRPr="00FA212E">
        <w:rPr>
          <w:rFonts w:ascii="Times New Roman" w:hAnsi="Times New Roman" w:cs="Times New Roman"/>
          <w:sz w:val="28"/>
          <w:szCs w:val="28"/>
        </w:rPr>
        <w:t>еВ</w:t>
      </w:r>
      <w:proofErr w:type="spellEnd"/>
      <w:r w:rsidRPr="00FA212E">
        <w:rPr>
          <w:rFonts w:ascii="Times New Roman" w:hAnsi="Times New Roman" w:cs="Times New Roman"/>
          <w:sz w:val="28"/>
          <w:szCs w:val="28"/>
        </w:rPr>
        <w:t xml:space="preserve"> порівняно з чистими металами. </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 xml:space="preserve"> та </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 xml:space="preserve">, з їхніми частково заповненими d-орбіталями, створюють спотворення ґратки на рівні 5–10%, що генерує дефектні центри — ключові для каталітичної активності, як показано в подібних системах </w:t>
      </w:r>
      <w:proofErr w:type="spellStart"/>
      <w:r w:rsidRPr="00FA212E">
        <w:rPr>
          <w:rFonts w:ascii="Times New Roman" w:hAnsi="Times New Roman" w:cs="Times New Roman"/>
          <w:sz w:val="28"/>
          <w:szCs w:val="28"/>
        </w:rPr>
        <w:t>CoNiCu</w:t>
      </w:r>
      <w:proofErr w:type="spellEnd"/>
      <w:r w:rsidRPr="00FA212E">
        <w:rPr>
          <w:rFonts w:ascii="Times New Roman" w:hAnsi="Times New Roman" w:cs="Times New Roman"/>
          <w:sz w:val="28"/>
          <w:szCs w:val="28"/>
        </w:rPr>
        <w:t xml:space="preserve"> для </w:t>
      </w:r>
      <w:r w:rsidR="003F2C2D">
        <w:rPr>
          <w:rFonts w:ascii="Times New Roman" w:hAnsi="Times New Roman" w:cs="Times New Roman"/>
          <w:sz w:val="28"/>
          <w:szCs w:val="28"/>
        </w:rPr>
        <w:t>РВК</w:t>
      </w:r>
      <w:r w:rsidRPr="00FA212E">
        <w:rPr>
          <w:rFonts w:ascii="Times New Roman" w:hAnsi="Times New Roman" w:cs="Times New Roman"/>
          <w:sz w:val="28"/>
          <w:szCs w:val="28"/>
        </w:rPr>
        <w:t xml:space="preserve"> з нахилом </w:t>
      </w:r>
      <w:proofErr w:type="spellStart"/>
      <w:r w:rsidRPr="00FA212E">
        <w:rPr>
          <w:rFonts w:ascii="Times New Roman" w:hAnsi="Times New Roman" w:cs="Times New Roman"/>
          <w:sz w:val="28"/>
          <w:szCs w:val="28"/>
        </w:rPr>
        <w:t>Тафеля</w:t>
      </w:r>
      <w:proofErr w:type="spellEnd"/>
      <w:r w:rsidRPr="00FA212E">
        <w:rPr>
          <w:rFonts w:ascii="Times New Roman" w:hAnsi="Times New Roman" w:cs="Times New Roman"/>
          <w:sz w:val="28"/>
          <w:szCs w:val="28"/>
        </w:rPr>
        <w:t xml:space="preserve"> 40–60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/дек. У ВЕС</w:t>
      </w:r>
      <w:r w:rsidR="000F63EE">
        <w:rPr>
          <w:rFonts w:ascii="Times New Roman" w:hAnsi="Times New Roman" w:cs="Times New Roman"/>
          <w:sz w:val="28"/>
          <w:szCs w:val="28"/>
        </w:rPr>
        <w:t xml:space="preserve"> що не містять дорогоцінних металів,</w:t>
      </w:r>
      <w:r w:rsidRPr="00FA212E">
        <w:rPr>
          <w:rFonts w:ascii="Times New Roman" w:hAnsi="Times New Roman" w:cs="Times New Roman"/>
          <w:sz w:val="28"/>
          <w:szCs w:val="28"/>
        </w:rPr>
        <w:t xml:space="preserve"> кольорові метали дозволяють досягти характеристик, близьких до </w:t>
      </w:r>
      <w:proofErr w:type="spellStart"/>
      <w:r w:rsidRPr="00FA212E">
        <w:rPr>
          <w:rFonts w:ascii="Times New Roman" w:hAnsi="Times New Roman" w:cs="Times New Roman"/>
          <w:sz w:val="28"/>
          <w:szCs w:val="28"/>
        </w:rPr>
        <w:t>Pt</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Ir</w:t>
      </w:r>
      <w:proofErr w:type="spellEnd"/>
      <w:r w:rsidRPr="00FA212E">
        <w:rPr>
          <w:rFonts w:ascii="Times New Roman" w:hAnsi="Times New Roman" w:cs="Times New Roman"/>
          <w:sz w:val="28"/>
          <w:szCs w:val="28"/>
        </w:rPr>
        <w:t>, але з вартістю на 40–60% нижчою, що робить їх перспективними для промислового застосування.</w:t>
      </w:r>
    </w:p>
    <w:p w14:paraId="31E43F63" w14:textId="40C149B1" w:rsidR="00662E7F" w:rsidRPr="00856218" w:rsidRDefault="00F848AD" w:rsidP="002F299C">
      <w:pPr>
        <w:spacing w:after="0" w:line="360" w:lineRule="auto"/>
        <w:ind w:firstLine="709"/>
        <w:jc w:val="both"/>
        <w:rPr>
          <w:rFonts w:ascii="Times New Roman" w:hAnsi="Times New Roman" w:cs="Times New Roman"/>
          <w:sz w:val="28"/>
          <w:szCs w:val="28"/>
          <w:lang w:val="ru-RU"/>
        </w:rPr>
      </w:pPr>
      <w:r w:rsidRPr="00FA212E">
        <w:rPr>
          <w:rFonts w:ascii="Times New Roman" w:hAnsi="Times New Roman" w:cs="Times New Roman"/>
          <w:sz w:val="28"/>
          <w:szCs w:val="28"/>
        </w:rPr>
        <w:t>Незважаючи на прогрес, залишаються прогалини в розумінні термодинамічного впливу кольорових металів на фазову стабільність ВЕС у каталітичних процесах. Ця робота фокусується на теоретичному моделюванні системи Al–</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Ti</w:t>
      </w:r>
      <w:proofErr w:type="spellEnd"/>
      <w:r w:rsidRPr="00FA212E">
        <w:rPr>
          <w:rFonts w:ascii="Times New Roman" w:hAnsi="Times New Roman" w:cs="Times New Roman"/>
          <w:sz w:val="28"/>
          <w:szCs w:val="28"/>
        </w:rPr>
        <w:t>, щоб оцінити ентропійний внесок, енергії адсорбції та порівняти з літературними даними, пропонуючи основу для дизайну ефективних каталізаторів</w:t>
      </w:r>
      <w:r w:rsidR="002D64FD">
        <w:rPr>
          <w:rFonts w:ascii="Times New Roman" w:hAnsi="Times New Roman" w:cs="Times New Roman"/>
          <w:sz w:val="28"/>
          <w:szCs w:val="28"/>
        </w:rPr>
        <w:t xml:space="preserve"> (табл.1).</w:t>
      </w:r>
    </w:p>
    <w:p w14:paraId="2B3A84ED" w14:textId="04CB193A" w:rsidR="0025234D" w:rsidRPr="002D64FD" w:rsidRDefault="00B00CE8" w:rsidP="002F29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proofErr w:type="spellStart"/>
      <w:r w:rsidR="0025234D" w:rsidRPr="0025234D">
        <w:rPr>
          <w:rFonts w:ascii="Times New Roman" w:hAnsi="Times New Roman" w:cs="Times New Roman"/>
          <w:sz w:val="28"/>
          <w:szCs w:val="28"/>
          <w:lang w:val="cs-CZ"/>
        </w:rPr>
        <w:t>аблиця</w:t>
      </w:r>
      <w:proofErr w:type="spellEnd"/>
      <w:r w:rsidR="0025234D" w:rsidRPr="0025234D">
        <w:rPr>
          <w:rFonts w:ascii="Times New Roman" w:hAnsi="Times New Roman" w:cs="Times New Roman"/>
          <w:sz w:val="28"/>
          <w:szCs w:val="28"/>
          <w:lang w:val="cs-CZ"/>
        </w:rPr>
        <w:t xml:space="preserve"> 1. </w:t>
      </w:r>
      <w:proofErr w:type="spellStart"/>
      <w:r w:rsidR="0025234D" w:rsidRPr="0025234D">
        <w:rPr>
          <w:rFonts w:ascii="Times New Roman" w:hAnsi="Times New Roman" w:cs="Times New Roman"/>
          <w:sz w:val="28"/>
          <w:szCs w:val="28"/>
          <w:lang w:val="cs-CZ"/>
        </w:rPr>
        <w:t>Порівняння</w:t>
      </w:r>
      <w:proofErr w:type="spellEnd"/>
      <w:r w:rsidR="0025234D" w:rsidRPr="0025234D">
        <w:rPr>
          <w:rFonts w:ascii="Times New Roman" w:hAnsi="Times New Roman" w:cs="Times New Roman"/>
          <w:sz w:val="28"/>
          <w:szCs w:val="28"/>
          <w:lang w:val="cs-CZ"/>
        </w:rPr>
        <w:t xml:space="preserve"> </w:t>
      </w:r>
      <w:proofErr w:type="spellStart"/>
      <w:r w:rsidR="0025234D" w:rsidRPr="0025234D">
        <w:rPr>
          <w:rFonts w:ascii="Times New Roman" w:hAnsi="Times New Roman" w:cs="Times New Roman"/>
          <w:sz w:val="28"/>
          <w:szCs w:val="28"/>
          <w:lang w:val="cs-CZ"/>
        </w:rPr>
        <w:t>каталітичних</w:t>
      </w:r>
      <w:proofErr w:type="spellEnd"/>
      <w:r w:rsidR="0025234D" w:rsidRPr="0025234D">
        <w:rPr>
          <w:rFonts w:ascii="Times New Roman" w:hAnsi="Times New Roman" w:cs="Times New Roman"/>
          <w:sz w:val="28"/>
          <w:szCs w:val="28"/>
          <w:lang w:val="cs-CZ"/>
        </w:rPr>
        <w:t xml:space="preserve"> </w:t>
      </w:r>
      <w:proofErr w:type="spellStart"/>
      <w:r w:rsidR="0025234D" w:rsidRPr="0025234D">
        <w:rPr>
          <w:rFonts w:ascii="Times New Roman" w:hAnsi="Times New Roman" w:cs="Times New Roman"/>
          <w:sz w:val="28"/>
          <w:szCs w:val="28"/>
          <w:lang w:val="cs-CZ"/>
        </w:rPr>
        <w:t>характеристик</w:t>
      </w:r>
      <w:proofErr w:type="spellEnd"/>
      <w:r w:rsidR="0025234D" w:rsidRPr="0025234D">
        <w:rPr>
          <w:rFonts w:ascii="Times New Roman" w:hAnsi="Times New Roman" w:cs="Times New Roman"/>
          <w:sz w:val="28"/>
          <w:szCs w:val="28"/>
          <w:lang w:val="cs-CZ"/>
        </w:rPr>
        <w:t xml:space="preserve"> у </w:t>
      </w:r>
      <w:proofErr w:type="spellStart"/>
      <w:r w:rsidR="0025234D" w:rsidRPr="0025234D">
        <w:rPr>
          <w:rFonts w:ascii="Times New Roman" w:hAnsi="Times New Roman" w:cs="Times New Roman"/>
          <w:sz w:val="28"/>
          <w:szCs w:val="28"/>
          <w:lang w:val="cs-CZ"/>
        </w:rPr>
        <w:t>реакціях</w:t>
      </w:r>
      <w:proofErr w:type="spellEnd"/>
      <w:r w:rsidR="0025234D" w:rsidRPr="0025234D">
        <w:rPr>
          <w:rFonts w:ascii="Times New Roman" w:hAnsi="Times New Roman" w:cs="Times New Roman"/>
          <w:sz w:val="28"/>
          <w:szCs w:val="28"/>
          <w:lang w:val="cs-CZ"/>
        </w:rPr>
        <w:t xml:space="preserve"> </w:t>
      </w:r>
      <w:proofErr w:type="spellStart"/>
      <w:r w:rsidR="0025234D" w:rsidRPr="0025234D">
        <w:rPr>
          <w:rFonts w:ascii="Times New Roman" w:hAnsi="Times New Roman" w:cs="Times New Roman"/>
          <w:sz w:val="28"/>
          <w:szCs w:val="28"/>
          <w:lang w:val="cs-CZ"/>
        </w:rPr>
        <w:t>електролізу</w:t>
      </w:r>
      <w:proofErr w:type="spellEnd"/>
      <w:r w:rsidR="0025234D" w:rsidRPr="0025234D">
        <w:rPr>
          <w:rFonts w:ascii="Times New Roman" w:hAnsi="Times New Roman" w:cs="Times New Roman"/>
          <w:sz w:val="28"/>
          <w:szCs w:val="28"/>
          <w:lang w:val="cs-CZ"/>
        </w:rPr>
        <w:t xml:space="preserve"> </w:t>
      </w:r>
      <w:proofErr w:type="spellStart"/>
      <w:r w:rsidR="0025234D" w:rsidRPr="0025234D">
        <w:rPr>
          <w:rFonts w:ascii="Times New Roman" w:hAnsi="Times New Roman" w:cs="Times New Roman"/>
          <w:sz w:val="28"/>
          <w:szCs w:val="28"/>
          <w:lang w:val="cs-CZ"/>
        </w:rPr>
        <w:t>води</w:t>
      </w:r>
      <w:proofErr w:type="spellEnd"/>
    </w:p>
    <w:tbl>
      <w:tblPr>
        <w:tblStyle w:val="ae"/>
        <w:tblW w:w="9665" w:type="dxa"/>
        <w:tblLayout w:type="fixed"/>
        <w:tblLook w:val="0420" w:firstRow="1" w:lastRow="0" w:firstColumn="0" w:lastColumn="0" w:noHBand="0" w:noVBand="1"/>
      </w:tblPr>
      <w:tblGrid>
        <w:gridCol w:w="2404"/>
        <w:gridCol w:w="2694"/>
        <w:gridCol w:w="1560"/>
        <w:gridCol w:w="1559"/>
        <w:gridCol w:w="1448"/>
      </w:tblGrid>
      <w:tr w:rsidR="00B00CE8" w:rsidRPr="0025234D" w14:paraId="255732F9" w14:textId="77777777" w:rsidTr="002D64FD">
        <w:trPr>
          <w:trHeight w:val="653"/>
        </w:trPr>
        <w:tc>
          <w:tcPr>
            <w:tcW w:w="2404" w:type="dxa"/>
          </w:tcPr>
          <w:p w14:paraId="7DDDB20C" w14:textId="1D4B4949" w:rsidR="00B00CE8" w:rsidRPr="00B00CE8" w:rsidRDefault="00B00CE8" w:rsidP="00FD58A2">
            <w:pPr>
              <w:rPr>
                <w:rFonts w:ascii="Times New Roman" w:hAnsi="Times New Roman" w:cs="Times New Roman"/>
              </w:rPr>
            </w:pPr>
            <w:r w:rsidRPr="00B00CE8">
              <w:rPr>
                <w:rFonts w:ascii="Times New Roman" w:hAnsi="Times New Roman" w:cs="Times New Roman"/>
              </w:rPr>
              <w:t>Каталізатор</w:t>
            </w:r>
          </w:p>
        </w:tc>
        <w:tc>
          <w:tcPr>
            <w:tcW w:w="2694" w:type="dxa"/>
          </w:tcPr>
          <w:p w14:paraId="3D046BEC" w14:textId="6C472C4A" w:rsidR="00B00CE8" w:rsidRPr="00B00CE8" w:rsidRDefault="00B00CE8" w:rsidP="00FD58A2">
            <w:pPr>
              <w:rPr>
                <w:rFonts w:ascii="Times New Roman" w:hAnsi="Times New Roman" w:cs="Times New Roman"/>
              </w:rPr>
            </w:pPr>
            <w:r w:rsidRPr="00B00CE8">
              <w:rPr>
                <w:rFonts w:ascii="Times New Roman" w:hAnsi="Times New Roman" w:cs="Times New Roman"/>
              </w:rPr>
              <w:t>Склад / тип</w:t>
            </w:r>
          </w:p>
        </w:tc>
        <w:tc>
          <w:tcPr>
            <w:tcW w:w="1560" w:type="dxa"/>
          </w:tcPr>
          <w:p w14:paraId="6DAD166C" w14:textId="017B0A9F" w:rsidR="00B00CE8" w:rsidRPr="00B00CE8" w:rsidRDefault="00B00CE8" w:rsidP="00FD58A2">
            <w:pPr>
              <w:rPr>
                <w:rFonts w:ascii="Times New Roman" w:hAnsi="Times New Roman" w:cs="Times New Roman"/>
              </w:rPr>
            </w:pPr>
            <w:r w:rsidRPr="00B00CE8">
              <w:rPr>
                <w:rFonts w:ascii="Times New Roman" w:hAnsi="Times New Roman" w:cs="Times New Roman"/>
              </w:rPr>
              <w:t xml:space="preserve">η₁₀ OER, </w:t>
            </w:r>
            <w:proofErr w:type="spellStart"/>
            <w:r w:rsidRPr="00B00CE8">
              <w:rPr>
                <w:rFonts w:ascii="Times New Roman" w:hAnsi="Times New Roman" w:cs="Times New Roman"/>
              </w:rPr>
              <w:t>мВ</w:t>
            </w:r>
            <w:proofErr w:type="spellEnd"/>
          </w:p>
        </w:tc>
        <w:tc>
          <w:tcPr>
            <w:tcW w:w="1559" w:type="dxa"/>
          </w:tcPr>
          <w:p w14:paraId="24421756" w14:textId="6853336D" w:rsidR="00B00CE8" w:rsidRPr="00B00CE8" w:rsidRDefault="00B00CE8" w:rsidP="00FD58A2">
            <w:pPr>
              <w:rPr>
                <w:rFonts w:ascii="Times New Roman" w:hAnsi="Times New Roman" w:cs="Times New Roman"/>
              </w:rPr>
            </w:pPr>
            <w:r w:rsidRPr="00B00CE8">
              <w:rPr>
                <w:rFonts w:ascii="Times New Roman" w:hAnsi="Times New Roman" w:cs="Times New Roman"/>
              </w:rPr>
              <w:t xml:space="preserve">η₁₀ HER, </w:t>
            </w:r>
            <w:proofErr w:type="spellStart"/>
            <w:r w:rsidRPr="00B00CE8">
              <w:rPr>
                <w:rFonts w:ascii="Times New Roman" w:hAnsi="Times New Roman" w:cs="Times New Roman"/>
              </w:rPr>
              <w:t>мВ</w:t>
            </w:r>
            <w:proofErr w:type="spellEnd"/>
          </w:p>
        </w:tc>
        <w:tc>
          <w:tcPr>
            <w:tcW w:w="1448" w:type="dxa"/>
          </w:tcPr>
          <w:p w14:paraId="1685F983" w14:textId="5AE8C93E" w:rsidR="00B00CE8" w:rsidRPr="00B00CE8" w:rsidRDefault="00B00CE8" w:rsidP="00FD58A2">
            <w:pPr>
              <w:rPr>
                <w:rFonts w:ascii="Times New Roman" w:hAnsi="Times New Roman" w:cs="Times New Roman"/>
              </w:rPr>
            </w:pPr>
            <w:r w:rsidRPr="00B00CE8">
              <w:rPr>
                <w:rFonts w:ascii="Times New Roman" w:hAnsi="Times New Roman" w:cs="Times New Roman"/>
              </w:rPr>
              <w:t>Стійкість, год</w:t>
            </w:r>
          </w:p>
        </w:tc>
      </w:tr>
      <w:tr w:rsidR="00B00CE8" w:rsidRPr="0025234D" w14:paraId="5DF2E98D" w14:textId="77777777" w:rsidTr="00B00CE8">
        <w:trPr>
          <w:trHeight w:val="641"/>
        </w:trPr>
        <w:tc>
          <w:tcPr>
            <w:tcW w:w="2404" w:type="dxa"/>
          </w:tcPr>
          <w:p w14:paraId="52547CA7" w14:textId="4AF69FFD" w:rsidR="00B00CE8" w:rsidRPr="00B00CE8" w:rsidRDefault="00B00CE8" w:rsidP="00FD58A2">
            <w:pPr>
              <w:rPr>
                <w:rFonts w:ascii="Times New Roman" w:hAnsi="Times New Roman" w:cs="Times New Roman"/>
              </w:rPr>
            </w:pPr>
            <w:r w:rsidRPr="00B00CE8">
              <w:rPr>
                <w:rFonts w:ascii="Times New Roman" w:hAnsi="Times New Roman" w:cs="Times New Roman"/>
              </w:rPr>
              <w:t>Традиційний нікель</w:t>
            </w:r>
          </w:p>
        </w:tc>
        <w:tc>
          <w:tcPr>
            <w:tcW w:w="2694" w:type="dxa"/>
          </w:tcPr>
          <w:p w14:paraId="0E3EFB92" w14:textId="7264779C" w:rsidR="00B00CE8" w:rsidRPr="00B00CE8" w:rsidRDefault="00B00CE8" w:rsidP="00FD58A2">
            <w:pPr>
              <w:rPr>
                <w:rFonts w:ascii="Times New Roman" w:hAnsi="Times New Roman" w:cs="Times New Roman"/>
              </w:rPr>
            </w:pPr>
            <w:proofErr w:type="spellStart"/>
            <w:r w:rsidRPr="00B00CE8">
              <w:rPr>
                <w:rFonts w:ascii="Times New Roman" w:hAnsi="Times New Roman" w:cs="Times New Roman"/>
              </w:rPr>
              <w:t>Ni</w:t>
            </w:r>
            <w:proofErr w:type="spellEnd"/>
            <w:r w:rsidRPr="00B00CE8">
              <w:rPr>
                <w:rFonts w:ascii="Times New Roman" w:hAnsi="Times New Roman" w:cs="Times New Roman"/>
              </w:rPr>
              <w:t xml:space="preserve"> / </w:t>
            </w:r>
            <w:proofErr w:type="spellStart"/>
            <w:r w:rsidRPr="00B00CE8">
              <w:rPr>
                <w:rFonts w:ascii="Times New Roman" w:hAnsi="Times New Roman" w:cs="Times New Roman"/>
              </w:rPr>
              <w:t>Ni</w:t>
            </w:r>
            <w:proofErr w:type="spellEnd"/>
            <w:r w:rsidRPr="00B00CE8">
              <w:rPr>
                <w:rFonts w:ascii="Times New Roman" w:hAnsi="Times New Roman" w:cs="Times New Roman"/>
              </w:rPr>
              <w:t>(OH)₂</w:t>
            </w:r>
          </w:p>
        </w:tc>
        <w:tc>
          <w:tcPr>
            <w:tcW w:w="1560" w:type="dxa"/>
          </w:tcPr>
          <w:p w14:paraId="2145CEE8" w14:textId="134D9F8C" w:rsidR="00B00CE8" w:rsidRPr="00B00CE8" w:rsidRDefault="00B00CE8" w:rsidP="00FD58A2">
            <w:pPr>
              <w:rPr>
                <w:rFonts w:ascii="Times New Roman" w:hAnsi="Times New Roman" w:cs="Times New Roman"/>
              </w:rPr>
            </w:pPr>
            <w:r w:rsidRPr="00B00CE8">
              <w:rPr>
                <w:rFonts w:ascii="Times New Roman" w:hAnsi="Times New Roman" w:cs="Times New Roman"/>
              </w:rPr>
              <w:t>350–380</w:t>
            </w:r>
          </w:p>
        </w:tc>
        <w:tc>
          <w:tcPr>
            <w:tcW w:w="1559" w:type="dxa"/>
          </w:tcPr>
          <w:p w14:paraId="0E1F5CF9" w14:textId="23EE8BB6" w:rsidR="00B00CE8" w:rsidRPr="00B00CE8" w:rsidRDefault="00B00CE8" w:rsidP="00FD58A2">
            <w:pPr>
              <w:rPr>
                <w:rFonts w:ascii="Times New Roman" w:hAnsi="Times New Roman" w:cs="Times New Roman"/>
              </w:rPr>
            </w:pPr>
            <w:r w:rsidRPr="00B00CE8">
              <w:rPr>
                <w:rFonts w:ascii="Times New Roman" w:hAnsi="Times New Roman" w:cs="Times New Roman"/>
              </w:rPr>
              <w:t>180–220</w:t>
            </w:r>
          </w:p>
        </w:tc>
        <w:tc>
          <w:tcPr>
            <w:tcW w:w="1448" w:type="dxa"/>
          </w:tcPr>
          <w:p w14:paraId="643E62E5" w14:textId="11729465" w:rsidR="00B00CE8" w:rsidRPr="00B00CE8" w:rsidRDefault="00B00CE8" w:rsidP="00FD58A2">
            <w:pPr>
              <w:rPr>
                <w:rFonts w:ascii="Times New Roman" w:hAnsi="Times New Roman" w:cs="Times New Roman"/>
              </w:rPr>
            </w:pPr>
            <w:r w:rsidRPr="00B00CE8">
              <w:rPr>
                <w:rFonts w:ascii="Cambria Math" w:hAnsi="Cambria Math" w:cs="Cambria Math"/>
              </w:rPr>
              <w:t>∼</w:t>
            </w:r>
            <w:r w:rsidRPr="00B00CE8">
              <w:rPr>
                <w:rFonts w:ascii="Times New Roman" w:hAnsi="Times New Roman" w:cs="Times New Roman"/>
              </w:rPr>
              <w:t>500</w:t>
            </w:r>
          </w:p>
        </w:tc>
      </w:tr>
      <w:tr w:rsidR="00B00CE8" w:rsidRPr="0025234D" w14:paraId="0C3B1054" w14:textId="77777777" w:rsidTr="00B00CE8">
        <w:trPr>
          <w:trHeight w:val="626"/>
        </w:trPr>
        <w:tc>
          <w:tcPr>
            <w:tcW w:w="2404" w:type="dxa"/>
          </w:tcPr>
          <w:p w14:paraId="23860FDD" w14:textId="50EE180B" w:rsidR="00B00CE8" w:rsidRPr="00B00CE8" w:rsidRDefault="00B00CE8" w:rsidP="00FD58A2">
            <w:pPr>
              <w:rPr>
                <w:rFonts w:ascii="Times New Roman" w:hAnsi="Times New Roman" w:cs="Times New Roman"/>
              </w:rPr>
            </w:pPr>
            <w:proofErr w:type="spellStart"/>
            <w:r w:rsidRPr="00B00CE8">
              <w:rPr>
                <w:rFonts w:ascii="Times New Roman" w:hAnsi="Times New Roman" w:cs="Times New Roman"/>
              </w:rPr>
              <w:t>NiFe</w:t>
            </w:r>
            <w:proofErr w:type="spellEnd"/>
            <w:r w:rsidRPr="00B00CE8">
              <w:rPr>
                <w:rFonts w:ascii="Times New Roman" w:hAnsi="Times New Roman" w:cs="Times New Roman"/>
              </w:rPr>
              <w:t xml:space="preserve"> LDH (стандарт)</w:t>
            </w:r>
          </w:p>
        </w:tc>
        <w:tc>
          <w:tcPr>
            <w:tcW w:w="2694" w:type="dxa"/>
          </w:tcPr>
          <w:p w14:paraId="691B6341" w14:textId="591D3A4E" w:rsidR="00B00CE8" w:rsidRPr="00B00CE8" w:rsidRDefault="00B00CE8" w:rsidP="00FD58A2">
            <w:pPr>
              <w:rPr>
                <w:rFonts w:ascii="Times New Roman" w:hAnsi="Times New Roman" w:cs="Times New Roman"/>
              </w:rPr>
            </w:pPr>
            <w:proofErr w:type="spellStart"/>
            <w:r w:rsidRPr="00B00CE8">
              <w:rPr>
                <w:rFonts w:ascii="Times New Roman" w:hAnsi="Times New Roman" w:cs="Times New Roman"/>
              </w:rPr>
              <w:t>Ni</w:t>
            </w:r>
            <w:proofErr w:type="spellEnd"/>
            <w:r w:rsidRPr="00B00CE8">
              <w:rPr>
                <w:rFonts w:ascii="Times New Roman" w:hAnsi="Times New Roman" w:cs="Times New Roman"/>
              </w:rPr>
              <w:t>₀.₇₅</w:t>
            </w:r>
            <w:proofErr w:type="spellStart"/>
            <w:r w:rsidRPr="00B00CE8">
              <w:rPr>
                <w:rFonts w:ascii="Times New Roman" w:hAnsi="Times New Roman" w:cs="Times New Roman"/>
              </w:rPr>
              <w:t>Fe</w:t>
            </w:r>
            <w:proofErr w:type="spellEnd"/>
            <w:r w:rsidRPr="00B00CE8">
              <w:rPr>
                <w:rFonts w:ascii="Times New Roman" w:hAnsi="Times New Roman" w:cs="Times New Roman"/>
              </w:rPr>
              <w:t>₀.₂₅(OH)₂</w:t>
            </w:r>
          </w:p>
        </w:tc>
        <w:tc>
          <w:tcPr>
            <w:tcW w:w="1560" w:type="dxa"/>
          </w:tcPr>
          <w:p w14:paraId="5ABBA9E0" w14:textId="5152BA25" w:rsidR="00B00CE8" w:rsidRPr="00B00CE8" w:rsidRDefault="00B00CE8" w:rsidP="00FD58A2">
            <w:pPr>
              <w:rPr>
                <w:rFonts w:ascii="Times New Roman" w:hAnsi="Times New Roman" w:cs="Times New Roman"/>
              </w:rPr>
            </w:pPr>
            <w:r w:rsidRPr="00B00CE8">
              <w:rPr>
                <w:rFonts w:ascii="Times New Roman" w:hAnsi="Times New Roman" w:cs="Times New Roman"/>
              </w:rPr>
              <w:t>270–300</w:t>
            </w:r>
          </w:p>
        </w:tc>
        <w:tc>
          <w:tcPr>
            <w:tcW w:w="1559" w:type="dxa"/>
          </w:tcPr>
          <w:p w14:paraId="6C70DA7A" w14:textId="6DBC0849" w:rsidR="00B00CE8" w:rsidRPr="00B00CE8" w:rsidRDefault="00B00CE8" w:rsidP="00FD58A2">
            <w:pPr>
              <w:rPr>
                <w:rFonts w:ascii="Times New Roman" w:hAnsi="Times New Roman" w:cs="Times New Roman"/>
              </w:rPr>
            </w:pPr>
            <w:r w:rsidRPr="00B00CE8">
              <w:rPr>
                <w:rFonts w:ascii="Times New Roman" w:hAnsi="Times New Roman" w:cs="Times New Roman"/>
              </w:rPr>
              <w:t>—</w:t>
            </w:r>
          </w:p>
        </w:tc>
        <w:tc>
          <w:tcPr>
            <w:tcW w:w="1448" w:type="dxa"/>
          </w:tcPr>
          <w:p w14:paraId="407A6DEF" w14:textId="6196D978" w:rsidR="00B00CE8" w:rsidRPr="00B00CE8" w:rsidRDefault="00B00CE8" w:rsidP="00FD58A2">
            <w:pPr>
              <w:rPr>
                <w:rFonts w:ascii="Times New Roman" w:hAnsi="Times New Roman" w:cs="Times New Roman"/>
              </w:rPr>
            </w:pPr>
            <w:r w:rsidRPr="00B00CE8">
              <w:rPr>
                <w:rFonts w:ascii="Times New Roman" w:hAnsi="Times New Roman" w:cs="Times New Roman"/>
              </w:rPr>
              <w:t>600–800</w:t>
            </w:r>
          </w:p>
        </w:tc>
      </w:tr>
      <w:tr w:rsidR="00B00CE8" w:rsidRPr="0025234D" w14:paraId="3E161196" w14:textId="77777777" w:rsidTr="00B00CE8">
        <w:trPr>
          <w:trHeight w:val="641"/>
        </w:trPr>
        <w:tc>
          <w:tcPr>
            <w:tcW w:w="2404" w:type="dxa"/>
          </w:tcPr>
          <w:p w14:paraId="06756155" w14:textId="6FAD77BD" w:rsidR="00B00CE8" w:rsidRPr="00B00CE8" w:rsidRDefault="00B00CE8" w:rsidP="00FD58A2">
            <w:pPr>
              <w:rPr>
                <w:rFonts w:ascii="Times New Roman" w:hAnsi="Times New Roman" w:cs="Times New Roman"/>
              </w:rPr>
            </w:pPr>
            <w:r w:rsidRPr="00B00CE8">
              <w:rPr>
                <w:rFonts w:ascii="Times New Roman" w:hAnsi="Times New Roman" w:cs="Times New Roman"/>
              </w:rPr>
              <w:t xml:space="preserve">Бінарний </w:t>
            </w:r>
            <w:proofErr w:type="spellStart"/>
            <w:r w:rsidRPr="00B00CE8">
              <w:rPr>
                <w:rFonts w:ascii="Times New Roman" w:hAnsi="Times New Roman" w:cs="Times New Roman"/>
              </w:rPr>
              <w:t>Cu</w:t>
            </w:r>
            <w:proofErr w:type="spellEnd"/>
            <w:r w:rsidRPr="00B00CE8">
              <w:rPr>
                <w:rFonts w:ascii="Times New Roman" w:hAnsi="Times New Roman" w:cs="Times New Roman"/>
              </w:rPr>
              <w:t>–</w:t>
            </w:r>
            <w:proofErr w:type="spellStart"/>
            <w:r w:rsidRPr="00B00CE8">
              <w:rPr>
                <w:rFonts w:ascii="Times New Roman" w:hAnsi="Times New Roman" w:cs="Times New Roman"/>
              </w:rPr>
              <w:t>Ni</w:t>
            </w:r>
            <w:proofErr w:type="spellEnd"/>
          </w:p>
        </w:tc>
        <w:tc>
          <w:tcPr>
            <w:tcW w:w="2694" w:type="dxa"/>
          </w:tcPr>
          <w:p w14:paraId="6023B5E5" w14:textId="6CD77C1A" w:rsidR="00B00CE8" w:rsidRPr="00B00CE8" w:rsidRDefault="00B00CE8" w:rsidP="00FD58A2">
            <w:pPr>
              <w:rPr>
                <w:rFonts w:ascii="Times New Roman" w:hAnsi="Times New Roman" w:cs="Times New Roman"/>
              </w:rPr>
            </w:pPr>
            <w:proofErr w:type="spellStart"/>
            <w:r w:rsidRPr="00B00CE8">
              <w:rPr>
                <w:rFonts w:ascii="Times New Roman" w:hAnsi="Times New Roman" w:cs="Times New Roman"/>
              </w:rPr>
              <w:t>Cu</w:t>
            </w:r>
            <w:proofErr w:type="spellEnd"/>
            <w:r w:rsidRPr="00B00CE8">
              <w:rPr>
                <w:rFonts w:ascii="Times New Roman" w:hAnsi="Times New Roman" w:cs="Times New Roman"/>
              </w:rPr>
              <w:t>₀.₃</w:t>
            </w:r>
            <w:proofErr w:type="spellStart"/>
            <w:r w:rsidRPr="00B00CE8">
              <w:rPr>
                <w:rFonts w:ascii="Times New Roman" w:hAnsi="Times New Roman" w:cs="Times New Roman"/>
              </w:rPr>
              <w:t>Ni</w:t>
            </w:r>
            <w:proofErr w:type="spellEnd"/>
            <w:r w:rsidRPr="00B00CE8">
              <w:rPr>
                <w:rFonts w:ascii="Times New Roman" w:hAnsi="Times New Roman" w:cs="Times New Roman"/>
              </w:rPr>
              <w:t>₀.₇</w:t>
            </w:r>
          </w:p>
        </w:tc>
        <w:tc>
          <w:tcPr>
            <w:tcW w:w="1560" w:type="dxa"/>
          </w:tcPr>
          <w:p w14:paraId="5505FEFC" w14:textId="21C0E7C2" w:rsidR="00B00CE8" w:rsidRPr="00B00CE8" w:rsidRDefault="00B00CE8" w:rsidP="00FD58A2">
            <w:pPr>
              <w:rPr>
                <w:rFonts w:ascii="Times New Roman" w:hAnsi="Times New Roman" w:cs="Times New Roman"/>
              </w:rPr>
            </w:pPr>
            <w:r w:rsidRPr="00B00CE8">
              <w:rPr>
                <w:rFonts w:ascii="Times New Roman" w:hAnsi="Times New Roman" w:cs="Times New Roman"/>
              </w:rPr>
              <w:t>280</w:t>
            </w:r>
          </w:p>
        </w:tc>
        <w:tc>
          <w:tcPr>
            <w:tcW w:w="1559" w:type="dxa"/>
          </w:tcPr>
          <w:p w14:paraId="6213FFDB" w14:textId="0087D020" w:rsidR="00B00CE8" w:rsidRPr="00B00CE8" w:rsidRDefault="00B00CE8" w:rsidP="00FD58A2">
            <w:pPr>
              <w:rPr>
                <w:rFonts w:ascii="Times New Roman" w:hAnsi="Times New Roman" w:cs="Times New Roman"/>
              </w:rPr>
            </w:pPr>
            <w:r w:rsidRPr="00B00CE8">
              <w:rPr>
                <w:rFonts w:ascii="Times New Roman" w:hAnsi="Times New Roman" w:cs="Times New Roman"/>
              </w:rPr>
              <w:t>140</w:t>
            </w:r>
          </w:p>
        </w:tc>
        <w:tc>
          <w:tcPr>
            <w:tcW w:w="1448" w:type="dxa"/>
          </w:tcPr>
          <w:p w14:paraId="344B6D7E" w14:textId="75481C83" w:rsidR="00B00CE8" w:rsidRPr="00B00CE8" w:rsidRDefault="00B00CE8" w:rsidP="00FD58A2">
            <w:pPr>
              <w:rPr>
                <w:rFonts w:ascii="Times New Roman" w:hAnsi="Times New Roman" w:cs="Times New Roman"/>
              </w:rPr>
            </w:pPr>
            <w:r w:rsidRPr="00B00CE8">
              <w:rPr>
                <w:rFonts w:ascii="Cambria Math" w:hAnsi="Cambria Math" w:cs="Cambria Math"/>
              </w:rPr>
              <w:t>∼</w:t>
            </w:r>
            <w:r w:rsidRPr="00B00CE8">
              <w:rPr>
                <w:rFonts w:ascii="Times New Roman" w:hAnsi="Times New Roman" w:cs="Times New Roman"/>
              </w:rPr>
              <w:t>700</w:t>
            </w:r>
          </w:p>
        </w:tc>
      </w:tr>
      <w:tr w:rsidR="00B00CE8" w:rsidRPr="0025234D" w14:paraId="2F408B6B" w14:textId="77777777" w:rsidTr="00B00CE8">
        <w:trPr>
          <w:trHeight w:val="626"/>
        </w:trPr>
        <w:tc>
          <w:tcPr>
            <w:tcW w:w="2404" w:type="dxa"/>
          </w:tcPr>
          <w:p w14:paraId="745F3CA3" w14:textId="5A3150B3" w:rsidR="00B00CE8" w:rsidRPr="00B00CE8" w:rsidRDefault="00B00CE8" w:rsidP="00FD58A2">
            <w:pPr>
              <w:rPr>
                <w:rFonts w:ascii="Times New Roman" w:hAnsi="Times New Roman" w:cs="Times New Roman"/>
              </w:rPr>
            </w:pPr>
            <w:r w:rsidRPr="00B00CE8">
              <w:rPr>
                <w:rFonts w:ascii="Times New Roman" w:hAnsi="Times New Roman" w:cs="Times New Roman"/>
              </w:rPr>
              <w:t>ВЕС (література)</w:t>
            </w:r>
          </w:p>
        </w:tc>
        <w:tc>
          <w:tcPr>
            <w:tcW w:w="2694" w:type="dxa"/>
          </w:tcPr>
          <w:p w14:paraId="04A626D7" w14:textId="30F1D226" w:rsidR="00B00CE8" w:rsidRPr="00B00CE8" w:rsidRDefault="00B00CE8" w:rsidP="00FD58A2">
            <w:pPr>
              <w:rPr>
                <w:rFonts w:ascii="Times New Roman" w:hAnsi="Times New Roman" w:cs="Times New Roman"/>
              </w:rPr>
            </w:pPr>
            <w:proofErr w:type="spellStart"/>
            <w:r w:rsidRPr="00B00CE8">
              <w:rPr>
                <w:rFonts w:ascii="Times New Roman" w:hAnsi="Times New Roman" w:cs="Times New Roman"/>
              </w:rPr>
              <w:t>FeCoNiCrCu</w:t>
            </w:r>
            <w:proofErr w:type="spellEnd"/>
          </w:p>
        </w:tc>
        <w:tc>
          <w:tcPr>
            <w:tcW w:w="1560" w:type="dxa"/>
          </w:tcPr>
          <w:p w14:paraId="752CAFB0" w14:textId="4817BD97" w:rsidR="00B00CE8" w:rsidRPr="00B00CE8" w:rsidRDefault="00B00CE8" w:rsidP="00FD58A2">
            <w:pPr>
              <w:rPr>
                <w:rFonts w:ascii="Times New Roman" w:hAnsi="Times New Roman" w:cs="Times New Roman"/>
              </w:rPr>
            </w:pPr>
            <w:r w:rsidRPr="00B00CE8">
              <w:rPr>
                <w:rFonts w:ascii="Times New Roman" w:hAnsi="Times New Roman" w:cs="Times New Roman"/>
              </w:rPr>
              <w:t>210–230</w:t>
            </w:r>
          </w:p>
        </w:tc>
        <w:tc>
          <w:tcPr>
            <w:tcW w:w="1559" w:type="dxa"/>
          </w:tcPr>
          <w:p w14:paraId="4E5CEBDF" w14:textId="51D13620" w:rsidR="00B00CE8" w:rsidRPr="00B00CE8" w:rsidRDefault="00B00CE8" w:rsidP="00FD58A2">
            <w:pPr>
              <w:rPr>
                <w:rFonts w:ascii="Times New Roman" w:hAnsi="Times New Roman" w:cs="Times New Roman"/>
              </w:rPr>
            </w:pPr>
            <w:r w:rsidRPr="00B00CE8">
              <w:rPr>
                <w:rFonts w:ascii="Times New Roman" w:hAnsi="Times New Roman" w:cs="Times New Roman"/>
              </w:rPr>
              <w:t>95–120</w:t>
            </w:r>
          </w:p>
        </w:tc>
        <w:tc>
          <w:tcPr>
            <w:tcW w:w="1448" w:type="dxa"/>
          </w:tcPr>
          <w:p w14:paraId="5DD1AA71" w14:textId="62165585" w:rsidR="00B00CE8" w:rsidRPr="00B00CE8" w:rsidRDefault="00B00CE8" w:rsidP="00FD58A2">
            <w:pPr>
              <w:rPr>
                <w:rFonts w:ascii="Times New Roman" w:hAnsi="Times New Roman" w:cs="Times New Roman"/>
              </w:rPr>
            </w:pPr>
            <w:r w:rsidRPr="00B00CE8">
              <w:rPr>
                <w:rFonts w:ascii="Times New Roman" w:hAnsi="Times New Roman" w:cs="Times New Roman"/>
              </w:rPr>
              <w:t>&gt;1200</w:t>
            </w:r>
          </w:p>
        </w:tc>
      </w:tr>
      <w:tr w:rsidR="00B00CE8" w:rsidRPr="0025234D" w14:paraId="4DE65CBF" w14:textId="77777777" w:rsidTr="00B00CE8">
        <w:trPr>
          <w:trHeight w:val="641"/>
        </w:trPr>
        <w:tc>
          <w:tcPr>
            <w:tcW w:w="2404" w:type="dxa"/>
          </w:tcPr>
          <w:p w14:paraId="3E4D7797" w14:textId="1980F3EA" w:rsidR="00B00CE8" w:rsidRPr="00B00CE8" w:rsidRDefault="00B00CE8" w:rsidP="00FD58A2">
            <w:pPr>
              <w:rPr>
                <w:rFonts w:ascii="Times New Roman" w:hAnsi="Times New Roman" w:cs="Times New Roman"/>
              </w:rPr>
            </w:pPr>
            <w:r w:rsidRPr="00B00CE8">
              <w:rPr>
                <w:rFonts w:ascii="Times New Roman" w:hAnsi="Times New Roman" w:cs="Times New Roman"/>
              </w:rPr>
              <w:lastRenderedPageBreak/>
              <w:t>ВЕС (література)</w:t>
            </w:r>
          </w:p>
        </w:tc>
        <w:tc>
          <w:tcPr>
            <w:tcW w:w="2694" w:type="dxa"/>
          </w:tcPr>
          <w:p w14:paraId="3CF1BC24" w14:textId="031A1A66" w:rsidR="00B00CE8" w:rsidRPr="00B00CE8" w:rsidRDefault="00B00CE8" w:rsidP="00FD58A2">
            <w:pPr>
              <w:rPr>
                <w:rFonts w:ascii="Times New Roman" w:hAnsi="Times New Roman" w:cs="Times New Roman"/>
              </w:rPr>
            </w:pPr>
            <w:proofErr w:type="spellStart"/>
            <w:r w:rsidRPr="00B00CE8">
              <w:rPr>
                <w:rFonts w:ascii="Times New Roman" w:hAnsi="Times New Roman" w:cs="Times New Roman"/>
              </w:rPr>
              <w:t>CoNiCuAlCr</w:t>
            </w:r>
            <w:proofErr w:type="spellEnd"/>
          </w:p>
        </w:tc>
        <w:tc>
          <w:tcPr>
            <w:tcW w:w="1560" w:type="dxa"/>
          </w:tcPr>
          <w:p w14:paraId="20CB7437" w14:textId="1B736BFC" w:rsidR="00B00CE8" w:rsidRPr="00B00CE8" w:rsidRDefault="00B00CE8" w:rsidP="00FD58A2">
            <w:pPr>
              <w:rPr>
                <w:rFonts w:ascii="Times New Roman" w:hAnsi="Times New Roman" w:cs="Times New Roman"/>
              </w:rPr>
            </w:pPr>
            <w:r w:rsidRPr="00B00CE8">
              <w:rPr>
                <w:rFonts w:ascii="Times New Roman" w:hAnsi="Times New Roman" w:cs="Times New Roman"/>
              </w:rPr>
              <w:t>225</w:t>
            </w:r>
          </w:p>
        </w:tc>
        <w:tc>
          <w:tcPr>
            <w:tcW w:w="1559" w:type="dxa"/>
          </w:tcPr>
          <w:p w14:paraId="3836323B" w14:textId="36026D7A" w:rsidR="00B00CE8" w:rsidRPr="00B00CE8" w:rsidRDefault="00B00CE8" w:rsidP="00FD58A2">
            <w:pPr>
              <w:rPr>
                <w:rFonts w:ascii="Times New Roman" w:hAnsi="Times New Roman" w:cs="Times New Roman"/>
              </w:rPr>
            </w:pPr>
            <w:r w:rsidRPr="00B00CE8">
              <w:rPr>
                <w:rFonts w:ascii="Times New Roman" w:hAnsi="Times New Roman" w:cs="Times New Roman"/>
              </w:rPr>
              <w:t>105</w:t>
            </w:r>
          </w:p>
        </w:tc>
        <w:tc>
          <w:tcPr>
            <w:tcW w:w="1448" w:type="dxa"/>
          </w:tcPr>
          <w:p w14:paraId="1231C985" w14:textId="162EC461" w:rsidR="00B00CE8" w:rsidRPr="00B00CE8" w:rsidRDefault="00B00CE8" w:rsidP="00FD58A2">
            <w:pPr>
              <w:rPr>
                <w:rFonts w:ascii="Times New Roman" w:hAnsi="Times New Roman" w:cs="Times New Roman"/>
              </w:rPr>
            </w:pPr>
            <w:r w:rsidRPr="00B00CE8">
              <w:rPr>
                <w:rFonts w:ascii="Times New Roman" w:hAnsi="Times New Roman" w:cs="Times New Roman"/>
              </w:rPr>
              <w:t>&gt;1000</w:t>
            </w:r>
          </w:p>
        </w:tc>
      </w:tr>
      <w:tr w:rsidR="00B00CE8" w:rsidRPr="0025234D" w14:paraId="499563E8" w14:textId="77777777" w:rsidTr="00B00CE8">
        <w:trPr>
          <w:trHeight w:val="641"/>
        </w:trPr>
        <w:tc>
          <w:tcPr>
            <w:tcW w:w="2404" w:type="dxa"/>
          </w:tcPr>
          <w:p w14:paraId="20503732" w14:textId="0326853D" w:rsidR="00B00CE8" w:rsidRPr="00B00CE8" w:rsidRDefault="00B00CE8" w:rsidP="00FD58A2">
            <w:pPr>
              <w:rPr>
                <w:rFonts w:ascii="Times New Roman" w:hAnsi="Times New Roman" w:cs="Times New Roman"/>
              </w:rPr>
            </w:pPr>
            <w:r w:rsidRPr="00B00CE8">
              <w:rPr>
                <w:rFonts w:ascii="Times New Roman" w:hAnsi="Times New Roman" w:cs="Times New Roman"/>
              </w:rPr>
              <w:t>Пропонований ВЕС</w:t>
            </w:r>
          </w:p>
        </w:tc>
        <w:tc>
          <w:tcPr>
            <w:tcW w:w="2694" w:type="dxa"/>
          </w:tcPr>
          <w:p w14:paraId="40623C9A" w14:textId="77D23359" w:rsidR="00B00CE8" w:rsidRPr="00B00CE8" w:rsidRDefault="00B00CE8" w:rsidP="00FD58A2">
            <w:pPr>
              <w:rPr>
                <w:rFonts w:ascii="Times New Roman" w:hAnsi="Times New Roman" w:cs="Times New Roman"/>
              </w:rPr>
            </w:pPr>
            <w:r w:rsidRPr="00B00CE8">
              <w:rPr>
                <w:rFonts w:ascii="Times New Roman" w:hAnsi="Times New Roman" w:cs="Times New Roman"/>
              </w:rPr>
              <w:t>Al₀.₂</w:t>
            </w:r>
            <w:proofErr w:type="spellStart"/>
            <w:r w:rsidRPr="00B00CE8">
              <w:rPr>
                <w:rFonts w:ascii="Times New Roman" w:hAnsi="Times New Roman" w:cs="Times New Roman"/>
              </w:rPr>
              <w:t>Cu</w:t>
            </w:r>
            <w:proofErr w:type="spellEnd"/>
            <w:r w:rsidRPr="00B00CE8">
              <w:rPr>
                <w:rFonts w:ascii="Times New Roman" w:hAnsi="Times New Roman" w:cs="Times New Roman"/>
              </w:rPr>
              <w:t>₀.₂₅</w:t>
            </w:r>
            <w:proofErr w:type="spellStart"/>
            <w:r w:rsidRPr="00B00CE8">
              <w:rPr>
                <w:rFonts w:ascii="Times New Roman" w:hAnsi="Times New Roman" w:cs="Times New Roman"/>
              </w:rPr>
              <w:t>Ni</w:t>
            </w:r>
            <w:proofErr w:type="spellEnd"/>
            <w:r w:rsidRPr="00B00CE8">
              <w:rPr>
                <w:rFonts w:ascii="Times New Roman" w:hAnsi="Times New Roman" w:cs="Times New Roman"/>
              </w:rPr>
              <w:t>₀.₂</w:t>
            </w:r>
            <w:proofErr w:type="spellStart"/>
            <w:r w:rsidRPr="00B00CE8">
              <w:rPr>
                <w:rFonts w:ascii="Times New Roman" w:hAnsi="Times New Roman" w:cs="Times New Roman"/>
              </w:rPr>
              <w:t>Co</w:t>
            </w:r>
            <w:proofErr w:type="spellEnd"/>
            <w:r w:rsidRPr="00B00CE8">
              <w:rPr>
                <w:rFonts w:ascii="Times New Roman" w:hAnsi="Times New Roman" w:cs="Times New Roman"/>
              </w:rPr>
              <w:t>₀.₂</w:t>
            </w:r>
            <w:proofErr w:type="spellStart"/>
            <w:r w:rsidRPr="00B00CE8">
              <w:rPr>
                <w:rFonts w:ascii="Times New Roman" w:hAnsi="Times New Roman" w:cs="Times New Roman"/>
              </w:rPr>
              <w:t>Ti</w:t>
            </w:r>
            <w:proofErr w:type="spellEnd"/>
            <w:r w:rsidRPr="00B00CE8">
              <w:rPr>
                <w:rFonts w:ascii="Times New Roman" w:hAnsi="Times New Roman" w:cs="Times New Roman"/>
              </w:rPr>
              <w:t>₀.₁₅</w:t>
            </w:r>
          </w:p>
        </w:tc>
        <w:tc>
          <w:tcPr>
            <w:tcW w:w="1560" w:type="dxa"/>
          </w:tcPr>
          <w:p w14:paraId="13BBA5B5" w14:textId="5608D465" w:rsidR="00B00CE8" w:rsidRPr="00B00CE8" w:rsidRDefault="00B00CE8" w:rsidP="00FD58A2">
            <w:pPr>
              <w:rPr>
                <w:rFonts w:ascii="Times New Roman" w:hAnsi="Times New Roman" w:cs="Times New Roman"/>
              </w:rPr>
            </w:pPr>
            <w:r w:rsidRPr="00B00CE8">
              <w:rPr>
                <w:rFonts w:ascii="Cambria Math" w:hAnsi="Cambria Math" w:cs="Cambria Math"/>
              </w:rPr>
              <w:t>∼</w:t>
            </w:r>
            <w:r w:rsidRPr="00B00CE8">
              <w:rPr>
                <w:rFonts w:ascii="Times New Roman" w:hAnsi="Times New Roman" w:cs="Times New Roman"/>
              </w:rPr>
              <w:t>220</w:t>
            </w:r>
          </w:p>
        </w:tc>
        <w:tc>
          <w:tcPr>
            <w:tcW w:w="1559" w:type="dxa"/>
          </w:tcPr>
          <w:p w14:paraId="20D0C85A" w14:textId="2BC90939" w:rsidR="00B00CE8" w:rsidRPr="00B00CE8" w:rsidRDefault="00B00CE8" w:rsidP="00FD58A2">
            <w:pPr>
              <w:rPr>
                <w:rFonts w:ascii="Times New Roman" w:hAnsi="Times New Roman" w:cs="Times New Roman"/>
              </w:rPr>
            </w:pPr>
            <w:r w:rsidRPr="00B00CE8">
              <w:rPr>
                <w:rFonts w:ascii="Cambria Math" w:hAnsi="Cambria Math" w:cs="Cambria Math"/>
              </w:rPr>
              <w:t>∼</w:t>
            </w:r>
            <w:r w:rsidRPr="00B00CE8">
              <w:rPr>
                <w:rFonts w:ascii="Times New Roman" w:hAnsi="Times New Roman" w:cs="Times New Roman"/>
              </w:rPr>
              <w:t>100–110</w:t>
            </w:r>
          </w:p>
        </w:tc>
        <w:tc>
          <w:tcPr>
            <w:tcW w:w="1448" w:type="dxa"/>
          </w:tcPr>
          <w:p w14:paraId="04A2F5FF" w14:textId="5A73A413" w:rsidR="00B00CE8" w:rsidRPr="00B00CE8" w:rsidRDefault="00B00CE8" w:rsidP="00FD58A2">
            <w:pPr>
              <w:rPr>
                <w:rFonts w:ascii="Times New Roman" w:hAnsi="Times New Roman" w:cs="Times New Roman"/>
              </w:rPr>
            </w:pPr>
            <w:r w:rsidRPr="00B00CE8">
              <w:rPr>
                <w:rFonts w:ascii="Times New Roman" w:hAnsi="Times New Roman" w:cs="Times New Roman"/>
              </w:rPr>
              <w:t>&gt;1000 (прогноз)</w:t>
            </w:r>
          </w:p>
        </w:tc>
      </w:tr>
      <w:tr w:rsidR="00B00CE8" w:rsidRPr="0025234D" w14:paraId="58DAB38E" w14:textId="77777777" w:rsidTr="00B00CE8">
        <w:trPr>
          <w:trHeight w:val="305"/>
        </w:trPr>
        <w:tc>
          <w:tcPr>
            <w:tcW w:w="2404" w:type="dxa"/>
          </w:tcPr>
          <w:p w14:paraId="4958B3EE" w14:textId="59273144" w:rsidR="00B00CE8" w:rsidRPr="00B00CE8" w:rsidRDefault="00B00CE8" w:rsidP="00FD58A2">
            <w:pPr>
              <w:rPr>
                <w:rFonts w:ascii="Times New Roman" w:hAnsi="Times New Roman" w:cs="Times New Roman"/>
              </w:rPr>
            </w:pPr>
            <w:r w:rsidRPr="00B00CE8">
              <w:rPr>
                <w:rFonts w:ascii="Times New Roman" w:hAnsi="Times New Roman" w:cs="Times New Roman"/>
              </w:rPr>
              <w:t>Еталон</w:t>
            </w:r>
          </w:p>
        </w:tc>
        <w:tc>
          <w:tcPr>
            <w:tcW w:w="2694" w:type="dxa"/>
          </w:tcPr>
          <w:p w14:paraId="6AFB7F3C" w14:textId="4F99E002" w:rsidR="00B00CE8" w:rsidRPr="00B00CE8" w:rsidRDefault="00B00CE8" w:rsidP="00FD58A2">
            <w:pPr>
              <w:rPr>
                <w:rFonts w:ascii="Times New Roman" w:hAnsi="Times New Roman" w:cs="Times New Roman"/>
              </w:rPr>
            </w:pPr>
            <w:proofErr w:type="spellStart"/>
            <w:r w:rsidRPr="00B00CE8">
              <w:rPr>
                <w:rFonts w:ascii="Times New Roman" w:hAnsi="Times New Roman" w:cs="Times New Roman"/>
              </w:rPr>
              <w:t>IrO</w:t>
            </w:r>
            <w:proofErr w:type="spellEnd"/>
            <w:r w:rsidRPr="00B00CE8">
              <w:rPr>
                <w:rFonts w:ascii="Times New Roman" w:hAnsi="Times New Roman" w:cs="Times New Roman"/>
              </w:rPr>
              <w:t xml:space="preserve">₂ / </w:t>
            </w:r>
            <w:proofErr w:type="spellStart"/>
            <w:r w:rsidRPr="00B00CE8">
              <w:rPr>
                <w:rFonts w:ascii="Times New Roman" w:hAnsi="Times New Roman" w:cs="Times New Roman"/>
              </w:rPr>
              <w:t>Pt</w:t>
            </w:r>
            <w:proofErr w:type="spellEnd"/>
            <w:r w:rsidRPr="00B00CE8">
              <w:rPr>
                <w:rFonts w:ascii="Times New Roman" w:hAnsi="Times New Roman" w:cs="Times New Roman"/>
              </w:rPr>
              <w:t>/C</w:t>
            </w:r>
          </w:p>
        </w:tc>
        <w:tc>
          <w:tcPr>
            <w:tcW w:w="1560" w:type="dxa"/>
          </w:tcPr>
          <w:p w14:paraId="4D4D0F77" w14:textId="5D33928D" w:rsidR="00B00CE8" w:rsidRPr="00B00CE8" w:rsidRDefault="00B00CE8" w:rsidP="00FD58A2">
            <w:pPr>
              <w:rPr>
                <w:rFonts w:ascii="Times New Roman" w:hAnsi="Times New Roman" w:cs="Times New Roman"/>
              </w:rPr>
            </w:pPr>
            <w:r w:rsidRPr="00B00CE8">
              <w:rPr>
                <w:rFonts w:ascii="Times New Roman" w:hAnsi="Times New Roman" w:cs="Times New Roman"/>
              </w:rPr>
              <w:t>280–320</w:t>
            </w:r>
          </w:p>
        </w:tc>
        <w:tc>
          <w:tcPr>
            <w:tcW w:w="1559" w:type="dxa"/>
          </w:tcPr>
          <w:p w14:paraId="20572D03" w14:textId="1E8A25A8" w:rsidR="00B00CE8" w:rsidRPr="00B00CE8" w:rsidRDefault="00B00CE8" w:rsidP="00FD58A2">
            <w:pPr>
              <w:rPr>
                <w:rFonts w:ascii="Times New Roman" w:hAnsi="Times New Roman" w:cs="Times New Roman"/>
              </w:rPr>
            </w:pPr>
            <w:r w:rsidRPr="00B00CE8">
              <w:rPr>
                <w:rFonts w:ascii="Times New Roman" w:hAnsi="Times New Roman" w:cs="Times New Roman"/>
              </w:rPr>
              <w:t>30</w:t>
            </w:r>
          </w:p>
        </w:tc>
        <w:tc>
          <w:tcPr>
            <w:tcW w:w="1448" w:type="dxa"/>
          </w:tcPr>
          <w:p w14:paraId="4B668B54" w14:textId="34D3703B" w:rsidR="00B00CE8" w:rsidRPr="00B00CE8" w:rsidRDefault="00B00CE8" w:rsidP="00FD58A2">
            <w:pPr>
              <w:rPr>
                <w:rFonts w:ascii="Times New Roman" w:hAnsi="Times New Roman" w:cs="Times New Roman"/>
              </w:rPr>
            </w:pPr>
            <w:r w:rsidRPr="00B00CE8">
              <w:rPr>
                <w:rFonts w:ascii="Times New Roman" w:hAnsi="Times New Roman" w:cs="Times New Roman"/>
              </w:rPr>
              <w:t>500–1000</w:t>
            </w:r>
          </w:p>
        </w:tc>
      </w:tr>
    </w:tbl>
    <w:p w14:paraId="73EF8229" w14:textId="77777777" w:rsidR="000F63EE" w:rsidRPr="002D64FD" w:rsidRDefault="000F63EE" w:rsidP="002F299C">
      <w:pPr>
        <w:spacing w:after="0" w:line="360" w:lineRule="auto"/>
        <w:jc w:val="both"/>
        <w:rPr>
          <w:rFonts w:ascii="Times New Roman" w:hAnsi="Times New Roman" w:cs="Times New Roman"/>
          <w:sz w:val="28"/>
          <w:szCs w:val="28"/>
        </w:rPr>
      </w:pPr>
    </w:p>
    <w:p w14:paraId="650F0242" w14:textId="7DDF0671" w:rsidR="005E5C49"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Методи</w:t>
      </w:r>
      <w:r w:rsidR="005E5C49">
        <w:rPr>
          <w:rFonts w:ascii="Times New Roman" w:hAnsi="Times New Roman" w:cs="Times New Roman"/>
          <w:sz w:val="28"/>
          <w:szCs w:val="28"/>
        </w:rPr>
        <w:t xml:space="preserve"> дослідження</w:t>
      </w:r>
      <w:r w:rsidRPr="00FA212E">
        <w:rPr>
          <w:rFonts w:ascii="Times New Roman" w:hAnsi="Times New Roman" w:cs="Times New Roman"/>
          <w:sz w:val="28"/>
          <w:szCs w:val="28"/>
        </w:rPr>
        <w:t xml:space="preserve"> базуються на термодинамічному моделюванні в рамках ідеальної моделі змішування, де конфігураційна ентропія обчислюється за формулою</w:t>
      </w:r>
      <w:r w:rsidR="005A443A">
        <w:rPr>
          <w:rFonts w:ascii="Times New Roman" w:hAnsi="Times New Roman" w:cs="Times New Roman"/>
          <w:sz w:val="28"/>
          <w:szCs w:val="28"/>
          <w:lang w:val="cs-CZ"/>
        </w:rPr>
        <w:t>:</w:t>
      </w:r>
      <w:r w:rsidRPr="00FA212E">
        <w:rPr>
          <w:rFonts w:ascii="Times New Roman" w:hAnsi="Times New Roman" w:cs="Times New Roman"/>
          <w:sz w:val="28"/>
          <w:szCs w:val="28"/>
        </w:rPr>
        <w:t xml:space="preserve"> </w:t>
      </w:r>
    </w:p>
    <w:p w14:paraId="413D5661" w14:textId="0D2DD344" w:rsidR="005E5C49" w:rsidRDefault="00856218" w:rsidP="002F299C">
      <w:pPr>
        <w:spacing w:after="0" w:line="360" w:lineRule="auto"/>
        <w:ind w:firstLine="709"/>
        <w:jc w:val="center"/>
        <w:rPr>
          <w:rFonts w:ascii="Times New Roman" w:hAnsi="Times New Roman" w:cs="Times New Roman"/>
          <w:sz w:val="28"/>
          <w:szCs w:val="28"/>
        </w:rPr>
      </w:pPr>
      <m:oMathPara>
        <m:oMath>
          <m:r>
            <w:rPr>
              <w:rFonts w:ascii="Cambria Math" w:hAnsi="Cambria Math" w:cs="Times New Roman"/>
              <w:sz w:val="28"/>
              <w:szCs w:val="28"/>
            </w:rPr>
            <m:t>Δ</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mix</m:t>
              </m:r>
            </m:sub>
          </m:sSub>
          <m:r>
            <w:rPr>
              <w:rFonts w:ascii="Cambria Math" w:hAnsi="Cambria Math" w:cs="Times New Roman"/>
              <w:sz w:val="28"/>
              <w:szCs w:val="28"/>
            </w:rPr>
            <m:t xml:space="preserve">= -R </m:t>
          </m:r>
          <m:nary>
            <m:naryPr>
              <m:chr m:val="∑"/>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w:rPr>
                  <w:rFonts w:ascii="Cambria Math" w:hAnsi="Cambria Math" w:cs="Times New Roman"/>
                  <w:sz w:val="28"/>
                  <w:szCs w:val="28"/>
                </w:rPr>
                <m:t xml:space="preserve"> ln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e>
          </m:nary>
          <m:r>
            <w:rPr>
              <w:rFonts w:ascii="Cambria Math" w:hAnsi="Cambria Math" w:cs="Times New Roman"/>
              <w:sz w:val="28"/>
              <w:szCs w:val="28"/>
            </w:rPr>
            <m:t>,</m:t>
          </m:r>
        </m:oMath>
      </m:oMathPara>
    </w:p>
    <w:p w14:paraId="1F8A97CC" w14:textId="77777777" w:rsidR="005E5C49" w:rsidRDefault="005E5C49" w:rsidP="002F299C">
      <w:pPr>
        <w:spacing w:after="0" w:line="360" w:lineRule="auto"/>
        <w:ind w:firstLine="709"/>
        <w:jc w:val="both"/>
        <w:rPr>
          <w:rFonts w:ascii="Times New Roman" w:hAnsi="Times New Roman" w:cs="Times New Roman"/>
          <w:sz w:val="28"/>
          <w:szCs w:val="28"/>
        </w:rPr>
      </w:pPr>
    </w:p>
    <w:p w14:paraId="68BB5594" w14:textId="1F5F213B" w:rsidR="005E5C49"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де R = 8,314 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 xml:space="preserve">К⁻¹, </w:t>
      </w:r>
    </w:p>
    <w:p w14:paraId="66E8FBB1" w14:textId="7F0F1455" w:rsidR="005E5C49" w:rsidRPr="005A443A" w:rsidRDefault="00F848AD" w:rsidP="005A443A">
      <w:pPr>
        <w:spacing w:after="0" w:line="360" w:lineRule="auto"/>
        <w:ind w:firstLine="709"/>
        <w:jc w:val="both"/>
        <w:rPr>
          <w:rFonts w:ascii="Times New Roman" w:hAnsi="Times New Roman" w:cs="Times New Roman"/>
          <w:sz w:val="28"/>
          <w:szCs w:val="28"/>
          <w:lang w:val="cs-CZ"/>
        </w:rPr>
      </w:pPr>
      <w:r w:rsidRPr="00FA212E">
        <w:rPr>
          <w:rFonts w:ascii="Times New Roman" w:hAnsi="Times New Roman" w:cs="Times New Roman"/>
          <w:sz w:val="28"/>
          <w:szCs w:val="28"/>
        </w:rPr>
        <w:t xml:space="preserve"> c</w:t>
      </w:r>
      <w:r w:rsidRPr="005E5C49">
        <w:rPr>
          <w:rFonts w:ascii="Times New Roman" w:hAnsi="Times New Roman" w:cs="Times New Roman"/>
          <w:sz w:val="28"/>
          <w:szCs w:val="28"/>
          <w:vertAlign w:val="subscript"/>
        </w:rPr>
        <w:t>i</w:t>
      </w:r>
      <w:r w:rsidRPr="00FA212E">
        <w:rPr>
          <w:rFonts w:ascii="Times New Roman" w:hAnsi="Times New Roman" w:cs="Times New Roman"/>
          <w:sz w:val="28"/>
          <w:szCs w:val="28"/>
        </w:rPr>
        <w:t xml:space="preserve"> — молярні частки елементів. </w:t>
      </w:r>
    </w:p>
    <w:p w14:paraId="730DCFFC" w14:textId="256F9D8B" w:rsidR="003D0354"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 xml:space="preserve">Ентальпія змішування </w:t>
      </w:r>
      <w:proofErr w:type="spellStart"/>
      <w:r w:rsidRPr="00FA212E">
        <w:rPr>
          <w:rFonts w:ascii="Times New Roman" w:hAnsi="Times New Roman" w:cs="Times New Roman"/>
          <w:sz w:val="28"/>
          <w:szCs w:val="28"/>
        </w:rPr>
        <w:t>ΔH</w:t>
      </w:r>
      <w:r w:rsidRPr="003D0354">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оцінюється за напівемпіричною моделлю </w:t>
      </w:r>
      <w:proofErr w:type="spellStart"/>
      <w:r w:rsidRPr="00FA212E">
        <w:rPr>
          <w:rFonts w:ascii="Times New Roman" w:hAnsi="Times New Roman" w:cs="Times New Roman"/>
          <w:sz w:val="28"/>
          <w:szCs w:val="28"/>
        </w:rPr>
        <w:t>Мідеми</w:t>
      </w:r>
      <w:proofErr w:type="spellEnd"/>
      <w:r w:rsidRPr="00FA212E">
        <w:rPr>
          <w:rFonts w:ascii="Times New Roman" w:hAnsi="Times New Roman" w:cs="Times New Roman"/>
          <w:sz w:val="28"/>
          <w:szCs w:val="28"/>
        </w:rPr>
        <w:t xml:space="preserve">, яка враховує парні взаємодії між елементами, наприклад, для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 xml:space="preserve"> ΔH ≈ –4 кДж/моль, а для </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Ti</w:t>
      </w:r>
      <w:proofErr w:type="spellEnd"/>
      <w:r w:rsidRPr="00FA212E">
        <w:rPr>
          <w:rFonts w:ascii="Times New Roman" w:hAnsi="Times New Roman" w:cs="Times New Roman"/>
          <w:sz w:val="28"/>
          <w:szCs w:val="28"/>
        </w:rPr>
        <w:t xml:space="preserve"> — позитивні значення, що сприяє стабілізації через ентропійний член. Вільна енергія Гіббса розраховується як</w:t>
      </w:r>
      <w:r w:rsidR="00856218" w:rsidRPr="00EC3487">
        <w:rPr>
          <w:rFonts w:ascii="Times New Roman" w:hAnsi="Times New Roman" w:cs="Times New Roman"/>
          <w:sz w:val="28"/>
          <w:szCs w:val="28"/>
        </w:rPr>
        <w:t>:</w:t>
      </w:r>
      <w:r w:rsidRPr="00FA212E">
        <w:rPr>
          <w:rFonts w:ascii="Times New Roman" w:hAnsi="Times New Roman" w:cs="Times New Roman"/>
          <w:sz w:val="28"/>
          <w:szCs w:val="28"/>
        </w:rPr>
        <w:t xml:space="preserve"> </w:t>
      </w:r>
    </w:p>
    <w:p w14:paraId="637E7F8D" w14:textId="77777777" w:rsidR="003D0354" w:rsidRDefault="003D0354" w:rsidP="002F299C">
      <w:pPr>
        <w:spacing w:after="0" w:line="360" w:lineRule="auto"/>
        <w:ind w:firstLine="709"/>
        <w:jc w:val="both"/>
        <w:rPr>
          <w:rFonts w:ascii="Times New Roman" w:hAnsi="Times New Roman" w:cs="Times New Roman"/>
          <w:sz w:val="28"/>
          <w:szCs w:val="28"/>
        </w:rPr>
      </w:pPr>
    </w:p>
    <w:p w14:paraId="6D8DCB29" w14:textId="74CDBB1E" w:rsidR="003D0354" w:rsidRPr="00856218" w:rsidRDefault="00856218" w:rsidP="002F299C">
      <w:pPr>
        <w:spacing w:after="0" w:line="360" w:lineRule="auto"/>
        <w:ind w:firstLine="709"/>
        <w:jc w:val="center"/>
        <w:rPr>
          <w:rFonts w:ascii="Times New Roman" w:hAnsi="Times New Roman" w:cs="Times New Roman"/>
          <w:i/>
          <w:sz w:val="28"/>
          <w:szCs w:val="28"/>
          <w:lang w:val="ru-RU"/>
        </w:rPr>
      </w:pPr>
      <m:oMathPara>
        <m:oMath>
          <m:r>
            <w:rPr>
              <w:rFonts w:ascii="Cambria Math" w:hAnsi="Cambria Math" w:cs="Times New Roman"/>
              <w:sz w:val="28"/>
              <w:szCs w:val="28"/>
            </w:rPr>
            <m:t>Δ</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mix</m:t>
              </m:r>
            </m:sub>
          </m:sSub>
          <m:r>
            <w:rPr>
              <w:rFonts w:ascii="Cambria Math" w:hAnsi="Cambria Math" w:cs="Times New Roman"/>
              <w:sz w:val="28"/>
              <w:szCs w:val="28"/>
            </w:rPr>
            <m:t xml:space="preserve"> = Δ</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mix</m:t>
              </m:r>
            </m:sub>
          </m:sSub>
          <m:r>
            <w:rPr>
              <w:rFonts w:ascii="Cambria Math" w:hAnsi="Cambria Math" w:cs="Times New Roman"/>
              <w:sz w:val="28"/>
              <w:szCs w:val="28"/>
            </w:rPr>
            <m:t xml:space="preserve"> - T Δ</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mix</m:t>
              </m:r>
            </m:sub>
          </m:sSub>
        </m:oMath>
      </m:oMathPara>
    </w:p>
    <w:p w14:paraId="16B16661" w14:textId="6295E85B" w:rsidR="00F848AD" w:rsidRPr="00856218" w:rsidRDefault="00F848AD" w:rsidP="002F299C">
      <w:pPr>
        <w:spacing w:after="0" w:line="360" w:lineRule="auto"/>
        <w:jc w:val="both"/>
        <w:rPr>
          <w:rFonts w:ascii="Times New Roman" w:hAnsi="Times New Roman" w:cs="Times New Roman"/>
          <w:sz w:val="28"/>
          <w:szCs w:val="28"/>
          <w:lang w:val="ru-RU"/>
        </w:rPr>
      </w:pPr>
    </w:p>
    <w:p w14:paraId="2EB158CD" w14:textId="0931211B" w:rsidR="00F848AD" w:rsidRPr="00FA212E"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Каталітичні властивості моделюються через дескриптори на основі теорії функціоналу густини (</w:t>
      </w:r>
      <w:r w:rsidR="003D0354">
        <w:rPr>
          <w:rFonts w:ascii="Times New Roman" w:hAnsi="Times New Roman" w:cs="Times New Roman"/>
          <w:sz w:val="28"/>
          <w:szCs w:val="28"/>
        </w:rPr>
        <w:t>ТФГ</w:t>
      </w:r>
      <w:r w:rsidRPr="00FA212E">
        <w:rPr>
          <w:rFonts w:ascii="Times New Roman" w:hAnsi="Times New Roman" w:cs="Times New Roman"/>
          <w:sz w:val="28"/>
          <w:szCs w:val="28"/>
        </w:rPr>
        <w:t>)</w:t>
      </w:r>
      <w:r w:rsidR="00EC3487">
        <w:rPr>
          <w:rFonts w:ascii="Times New Roman" w:hAnsi="Times New Roman" w:cs="Times New Roman"/>
          <w:sz w:val="28"/>
          <w:szCs w:val="28"/>
          <w:lang w:val="cs-CZ"/>
        </w:rPr>
        <w:t xml:space="preserve"> [3]</w:t>
      </w:r>
      <w:r w:rsidRPr="00FA212E">
        <w:rPr>
          <w:rFonts w:ascii="Times New Roman" w:hAnsi="Times New Roman" w:cs="Times New Roman"/>
          <w:sz w:val="28"/>
          <w:szCs w:val="28"/>
        </w:rPr>
        <w:t>, адаптованої для ВЕС: енергії адсорбції ΔG</w:t>
      </w:r>
      <w:r w:rsidRPr="003D0354">
        <w:rPr>
          <w:rFonts w:ascii="Times New Roman" w:hAnsi="Times New Roman" w:cs="Times New Roman"/>
          <w:sz w:val="28"/>
          <w:szCs w:val="28"/>
          <w:vertAlign w:val="subscript"/>
        </w:rPr>
        <w:t>H</w:t>
      </w:r>
      <w:r w:rsidRPr="00420B1E">
        <w:rPr>
          <w:rFonts w:ascii="Times New Roman" w:hAnsi="Times New Roman" w:cs="Times New Roman"/>
          <w:sz w:val="28"/>
          <w:szCs w:val="28"/>
          <w:vertAlign w:val="subscript"/>
        </w:rPr>
        <w:t>*</w:t>
      </w:r>
      <w:r w:rsidRPr="00FA212E">
        <w:rPr>
          <w:rFonts w:ascii="Times New Roman" w:hAnsi="Times New Roman" w:cs="Times New Roman"/>
          <w:sz w:val="28"/>
          <w:szCs w:val="28"/>
        </w:rPr>
        <w:t xml:space="preserve"> та ΔG</w:t>
      </w:r>
      <w:r w:rsidRPr="00420B1E">
        <w:rPr>
          <w:rFonts w:ascii="Times New Roman" w:hAnsi="Times New Roman" w:cs="Times New Roman"/>
          <w:sz w:val="28"/>
          <w:szCs w:val="28"/>
          <w:vertAlign w:val="subscript"/>
        </w:rPr>
        <w:t>OH*</w:t>
      </w:r>
      <w:r w:rsidRPr="00FA212E">
        <w:rPr>
          <w:rFonts w:ascii="Times New Roman" w:hAnsi="Times New Roman" w:cs="Times New Roman"/>
          <w:sz w:val="28"/>
          <w:szCs w:val="28"/>
        </w:rPr>
        <w:t xml:space="preserve"> пов’язуються з перенапруженням η через </w:t>
      </w:r>
      <w:proofErr w:type="spellStart"/>
      <w:r w:rsidRPr="00FA212E">
        <w:rPr>
          <w:rFonts w:ascii="Times New Roman" w:hAnsi="Times New Roman" w:cs="Times New Roman"/>
          <w:sz w:val="28"/>
          <w:szCs w:val="28"/>
        </w:rPr>
        <w:t>вулканоподібні</w:t>
      </w:r>
      <w:proofErr w:type="spellEnd"/>
      <w:r w:rsidRPr="00FA212E">
        <w:rPr>
          <w:rFonts w:ascii="Times New Roman" w:hAnsi="Times New Roman" w:cs="Times New Roman"/>
          <w:sz w:val="28"/>
          <w:szCs w:val="28"/>
        </w:rPr>
        <w:t xml:space="preserve"> залежності, де оптимальне ΔG</w:t>
      </w:r>
      <w:r w:rsidRPr="00420B1E">
        <w:rPr>
          <w:rFonts w:ascii="Times New Roman" w:hAnsi="Times New Roman" w:cs="Times New Roman"/>
          <w:sz w:val="28"/>
          <w:szCs w:val="28"/>
          <w:vertAlign w:val="subscript"/>
        </w:rPr>
        <w:t>H*</w:t>
      </w:r>
      <w:r w:rsidRPr="00FA212E">
        <w:rPr>
          <w:rFonts w:ascii="Times New Roman" w:hAnsi="Times New Roman" w:cs="Times New Roman"/>
          <w:sz w:val="28"/>
          <w:szCs w:val="28"/>
        </w:rPr>
        <w:t xml:space="preserve"> ≈ 0 </w:t>
      </w:r>
      <w:proofErr w:type="spellStart"/>
      <w:r w:rsidRPr="00FA212E">
        <w:rPr>
          <w:rFonts w:ascii="Times New Roman" w:hAnsi="Times New Roman" w:cs="Times New Roman"/>
          <w:sz w:val="28"/>
          <w:szCs w:val="28"/>
        </w:rPr>
        <w:t>еВ</w:t>
      </w:r>
      <w:proofErr w:type="spellEnd"/>
      <w:r w:rsidRPr="00FA212E">
        <w:rPr>
          <w:rFonts w:ascii="Times New Roman" w:hAnsi="Times New Roman" w:cs="Times New Roman"/>
          <w:sz w:val="28"/>
          <w:szCs w:val="28"/>
        </w:rPr>
        <w:t xml:space="preserve"> для </w:t>
      </w:r>
      <w:r w:rsidR="003F2C2D">
        <w:rPr>
          <w:rFonts w:ascii="Times New Roman" w:hAnsi="Times New Roman" w:cs="Times New Roman"/>
          <w:sz w:val="28"/>
          <w:szCs w:val="28"/>
        </w:rPr>
        <w:t>РВВ</w:t>
      </w:r>
      <w:r w:rsidRPr="00FA212E">
        <w:rPr>
          <w:rFonts w:ascii="Times New Roman" w:hAnsi="Times New Roman" w:cs="Times New Roman"/>
          <w:sz w:val="28"/>
          <w:szCs w:val="28"/>
        </w:rPr>
        <w:t>. Для врахування впливу кольорових металів використовуються масштабні співвідношення</w:t>
      </w:r>
      <w:r w:rsidR="00420B1E">
        <w:rPr>
          <w:rFonts w:ascii="Times New Roman" w:hAnsi="Times New Roman" w:cs="Times New Roman"/>
          <w:sz w:val="28"/>
          <w:szCs w:val="28"/>
        </w:rPr>
        <w:t xml:space="preserve">, </w:t>
      </w:r>
      <w:r w:rsidRPr="00FA212E">
        <w:rPr>
          <w:rFonts w:ascii="Times New Roman" w:hAnsi="Times New Roman" w:cs="Times New Roman"/>
          <w:sz w:val="28"/>
          <w:szCs w:val="28"/>
        </w:rPr>
        <w:t xml:space="preserve">калібровані за літературними </w:t>
      </w:r>
      <w:r w:rsidR="003D0354">
        <w:rPr>
          <w:rFonts w:ascii="Times New Roman" w:hAnsi="Times New Roman" w:cs="Times New Roman"/>
          <w:sz w:val="28"/>
          <w:szCs w:val="28"/>
        </w:rPr>
        <w:t>ТФГ</w:t>
      </w:r>
      <w:r w:rsidRPr="00FA212E">
        <w:rPr>
          <w:rFonts w:ascii="Times New Roman" w:hAnsi="Times New Roman" w:cs="Times New Roman"/>
          <w:sz w:val="28"/>
          <w:szCs w:val="28"/>
        </w:rPr>
        <w:t xml:space="preserve">-розрахунками для подібних систем, таких як </w:t>
      </w:r>
      <w:proofErr w:type="spellStart"/>
      <w:r w:rsidRPr="00FA212E">
        <w:rPr>
          <w:rFonts w:ascii="Times New Roman" w:hAnsi="Times New Roman" w:cs="Times New Roman"/>
          <w:sz w:val="28"/>
          <w:szCs w:val="28"/>
        </w:rPr>
        <w:t>NiCoCu</w:t>
      </w:r>
      <w:proofErr w:type="spellEnd"/>
      <w:r w:rsidRPr="00FA212E">
        <w:rPr>
          <w:rFonts w:ascii="Times New Roman" w:hAnsi="Times New Roman" w:cs="Times New Roman"/>
          <w:sz w:val="28"/>
          <w:szCs w:val="28"/>
        </w:rPr>
        <w:t xml:space="preserve">-поверхні, де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 xml:space="preserve"> знижує ΔG</w:t>
      </w:r>
      <w:r w:rsidRPr="00420B1E">
        <w:rPr>
          <w:rFonts w:ascii="Times New Roman" w:hAnsi="Times New Roman" w:cs="Times New Roman"/>
          <w:sz w:val="28"/>
          <w:szCs w:val="28"/>
          <w:vertAlign w:val="subscript"/>
        </w:rPr>
        <w:t>OH*</w:t>
      </w:r>
      <w:r w:rsidRPr="00FA212E">
        <w:rPr>
          <w:rFonts w:ascii="Times New Roman" w:hAnsi="Times New Roman" w:cs="Times New Roman"/>
          <w:sz w:val="28"/>
          <w:szCs w:val="28"/>
        </w:rPr>
        <w:t xml:space="preserve"> на 0,15–0,2 </w:t>
      </w:r>
      <w:proofErr w:type="spellStart"/>
      <w:r w:rsidRPr="00FA212E">
        <w:rPr>
          <w:rFonts w:ascii="Times New Roman" w:hAnsi="Times New Roman" w:cs="Times New Roman"/>
          <w:sz w:val="28"/>
          <w:szCs w:val="28"/>
        </w:rPr>
        <w:t>еВ</w:t>
      </w:r>
      <w:proofErr w:type="spellEnd"/>
      <w:r w:rsidRPr="00FA212E">
        <w:rPr>
          <w:rFonts w:ascii="Times New Roman" w:hAnsi="Times New Roman" w:cs="Times New Roman"/>
          <w:sz w:val="28"/>
          <w:szCs w:val="28"/>
        </w:rPr>
        <w:t>.</w:t>
      </w:r>
    </w:p>
    <w:p w14:paraId="64A887D6" w14:textId="4A99952B" w:rsidR="00F848AD" w:rsidRPr="00FA212E"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 xml:space="preserve">Досліджувані склади: </w:t>
      </w:r>
      <w:proofErr w:type="spellStart"/>
      <w:r w:rsidRPr="00FA212E">
        <w:rPr>
          <w:rFonts w:ascii="Times New Roman" w:hAnsi="Times New Roman" w:cs="Times New Roman"/>
          <w:sz w:val="28"/>
          <w:szCs w:val="28"/>
        </w:rPr>
        <w:t>еквіатомний</w:t>
      </w:r>
      <w:proofErr w:type="spellEnd"/>
      <w:r w:rsidRPr="00FA212E">
        <w:rPr>
          <w:rFonts w:ascii="Times New Roman" w:hAnsi="Times New Roman" w:cs="Times New Roman"/>
          <w:sz w:val="28"/>
          <w:szCs w:val="28"/>
        </w:rPr>
        <w:t xml:space="preserve"> Al₀.₂</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₀.₂</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₀.₂</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₀.₂</w:t>
      </w:r>
      <w:proofErr w:type="spellStart"/>
      <w:r w:rsidRPr="00FA212E">
        <w:rPr>
          <w:rFonts w:ascii="Times New Roman" w:hAnsi="Times New Roman" w:cs="Times New Roman"/>
          <w:sz w:val="28"/>
          <w:szCs w:val="28"/>
        </w:rPr>
        <w:t>Ti</w:t>
      </w:r>
      <w:proofErr w:type="spellEnd"/>
      <w:r w:rsidRPr="00FA212E">
        <w:rPr>
          <w:rFonts w:ascii="Times New Roman" w:hAnsi="Times New Roman" w:cs="Times New Roman"/>
          <w:sz w:val="28"/>
          <w:szCs w:val="28"/>
        </w:rPr>
        <w:t xml:space="preserve">₀.₂ та варіанти з вмістом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 xml:space="preserve"> 10–30%, </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 xml:space="preserve"> 15–25%, для оцінки чутливості до композиції. Розрахунки виконані в середовищі </w:t>
      </w:r>
      <w:proofErr w:type="spellStart"/>
      <w:r w:rsidRPr="00FA212E">
        <w:rPr>
          <w:rFonts w:ascii="Times New Roman" w:hAnsi="Times New Roman" w:cs="Times New Roman"/>
          <w:sz w:val="28"/>
          <w:szCs w:val="28"/>
        </w:rPr>
        <w:t>Python</w:t>
      </w:r>
      <w:proofErr w:type="spellEnd"/>
      <w:r w:rsidRPr="00FA212E">
        <w:rPr>
          <w:rFonts w:ascii="Times New Roman" w:hAnsi="Times New Roman" w:cs="Times New Roman"/>
          <w:sz w:val="28"/>
          <w:szCs w:val="28"/>
        </w:rPr>
        <w:t xml:space="preserve"> з використанням бібліотек </w:t>
      </w:r>
      <w:proofErr w:type="spellStart"/>
      <w:r w:rsidRPr="00FA212E">
        <w:rPr>
          <w:rFonts w:ascii="Times New Roman" w:hAnsi="Times New Roman" w:cs="Times New Roman"/>
          <w:sz w:val="28"/>
          <w:szCs w:val="28"/>
        </w:rPr>
        <w:t>SymPy</w:t>
      </w:r>
      <w:proofErr w:type="spellEnd"/>
      <w:r w:rsidRPr="00FA212E">
        <w:rPr>
          <w:rFonts w:ascii="Times New Roman" w:hAnsi="Times New Roman" w:cs="Times New Roman"/>
          <w:sz w:val="28"/>
          <w:szCs w:val="28"/>
        </w:rPr>
        <w:t xml:space="preserve"> для символьних обчислень та </w:t>
      </w:r>
      <w:proofErr w:type="spellStart"/>
      <w:r w:rsidRPr="00FA212E">
        <w:rPr>
          <w:rFonts w:ascii="Times New Roman" w:hAnsi="Times New Roman" w:cs="Times New Roman"/>
          <w:sz w:val="28"/>
          <w:szCs w:val="28"/>
        </w:rPr>
        <w:t>NumPy</w:t>
      </w:r>
      <w:proofErr w:type="spellEnd"/>
      <w:r w:rsidRPr="00FA212E">
        <w:rPr>
          <w:rFonts w:ascii="Times New Roman" w:hAnsi="Times New Roman" w:cs="Times New Roman"/>
          <w:sz w:val="28"/>
          <w:szCs w:val="28"/>
        </w:rPr>
        <w:t xml:space="preserve"> для чисельних, забезпечуючи точність до 0,01 </w:t>
      </w:r>
      <w:r w:rsidRPr="00FA212E">
        <w:rPr>
          <w:rFonts w:ascii="Times New Roman" w:hAnsi="Times New Roman" w:cs="Times New Roman"/>
          <w:sz w:val="28"/>
          <w:szCs w:val="28"/>
        </w:rPr>
        <w:lastRenderedPageBreak/>
        <w:t>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 xml:space="preserve">К⁻¹. </w:t>
      </w:r>
      <w:proofErr w:type="spellStart"/>
      <w:r w:rsidRPr="00FA212E">
        <w:rPr>
          <w:rFonts w:ascii="Times New Roman" w:hAnsi="Times New Roman" w:cs="Times New Roman"/>
          <w:sz w:val="28"/>
          <w:szCs w:val="28"/>
        </w:rPr>
        <w:t>Валідизація</w:t>
      </w:r>
      <w:proofErr w:type="spellEnd"/>
      <w:r w:rsidRPr="00FA212E">
        <w:rPr>
          <w:rFonts w:ascii="Times New Roman" w:hAnsi="Times New Roman" w:cs="Times New Roman"/>
          <w:sz w:val="28"/>
          <w:szCs w:val="28"/>
        </w:rPr>
        <w:t xml:space="preserve"> проводиться шляхом порівняння з експериментальними даними з літератури, наприклад, для ВЕС </w:t>
      </w:r>
      <w:proofErr w:type="spellStart"/>
      <w:r w:rsidRPr="00FA212E">
        <w:rPr>
          <w:rFonts w:ascii="Times New Roman" w:hAnsi="Times New Roman" w:cs="Times New Roman"/>
          <w:sz w:val="28"/>
          <w:szCs w:val="28"/>
        </w:rPr>
        <w:t>FeCoNiCrCu</w:t>
      </w:r>
      <w:proofErr w:type="spellEnd"/>
      <w:r w:rsidRPr="00FA212E">
        <w:rPr>
          <w:rFonts w:ascii="Times New Roman" w:hAnsi="Times New Roman" w:cs="Times New Roman"/>
          <w:sz w:val="28"/>
          <w:szCs w:val="28"/>
        </w:rPr>
        <w:t xml:space="preserve">, де </w:t>
      </w:r>
      <w:proofErr w:type="spellStart"/>
      <w:r w:rsidRPr="00FA212E">
        <w:rPr>
          <w:rFonts w:ascii="Times New Roman" w:hAnsi="Times New Roman" w:cs="Times New Roman"/>
          <w:sz w:val="28"/>
          <w:szCs w:val="28"/>
        </w:rPr>
        <w:t>ΔS</w:t>
      </w:r>
      <w:r w:rsidRPr="00856218">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 13,5 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 xml:space="preserve">К⁻¹ корелює з фазовою стабільністю при високих температурах. </w:t>
      </w:r>
    </w:p>
    <w:p w14:paraId="56E28F4B" w14:textId="4B9716FF" w:rsidR="00F848AD" w:rsidRPr="00FA212E"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 xml:space="preserve">Термодинамічні розрахунки для </w:t>
      </w:r>
      <w:proofErr w:type="spellStart"/>
      <w:r w:rsidRPr="00FA212E">
        <w:rPr>
          <w:rFonts w:ascii="Times New Roman" w:hAnsi="Times New Roman" w:cs="Times New Roman"/>
          <w:sz w:val="28"/>
          <w:szCs w:val="28"/>
        </w:rPr>
        <w:t>еквіатомного</w:t>
      </w:r>
      <w:proofErr w:type="spellEnd"/>
      <w:r w:rsidRPr="00FA212E">
        <w:rPr>
          <w:rFonts w:ascii="Times New Roman" w:hAnsi="Times New Roman" w:cs="Times New Roman"/>
          <w:sz w:val="28"/>
          <w:szCs w:val="28"/>
        </w:rPr>
        <w:t xml:space="preserve"> складу </w:t>
      </w:r>
      <w:proofErr w:type="spellStart"/>
      <w:r w:rsidRPr="00FA212E">
        <w:rPr>
          <w:rFonts w:ascii="Times New Roman" w:hAnsi="Times New Roman" w:cs="Times New Roman"/>
          <w:sz w:val="28"/>
          <w:szCs w:val="28"/>
        </w:rPr>
        <w:t>AlCuNiCoTi</w:t>
      </w:r>
      <w:proofErr w:type="spellEnd"/>
      <w:r w:rsidRPr="00FA212E">
        <w:rPr>
          <w:rFonts w:ascii="Times New Roman" w:hAnsi="Times New Roman" w:cs="Times New Roman"/>
          <w:sz w:val="28"/>
          <w:szCs w:val="28"/>
        </w:rPr>
        <w:t xml:space="preserve"> показали конфігураційну ентропію </w:t>
      </w:r>
      <w:proofErr w:type="spellStart"/>
      <w:r w:rsidRPr="00FA212E">
        <w:rPr>
          <w:rFonts w:ascii="Times New Roman" w:hAnsi="Times New Roman" w:cs="Times New Roman"/>
          <w:sz w:val="28"/>
          <w:szCs w:val="28"/>
        </w:rPr>
        <w:t>ΔS</w:t>
      </w:r>
      <w:r w:rsidRPr="00856218">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 13,38 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К⁻¹, що перевищує критичне значення 1,5R (≈12,47 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 xml:space="preserve">К⁻¹) і свідчить про високу стабільність однофазної структури. Це узгоджується з літературними даними для подібних </w:t>
      </w:r>
      <w:proofErr w:type="spellStart"/>
      <w:r w:rsidRPr="00FA212E">
        <w:rPr>
          <w:rFonts w:ascii="Times New Roman" w:hAnsi="Times New Roman" w:cs="Times New Roman"/>
          <w:sz w:val="28"/>
          <w:szCs w:val="28"/>
        </w:rPr>
        <w:t>бездрагметалевих</w:t>
      </w:r>
      <w:proofErr w:type="spellEnd"/>
      <w:r w:rsidRPr="00FA212E">
        <w:rPr>
          <w:rFonts w:ascii="Times New Roman" w:hAnsi="Times New Roman" w:cs="Times New Roman"/>
          <w:sz w:val="28"/>
          <w:szCs w:val="28"/>
        </w:rPr>
        <w:t xml:space="preserve"> ВЕС, де ентропія на рівні 13–15 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 xml:space="preserve">К⁻¹ запобігає фазовій сегрегації навіть при температурах понад 800 K. Збільшення вмісту міді до 25% підвищує </w:t>
      </w:r>
      <w:proofErr w:type="spellStart"/>
      <w:r w:rsidRPr="00FA212E">
        <w:rPr>
          <w:rFonts w:ascii="Times New Roman" w:hAnsi="Times New Roman" w:cs="Times New Roman"/>
          <w:sz w:val="28"/>
          <w:szCs w:val="28"/>
        </w:rPr>
        <w:t>ΔS</w:t>
      </w:r>
      <w:r w:rsidRPr="00856218">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до 13,40 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 xml:space="preserve">К⁻¹ за рахунок зростання безладу, тоді як вільна енергія Гіббса </w:t>
      </w:r>
      <w:proofErr w:type="spellStart"/>
      <w:r w:rsidRPr="00FA212E">
        <w:rPr>
          <w:rFonts w:ascii="Times New Roman" w:hAnsi="Times New Roman" w:cs="Times New Roman"/>
          <w:sz w:val="28"/>
          <w:szCs w:val="28"/>
        </w:rPr>
        <w:t>ΔG</w:t>
      </w:r>
      <w:r w:rsidRPr="000966AD">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знижується на 8–10 кДж/моль при 800 K, сприяючи перевазі ГЦК-фази над ОЦК.</w:t>
      </w:r>
    </w:p>
    <w:p w14:paraId="2C8F6606" w14:textId="77777777" w:rsidR="006A41CF" w:rsidRDefault="00F848AD" w:rsidP="002F299C">
      <w:pPr>
        <w:spacing w:after="0" w:line="360" w:lineRule="auto"/>
        <w:ind w:firstLine="709"/>
        <w:jc w:val="both"/>
        <w:rPr>
          <w:rFonts w:ascii="Times New Roman" w:hAnsi="Times New Roman" w:cs="Times New Roman"/>
          <w:sz w:val="28"/>
          <w:szCs w:val="28"/>
          <w:lang w:val="cs-CZ"/>
        </w:rPr>
      </w:pPr>
      <w:r w:rsidRPr="00FA212E">
        <w:rPr>
          <w:rFonts w:ascii="Times New Roman" w:hAnsi="Times New Roman" w:cs="Times New Roman"/>
          <w:sz w:val="28"/>
          <w:szCs w:val="28"/>
        </w:rPr>
        <w:t xml:space="preserve">Роль кольорових металів у структуроутворенні проявляється через спотворення ґратки: різниця атомних радіусів </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 xml:space="preserve"> (1,24 Å) та </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 xml:space="preserve"> (1,25 Å) порівняно з Al (1,43 Å) створює дефекти на рівні 5–10%, що генерує активні центри для адсорбції. </w:t>
      </w:r>
    </w:p>
    <w:p w14:paraId="4CA01879" w14:textId="4E22EA9D" w:rsidR="00F848AD" w:rsidRPr="006A41CF"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 xml:space="preserve">Для каталітичних властивостей розрахункові значення ΔG_H* = –0,05 </w:t>
      </w:r>
      <w:proofErr w:type="spellStart"/>
      <w:r w:rsidRPr="00FA212E">
        <w:rPr>
          <w:rFonts w:ascii="Times New Roman" w:hAnsi="Times New Roman" w:cs="Times New Roman"/>
          <w:sz w:val="28"/>
          <w:szCs w:val="28"/>
        </w:rPr>
        <w:t>еВ</w:t>
      </w:r>
      <w:proofErr w:type="spellEnd"/>
      <w:r w:rsidRPr="00FA212E">
        <w:rPr>
          <w:rFonts w:ascii="Times New Roman" w:hAnsi="Times New Roman" w:cs="Times New Roman"/>
          <w:sz w:val="28"/>
          <w:szCs w:val="28"/>
        </w:rPr>
        <w:t xml:space="preserve"> для </w:t>
      </w:r>
      <w:r w:rsidR="003F2C2D">
        <w:rPr>
          <w:rFonts w:ascii="Times New Roman" w:hAnsi="Times New Roman" w:cs="Times New Roman"/>
          <w:sz w:val="28"/>
          <w:szCs w:val="28"/>
        </w:rPr>
        <w:t>РВВ</w:t>
      </w:r>
      <w:r w:rsidRPr="00FA212E">
        <w:rPr>
          <w:rFonts w:ascii="Times New Roman" w:hAnsi="Times New Roman" w:cs="Times New Roman"/>
          <w:sz w:val="28"/>
          <w:szCs w:val="28"/>
        </w:rPr>
        <w:t xml:space="preserve"> вказують на оптимальну адсорбцію водню, що призводить до передбаченого перенапруження </w:t>
      </w:r>
      <w:proofErr w:type="spellStart"/>
      <w:r w:rsidRPr="00FA212E">
        <w:rPr>
          <w:rFonts w:ascii="Times New Roman" w:hAnsi="Times New Roman" w:cs="Times New Roman"/>
          <w:sz w:val="28"/>
          <w:szCs w:val="28"/>
        </w:rPr>
        <w:t>η</w:t>
      </w:r>
      <w:r w:rsidR="003F2C2D" w:rsidRPr="00AB3896">
        <w:rPr>
          <w:rFonts w:ascii="Times New Roman" w:hAnsi="Times New Roman" w:cs="Times New Roman"/>
          <w:sz w:val="28"/>
          <w:szCs w:val="28"/>
          <w:vertAlign w:val="subscript"/>
        </w:rPr>
        <w:t>РВВ</w:t>
      </w:r>
      <w:proofErr w:type="spellEnd"/>
      <w:r w:rsidRPr="00FA212E">
        <w:rPr>
          <w:rFonts w:ascii="Times New Roman" w:hAnsi="Times New Roman" w:cs="Times New Roman"/>
          <w:sz w:val="28"/>
          <w:szCs w:val="28"/>
        </w:rPr>
        <w:t xml:space="preserve"> ≈ 100–120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 xml:space="preserve">. Для </w:t>
      </w:r>
      <w:r w:rsidR="003F2C2D">
        <w:rPr>
          <w:rFonts w:ascii="Times New Roman" w:hAnsi="Times New Roman" w:cs="Times New Roman"/>
          <w:sz w:val="28"/>
          <w:szCs w:val="28"/>
        </w:rPr>
        <w:t>РВК</w:t>
      </w:r>
      <w:r w:rsidRPr="00FA212E">
        <w:rPr>
          <w:rFonts w:ascii="Times New Roman" w:hAnsi="Times New Roman" w:cs="Times New Roman"/>
          <w:sz w:val="28"/>
          <w:szCs w:val="28"/>
        </w:rPr>
        <w:t xml:space="preserve"> ΔG</w:t>
      </w:r>
      <w:r w:rsidRPr="00AB3896">
        <w:rPr>
          <w:rFonts w:ascii="Times New Roman" w:hAnsi="Times New Roman" w:cs="Times New Roman"/>
          <w:sz w:val="28"/>
          <w:szCs w:val="28"/>
          <w:vertAlign w:val="subscript"/>
        </w:rPr>
        <w:t>OH*</w:t>
      </w:r>
      <w:r w:rsidRPr="00FA212E">
        <w:rPr>
          <w:rFonts w:ascii="Times New Roman" w:hAnsi="Times New Roman" w:cs="Times New Roman"/>
          <w:sz w:val="28"/>
          <w:szCs w:val="28"/>
        </w:rPr>
        <w:t xml:space="preserve"> ≈ 0,85 </w:t>
      </w:r>
      <w:proofErr w:type="spellStart"/>
      <w:r w:rsidRPr="00FA212E">
        <w:rPr>
          <w:rFonts w:ascii="Times New Roman" w:hAnsi="Times New Roman" w:cs="Times New Roman"/>
          <w:sz w:val="28"/>
          <w:szCs w:val="28"/>
        </w:rPr>
        <w:t>еВ</w:t>
      </w:r>
      <w:proofErr w:type="spellEnd"/>
      <w:r w:rsidRPr="00FA212E">
        <w:rPr>
          <w:rFonts w:ascii="Times New Roman" w:hAnsi="Times New Roman" w:cs="Times New Roman"/>
          <w:sz w:val="28"/>
          <w:szCs w:val="28"/>
        </w:rPr>
        <w:t xml:space="preserve"> корелює з </w:t>
      </w:r>
      <w:proofErr w:type="spellStart"/>
      <w:r w:rsidRPr="00FA212E">
        <w:rPr>
          <w:rFonts w:ascii="Times New Roman" w:hAnsi="Times New Roman" w:cs="Times New Roman"/>
          <w:sz w:val="28"/>
          <w:szCs w:val="28"/>
        </w:rPr>
        <w:t>η</w:t>
      </w:r>
      <w:r w:rsidR="003F2C2D" w:rsidRPr="00AB3896">
        <w:rPr>
          <w:rFonts w:ascii="Times New Roman" w:hAnsi="Times New Roman" w:cs="Times New Roman"/>
          <w:sz w:val="28"/>
          <w:szCs w:val="28"/>
          <w:vertAlign w:val="subscript"/>
        </w:rPr>
        <w:t>РВК</w:t>
      </w:r>
      <w:proofErr w:type="spellEnd"/>
      <w:r w:rsidRPr="00FA212E">
        <w:rPr>
          <w:rFonts w:ascii="Times New Roman" w:hAnsi="Times New Roman" w:cs="Times New Roman"/>
          <w:sz w:val="28"/>
          <w:szCs w:val="28"/>
        </w:rPr>
        <w:t xml:space="preserve"> ≈ 220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 xml:space="preserve"> при 10 мА</w:t>
      </w:r>
      <w:r w:rsidRPr="00FA212E">
        <w:rPr>
          <w:rFonts w:ascii="Cambria Math" w:hAnsi="Cambria Math" w:cs="Cambria Math"/>
          <w:sz w:val="28"/>
          <w:szCs w:val="28"/>
        </w:rPr>
        <w:t>⋅</w:t>
      </w:r>
      <w:r w:rsidRPr="00FA212E">
        <w:rPr>
          <w:rFonts w:ascii="Times New Roman" w:hAnsi="Times New Roman" w:cs="Times New Roman"/>
          <w:sz w:val="28"/>
          <w:szCs w:val="28"/>
        </w:rPr>
        <w:t xml:space="preserve">см⁻², що на 30% нижче, ніж у традиційних </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 xml:space="preserve">-каталізаторів (350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w:t>
      </w:r>
      <w:r w:rsidR="006A41CF">
        <w:rPr>
          <w:rFonts w:ascii="Times New Roman" w:hAnsi="Times New Roman" w:cs="Times New Roman"/>
          <w:sz w:val="28"/>
          <w:szCs w:val="28"/>
          <w:lang w:val="cs-CZ"/>
        </w:rPr>
        <w:t>[4;5;6]</w:t>
      </w:r>
      <w:r w:rsidRPr="00FA212E">
        <w:rPr>
          <w:rFonts w:ascii="Times New Roman" w:hAnsi="Times New Roman" w:cs="Times New Roman"/>
          <w:sz w:val="28"/>
          <w:szCs w:val="28"/>
        </w:rPr>
        <w:t>.</w:t>
      </w:r>
    </w:p>
    <w:p w14:paraId="7FBEE600" w14:textId="77777777" w:rsidR="00DD638E" w:rsidRPr="006A41CF" w:rsidRDefault="00DD638E" w:rsidP="002F299C">
      <w:pPr>
        <w:spacing w:after="0" w:line="360" w:lineRule="auto"/>
        <w:ind w:firstLine="709"/>
        <w:jc w:val="both"/>
        <w:rPr>
          <w:rFonts w:ascii="Times New Roman" w:hAnsi="Times New Roman" w:cs="Times New Roman"/>
          <w:sz w:val="28"/>
          <w:szCs w:val="28"/>
        </w:rPr>
      </w:pPr>
    </w:p>
    <w:p w14:paraId="7D139265" w14:textId="77777777" w:rsidR="00DD638E" w:rsidRPr="00FA212E" w:rsidRDefault="00DD638E" w:rsidP="002F299C">
      <w:pPr>
        <w:spacing w:after="0" w:line="360" w:lineRule="auto"/>
        <w:ind w:firstLine="709"/>
        <w:jc w:val="center"/>
        <w:rPr>
          <w:rFonts w:ascii="Times New Roman" w:hAnsi="Times New Roman" w:cs="Times New Roman"/>
          <w:sz w:val="28"/>
          <w:szCs w:val="28"/>
        </w:rPr>
      </w:pPr>
      <w:r w:rsidRPr="000D5E31">
        <w:rPr>
          <w:rFonts w:ascii="Times New Roman" w:hAnsi="Times New Roman" w:cs="Times New Roman"/>
          <w:sz w:val="28"/>
          <w:szCs w:val="28"/>
        </w:rPr>
        <w:lastRenderedPageBreak/>
        <w:drawing>
          <wp:inline distT="0" distB="0" distL="0" distR="0" wp14:anchorId="375036DE" wp14:editId="5FB333CB">
            <wp:extent cx="4308731" cy="2879558"/>
            <wp:effectExtent l="0" t="0" r="0" b="0"/>
            <wp:docPr id="2085189389" name="Рисунок 1" descr="Зображення, що містить текст, Графік, ряд, знімок екран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89389" name="Рисунок 1" descr="Зображення, що містить текст, Графік, ряд, знімок екрана&#10;&#10;Вміст на основі ШІ може бути неправильним."/>
                    <pic:cNvPicPr/>
                  </pic:nvPicPr>
                  <pic:blipFill rotWithShape="1">
                    <a:blip r:embed="rId6"/>
                    <a:srcRect t="5914"/>
                    <a:stretch>
                      <a:fillRect/>
                    </a:stretch>
                  </pic:blipFill>
                  <pic:spPr bwMode="auto">
                    <a:xfrm>
                      <a:off x="0" y="0"/>
                      <a:ext cx="4353041" cy="2909171"/>
                    </a:xfrm>
                    <a:prstGeom prst="rect">
                      <a:avLst/>
                    </a:prstGeom>
                    <a:ln>
                      <a:noFill/>
                    </a:ln>
                    <a:extLst>
                      <a:ext uri="{53640926-AAD7-44D8-BBD7-CCE9431645EC}">
                        <a14:shadowObscured xmlns:a14="http://schemas.microsoft.com/office/drawing/2010/main"/>
                      </a:ext>
                    </a:extLst>
                  </pic:spPr>
                </pic:pic>
              </a:graphicData>
            </a:graphic>
          </wp:inline>
        </w:drawing>
      </w:r>
    </w:p>
    <w:p w14:paraId="72E4319D" w14:textId="3F599093" w:rsidR="00DD638E" w:rsidRPr="00DD638E" w:rsidRDefault="00DD638E" w:rsidP="002F299C">
      <w:pPr>
        <w:spacing w:after="0" w:line="360" w:lineRule="auto"/>
        <w:ind w:firstLine="709"/>
        <w:jc w:val="center"/>
        <w:rPr>
          <w:rFonts w:ascii="Times New Roman" w:hAnsi="Times New Roman" w:cs="Times New Roman"/>
          <w:sz w:val="28"/>
          <w:szCs w:val="28"/>
        </w:rPr>
      </w:pPr>
      <w:r w:rsidRPr="00FA212E">
        <w:rPr>
          <w:rFonts w:ascii="Times New Roman" w:hAnsi="Times New Roman" w:cs="Times New Roman"/>
          <w:sz w:val="28"/>
          <w:szCs w:val="28"/>
        </w:rPr>
        <w:t xml:space="preserve">Графік 1: Залежність </w:t>
      </w:r>
      <w:proofErr w:type="spellStart"/>
      <w:r w:rsidRPr="00FA212E">
        <w:rPr>
          <w:rFonts w:ascii="Times New Roman" w:hAnsi="Times New Roman" w:cs="Times New Roman"/>
          <w:sz w:val="28"/>
          <w:szCs w:val="28"/>
        </w:rPr>
        <w:t>ΔS</w:t>
      </w:r>
      <w:r w:rsidRPr="000966AD">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та </w:t>
      </w:r>
      <w:proofErr w:type="spellStart"/>
      <w:r w:rsidRPr="00FA212E">
        <w:rPr>
          <w:rFonts w:ascii="Times New Roman" w:hAnsi="Times New Roman" w:cs="Times New Roman"/>
          <w:sz w:val="28"/>
          <w:szCs w:val="28"/>
        </w:rPr>
        <w:t>ΔG</w:t>
      </w:r>
      <w:r w:rsidRPr="000966AD">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від вмісту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 xml:space="preserve"> при фіксованій температурі 800 K</w:t>
      </w:r>
    </w:p>
    <w:p w14:paraId="509EF46B" w14:textId="77777777" w:rsidR="00DD638E" w:rsidRPr="00DD638E" w:rsidRDefault="00DD638E" w:rsidP="002F299C">
      <w:pPr>
        <w:spacing w:after="0" w:line="360" w:lineRule="auto"/>
        <w:ind w:firstLine="709"/>
        <w:jc w:val="both"/>
        <w:rPr>
          <w:rFonts w:ascii="Times New Roman" w:hAnsi="Times New Roman" w:cs="Times New Roman"/>
          <w:sz w:val="28"/>
          <w:szCs w:val="28"/>
        </w:rPr>
      </w:pPr>
    </w:p>
    <w:p w14:paraId="2A781371" w14:textId="77777777" w:rsidR="00014F81"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 xml:space="preserve">Порівняння з літературою: у системі </w:t>
      </w:r>
      <w:proofErr w:type="spellStart"/>
      <w:r w:rsidRPr="00FA212E">
        <w:rPr>
          <w:rFonts w:ascii="Times New Roman" w:hAnsi="Times New Roman" w:cs="Times New Roman"/>
          <w:sz w:val="28"/>
          <w:szCs w:val="28"/>
        </w:rPr>
        <w:t>FeCoNiCrCu</w:t>
      </w:r>
      <w:proofErr w:type="spellEnd"/>
      <w:r w:rsidRPr="00FA212E">
        <w:rPr>
          <w:rFonts w:ascii="Times New Roman" w:hAnsi="Times New Roman" w:cs="Times New Roman"/>
          <w:sz w:val="28"/>
          <w:szCs w:val="28"/>
        </w:rPr>
        <w:t xml:space="preserve"> </w:t>
      </w:r>
      <w:proofErr w:type="spellStart"/>
      <w:r w:rsidRPr="00FA212E">
        <w:rPr>
          <w:rFonts w:ascii="Times New Roman" w:hAnsi="Times New Roman" w:cs="Times New Roman"/>
          <w:sz w:val="28"/>
          <w:szCs w:val="28"/>
        </w:rPr>
        <w:t>η</w:t>
      </w:r>
      <w:r w:rsidR="003F2C2D" w:rsidRPr="00721E42">
        <w:rPr>
          <w:rFonts w:ascii="Times New Roman" w:hAnsi="Times New Roman" w:cs="Times New Roman"/>
          <w:sz w:val="28"/>
          <w:szCs w:val="28"/>
          <w:vertAlign w:val="subscript"/>
        </w:rPr>
        <w:t>РВК</w:t>
      </w:r>
      <w:proofErr w:type="spellEnd"/>
      <w:r w:rsidRPr="00FA212E">
        <w:rPr>
          <w:rFonts w:ascii="Times New Roman" w:hAnsi="Times New Roman" w:cs="Times New Roman"/>
          <w:sz w:val="28"/>
          <w:szCs w:val="28"/>
        </w:rPr>
        <w:t xml:space="preserve"> = 210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 xml:space="preserve"> з нахилом </w:t>
      </w:r>
      <w:proofErr w:type="spellStart"/>
      <w:r w:rsidRPr="00FA212E">
        <w:rPr>
          <w:rFonts w:ascii="Times New Roman" w:hAnsi="Times New Roman" w:cs="Times New Roman"/>
          <w:sz w:val="28"/>
          <w:szCs w:val="28"/>
        </w:rPr>
        <w:t>Тафеля</w:t>
      </w:r>
      <w:proofErr w:type="spellEnd"/>
      <w:r w:rsidRPr="00FA212E">
        <w:rPr>
          <w:rFonts w:ascii="Times New Roman" w:hAnsi="Times New Roman" w:cs="Times New Roman"/>
          <w:sz w:val="28"/>
          <w:szCs w:val="28"/>
        </w:rPr>
        <w:t xml:space="preserve"> 42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 xml:space="preserve">/дек, що подібно до наших прогнозів, де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 xml:space="preserve"> оптимізує електронну гібридизацію d-</w:t>
      </w:r>
      <w:proofErr w:type="spellStart"/>
      <w:r w:rsidRPr="00FA212E">
        <w:rPr>
          <w:rFonts w:ascii="Times New Roman" w:hAnsi="Times New Roman" w:cs="Times New Roman"/>
          <w:sz w:val="28"/>
          <w:szCs w:val="28"/>
        </w:rPr>
        <w:t>орбиталей</w:t>
      </w:r>
      <w:proofErr w:type="spellEnd"/>
      <w:r w:rsidRPr="00FA212E">
        <w:rPr>
          <w:rFonts w:ascii="Times New Roman" w:hAnsi="Times New Roman" w:cs="Times New Roman"/>
          <w:sz w:val="28"/>
          <w:szCs w:val="28"/>
        </w:rPr>
        <w:t xml:space="preserve">, знижуючи бар’єр активації на 0,15 </w:t>
      </w:r>
      <w:proofErr w:type="spellStart"/>
      <w:r w:rsidRPr="00FA212E">
        <w:rPr>
          <w:rFonts w:ascii="Times New Roman" w:hAnsi="Times New Roman" w:cs="Times New Roman"/>
          <w:sz w:val="28"/>
          <w:szCs w:val="28"/>
        </w:rPr>
        <w:t>еВ</w:t>
      </w:r>
      <w:proofErr w:type="spellEnd"/>
      <w:r w:rsidRPr="00FA212E">
        <w:rPr>
          <w:rFonts w:ascii="Times New Roman" w:hAnsi="Times New Roman" w:cs="Times New Roman"/>
          <w:sz w:val="28"/>
          <w:szCs w:val="28"/>
        </w:rPr>
        <w:t xml:space="preserve">. Варіація вмісту </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 xml:space="preserve"> (до 20%) посилює спінові ефекти, підвищуючи селективність </w:t>
      </w:r>
      <w:r w:rsidR="003F2C2D">
        <w:rPr>
          <w:rFonts w:ascii="Times New Roman" w:hAnsi="Times New Roman" w:cs="Times New Roman"/>
          <w:sz w:val="28"/>
          <w:szCs w:val="28"/>
        </w:rPr>
        <w:t>РВК</w:t>
      </w:r>
      <w:r w:rsidRPr="00FA212E">
        <w:rPr>
          <w:rFonts w:ascii="Times New Roman" w:hAnsi="Times New Roman" w:cs="Times New Roman"/>
          <w:sz w:val="28"/>
          <w:szCs w:val="28"/>
        </w:rPr>
        <w:t xml:space="preserve"> на 15–20%. Загалом, ВЕС з кольоровими металами демонструють стабільність понад 1000 годин у модельних умовах, перевищуючи бінарні сплави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 xml:space="preserve"> (700 годин).</w:t>
      </w:r>
    </w:p>
    <w:p w14:paraId="342316E5" w14:textId="28BE6010" w:rsidR="00721E42" w:rsidRPr="000966AD" w:rsidRDefault="00F848AD" w:rsidP="002F299C">
      <w:pPr>
        <w:spacing w:after="0" w:line="360" w:lineRule="auto"/>
        <w:ind w:firstLine="709"/>
        <w:jc w:val="both"/>
        <w:rPr>
          <w:rFonts w:ascii="Times New Roman" w:hAnsi="Times New Roman" w:cs="Times New Roman"/>
          <w:sz w:val="28"/>
          <w:szCs w:val="28"/>
          <w:lang w:val="ru-RU"/>
        </w:rPr>
      </w:pPr>
      <w:r w:rsidRPr="00FA212E">
        <w:rPr>
          <w:rFonts w:ascii="Times New Roman" w:hAnsi="Times New Roman" w:cs="Times New Roman"/>
          <w:sz w:val="28"/>
          <w:szCs w:val="28"/>
        </w:rPr>
        <w:t xml:space="preserve"> </w:t>
      </w:r>
    </w:p>
    <w:p w14:paraId="338E1DE2" w14:textId="1EBC6475" w:rsidR="00F5362B" w:rsidRPr="000966AD" w:rsidRDefault="00F5362B" w:rsidP="002F299C">
      <w:pPr>
        <w:spacing w:after="0" w:line="360" w:lineRule="auto"/>
        <w:ind w:firstLine="709"/>
        <w:jc w:val="both"/>
        <w:rPr>
          <w:rFonts w:ascii="Times New Roman" w:hAnsi="Times New Roman" w:cs="Times New Roman"/>
          <w:sz w:val="28"/>
          <w:szCs w:val="28"/>
          <w:lang w:val="ru-RU"/>
        </w:rPr>
      </w:pPr>
      <w:proofErr w:type="spellStart"/>
      <w:r w:rsidRPr="00F5362B">
        <w:rPr>
          <w:rFonts w:ascii="Times New Roman" w:hAnsi="Times New Roman" w:cs="Times New Roman"/>
          <w:sz w:val="28"/>
          <w:szCs w:val="28"/>
          <w:lang w:val="cs-CZ"/>
        </w:rPr>
        <w:t>Таблиця</w:t>
      </w:r>
      <w:proofErr w:type="spellEnd"/>
      <w:r w:rsidRPr="00F5362B">
        <w:rPr>
          <w:rFonts w:ascii="Times New Roman" w:hAnsi="Times New Roman" w:cs="Times New Roman"/>
          <w:sz w:val="28"/>
          <w:szCs w:val="28"/>
          <w:lang w:val="cs-CZ"/>
        </w:rPr>
        <w:t xml:space="preserve"> 2. </w:t>
      </w:r>
      <w:proofErr w:type="spellStart"/>
      <w:r w:rsidRPr="00F5362B">
        <w:rPr>
          <w:rFonts w:ascii="Times New Roman" w:hAnsi="Times New Roman" w:cs="Times New Roman"/>
          <w:sz w:val="28"/>
          <w:szCs w:val="28"/>
          <w:lang w:val="cs-CZ"/>
        </w:rPr>
        <w:t>Розрахункові</w:t>
      </w:r>
      <w:proofErr w:type="spellEnd"/>
      <w:r w:rsidRPr="00F5362B">
        <w:rPr>
          <w:rFonts w:ascii="Times New Roman" w:hAnsi="Times New Roman" w:cs="Times New Roman"/>
          <w:sz w:val="28"/>
          <w:szCs w:val="28"/>
          <w:lang w:val="cs-CZ"/>
        </w:rPr>
        <w:t xml:space="preserve"> </w:t>
      </w:r>
      <w:proofErr w:type="spellStart"/>
      <w:r w:rsidRPr="00F5362B">
        <w:rPr>
          <w:rFonts w:ascii="Times New Roman" w:hAnsi="Times New Roman" w:cs="Times New Roman"/>
          <w:sz w:val="28"/>
          <w:szCs w:val="28"/>
          <w:lang w:val="cs-CZ"/>
        </w:rPr>
        <w:t>термодинамічні</w:t>
      </w:r>
      <w:proofErr w:type="spellEnd"/>
      <w:r w:rsidRPr="00F5362B">
        <w:rPr>
          <w:rFonts w:ascii="Times New Roman" w:hAnsi="Times New Roman" w:cs="Times New Roman"/>
          <w:sz w:val="28"/>
          <w:szCs w:val="28"/>
          <w:lang w:val="cs-CZ"/>
        </w:rPr>
        <w:t xml:space="preserve"> </w:t>
      </w:r>
      <w:proofErr w:type="spellStart"/>
      <w:r w:rsidRPr="00F5362B">
        <w:rPr>
          <w:rFonts w:ascii="Times New Roman" w:hAnsi="Times New Roman" w:cs="Times New Roman"/>
          <w:sz w:val="28"/>
          <w:szCs w:val="28"/>
          <w:lang w:val="cs-CZ"/>
        </w:rPr>
        <w:t>та</w:t>
      </w:r>
      <w:proofErr w:type="spellEnd"/>
      <w:r w:rsidRPr="00F5362B">
        <w:rPr>
          <w:rFonts w:ascii="Times New Roman" w:hAnsi="Times New Roman" w:cs="Times New Roman"/>
          <w:sz w:val="28"/>
          <w:szCs w:val="28"/>
          <w:lang w:val="cs-CZ"/>
        </w:rPr>
        <w:t xml:space="preserve"> </w:t>
      </w:r>
      <w:proofErr w:type="spellStart"/>
      <w:r w:rsidRPr="00F5362B">
        <w:rPr>
          <w:rFonts w:ascii="Times New Roman" w:hAnsi="Times New Roman" w:cs="Times New Roman"/>
          <w:sz w:val="28"/>
          <w:szCs w:val="28"/>
          <w:lang w:val="cs-CZ"/>
        </w:rPr>
        <w:t>каталітичні</w:t>
      </w:r>
      <w:proofErr w:type="spellEnd"/>
      <w:r w:rsidRPr="00F5362B">
        <w:rPr>
          <w:rFonts w:ascii="Times New Roman" w:hAnsi="Times New Roman" w:cs="Times New Roman"/>
          <w:sz w:val="28"/>
          <w:szCs w:val="28"/>
          <w:lang w:val="cs-CZ"/>
        </w:rPr>
        <w:t xml:space="preserve"> </w:t>
      </w:r>
      <w:proofErr w:type="spellStart"/>
      <w:r w:rsidRPr="00F5362B">
        <w:rPr>
          <w:rFonts w:ascii="Times New Roman" w:hAnsi="Times New Roman" w:cs="Times New Roman"/>
          <w:sz w:val="28"/>
          <w:szCs w:val="28"/>
          <w:lang w:val="cs-CZ"/>
        </w:rPr>
        <w:t>характеристики</w:t>
      </w:r>
      <w:proofErr w:type="spellEnd"/>
      <w:r w:rsidRPr="00F5362B">
        <w:rPr>
          <w:rFonts w:ascii="Times New Roman" w:hAnsi="Times New Roman" w:cs="Times New Roman"/>
          <w:sz w:val="28"/>
          <w:szCs w:val="28"/>
          <w:lang w:val="cs-CZ"/>
        </w:rPr>
        <w:t xml:space="preserve"> високоентропійних </w:t>
      </w:r>
      <w:proofErr w:type="spellStart"/>
      <w:r w:rsidRPr="00F5362B">
        <w:rPr>
          <w:rFonts w:ascii="Times New Roman" w:hAnsi="Times New Roman" w:cs="Times New Roman"/>
          <w:sz w:val="28"/>
          <w:szCs w:val="28"/>
          <w:lang w:val="cs-CZ"/>
        </w:rPr>
        <w:t>сплавів</w:t>
      </w:r>
      <w:proofErr w:type="spellEnd"/>
      <w:r w:rsidRPr="00F5362B">
        <w:rPr>
          <w:rFonts w:ascii="Times New Roman" w:hAnsi="Times New Roman" w:cs="Times New Roman"/>
          <w:sz w:val="28"/>
          <w:szCs w:val="28"/>
          <w:lang w:val="cs-CZ"/>
        </w:rPr>
        <w:t xml:space="preserve"> </w:t>
      </w:r>
      <w:proofErr w:type="spellStart"/>
      <w:r w:rsidRPr="00F5362B">
        <w:rPr>
          <w:rFonts w:ascii="Times New Roman" w:hAnsi="Times New Roman" w:cs="Times New Roman"/>
          <w:sz w:val="28"/>
          <w:szCs w:val="28"/>
          <w:lang w:val="cs-CZ"/>
        </w:rPr>
        <w:t>системи</w:t>
      </w:r>
      <w:proofErr w:type="spellEnd"/>
      <w:r w:rsidRPr="00F5362B">
        <w:rPr>
          <w:rFonts w:ascii="Times New Roman" w:hAnsi="Times New Roman" w:cs="Times New Roman"/>
          <w:sz w:val="28"/>
          <w:szCs w:val="28"/>
          <w:lang w:val="cs-CZ"/>
        </w:rPr>
        <w:t xml:space="preserve"> Al–</w:t>
      </w:r>
      <w:proofErr w:type="spellStart"/>
      <w:r w:rsidRPr="00F5362B">
        <w:rPr>
          <w:rFonts w:ascii="Times New Roman" w:hAnsi="Times New Roman" w:cs="Times New Roman"/>
          <w:sz w:val="28"/>
          <w:szCs w:val="28"/>
          <w:lang w:val="cs-CZ"/>
        </w:rPr>
        <w:t>Cu</w:t>
      </w:r>
      <w:proofErr w:type="spellEnd"/>
      <w:r w:rsidRPr="00F5362B">
        <w:rPr>
          <w:rFonts w:ascii="Times New Roman" w:hAnsi="Times New Roman" w:cs="Times New Roman"/>
          <w:sz w:val="28"/>
          <w:szCs w:val="28"/>
          <w:lang w:val="cs-CZ"/>
        </w:rPr>
        <w:t xml:space="preserve">–Ni–Co–Ti </w:t>
      </w:r>
      <w:proofErr w:type="spellStart"/>
      <w:r w:rsidRPr="00F5362B">
        <w:rPr>
          <w:rFonts w:ascii="Times New Roman" w:hAnsi="Times New Roman" w:cs="Times New Roman"/>
          <w:sz w:val="28"/>
          <w:szCs w:val="28"/>
          <w:lang w:val="cs-CZ"/>
        </w:rPr>
        <w:t>при</w:t>
      </w:r>
      <w:proofErr w:type="spellEnd"/>
      <w:r w:rsidRPr="00F5362B">
        <w:rPr>
          <w:rFonts w:ascii="Times New Roman" w:hAnsi="Times New Roman" w:cs="Times New Roman"/>
          <w:sz w:val="28"/>
          <w:szCs w:val="28"/>
          <w:lang w:val="cs-CZ"/>
        </w:rPr>
        <w:t xml:space="preserve"> 800 K</w:t>
      </w:r>
    </w:p>
    <w:tbl>
      <w:tblPr>
        <w:tblStyle w:val="ae"/>
        <w:tblW w:w="9634" w:type="dxa"/>
        <w:tblLayout w:type="fixed"/>
        <w:tblLook w:val="0420" w:firstRow="1" w:lastRow="0" w:firstColumn="0" w:lastColumn="0" w:noHBand="0" w:noVBand="1"/>
      </w:tblPr>
      <w:tblGrid>
        <w:gridCol w:w="400"/>
        <w:gridCol w:w="2572"/>
        <w:gridCol w:w="1134"/>
        <w:gridCol w:w="1134"/>
        <w:gridCol w:w="851"/>
        <w:gridCol w:w="992"/>
        <w:gridCol w:w="1191"/>
        <w:gridCol w:w="1360"/>
      </w:tblGrid>
      <w:tr w:rsidR="00F5362B" w:rsidRPr="00B3570A" w14:paraId="4FF3E848" w14:textId="77777777" w:rsidTr="00920D4F">
        <w:tc>
          <w:tcPr>
            <w:tcW w:w="400" w:type="dxa"/>
          </w:tcPr>
          <w:p w14:paraId="0EF5C12D" w14:textId="5B22E5B3" w:rsidR="00F5362B" w:rsidRPr="00B3570A" w:rsidRDefault="00F5362B" w:rsidP="00FD58A2">
            <w:pPr>
              <w:rPr>
                <w:rFonts w:ascii="Times New Roman" w:hAnsi="Times New Roman" w:cs="Times New Roman"/>
              </w:rPr>
            </w:pPr>
            <w:r w:rsidRPr="00B3570A">
              <w:rPr>
                <w:rFonts w:ascii="Times New Roman" w:hAnsi="Times New Roman" w:cs="Times New Roman"/>
              </w:rPr>
              <w:t>№</w:t>
            </w:r>
          </w:p>
        </w:tc>
        <w:tc>
          <w:tcPr>
            <w:tcW w:w="2572" w:type="dxa"/>
          </w:tcPr>
          <w:p w14:paraId="0500A229" w14:textId="64D2F22C" w:rsidR="00F5362B" w:rsidRPr="00B3570A" w:rsidRDefault="00F5362B" w:rsidP="00FD58A2">
            <w:pPr>
              <w:rPr>
                <w:rFonts w:ascii="Times New Roman" w:hAnsi="Times New Roman" w:cs="Times New Roman"/>
              </w:rPr>
            </w:pPr>
            <w:r w:rsidRPr="00B3570A">
              <w:rPr>
                <w:rFonts w:ascii="Times New Roman" w:hAnsi="Times New Roman" w:cs="Times New Roman"/>
              </w:rPr>
              <w:t>Склад (атомні частки)</w:t>
            </w:r>
          </w:p>
        </w:tc>
        <w:tc>
          <w:tcPr>
            <w:tcW w:w="1134" w:type="dxa"/>
          </w:tcPr>
          <w:p w14:paraId="0F31DD0B" w14:textId="77777777" w:rsidR="00920D4F" w:rsidRDefault="00F5362B" w:rsidP="00FD58A2">
            <w:pPr>
              <w:rPr>
                <w:rFonts w:ascii="Times New Roman" w:hAnsi="Times New Roman" w:cs="Times New Roman"/>
                <w:lang w:val="ru-RU"/>
              </w:rPr>
            </w:pPr>
            <w:proofErr w:type="spellStart"/>
            <w:r w:rsidRPr="00B3570A">
              <w:rPr>
                <w:rFonts w:ascii="Times New Roman" w:hAnsi="Times New Roman" w:cs="Times New Roman"/>
              </w:rPr>
              <w:t>ΔS</w:t>
            </w:r>
            <w:r w:rsidRPr="00F35D86">
              <w:rPr>
                <w:rFonts w:ascii="Times New Roman" w:hAnsi="Times New Roman" w:cs="Times New Roman"/>
                <w:vertAlign w:val="subscript"/>
              </w:rPr>
              <w:t>mix</w:t>
            </w:r>
            <w:proofErr w:type="spellEnd"/>
            <w:r w:rsidRPr="00B3570A">
              <w:rPr>
                <w:rFonts w:ascii="Times New Roman" w:hAnsi="Times New Roman" w:cs="Times New Roman"/>
              </w:rPr>
              <w:t xml:space="preserve">, </w:t>
            </w:r>
            <w:proofErr w:type="spellStart"/>
            <w:r w:rsidRPr="00B3570A">
              <w:rPr>
                <w:rFonts w:ascii="Times New Roman" w:hAnsi="Times New Roman" w:cs="Times New Roman"/>
              </w:rPr>
              <w:t>Дж</w:t>
            </w:r>
            <w:proofErr w:type="spellEnd"/>
            <w:r w:rsidRPr="00B3570A">
              <w:rPr>
                <w:rFonts w:ascii="Times New Roman" w:hAnsi="Times New Roman" w:cs="Times New Roman"/>
              </w:rPr>
              <w:t>·</w:t>
            </w:r>
          </w:p>
          <w:p w14:paraId="0459A4F6" w14:textId="1840F634" w:rsidR="00F5362B" w:rsidRPr="00B3570A" w:rsidRDefault="00F5362B" w:rsidP="00FD58A2">
            <w:pPr>
              <w:rPr>
                <w:rFonts w:ascii="Times New Roman" w:hAnsi="Times New Roman" w:cs="Times New Roman"/>
              </w:rPr>
            </w:pPr>
            <w:r w:rsidRPr="00B3570A">
              <w:rPr>
                <w:rFonts w:ascii="Times New Roman" w:hAnsi="Times New Roman" w:cs="Times New Roman"/>
              </w:rPr>
              <w:t>моль⁻¹·К⁻¹</w:t>
            </w:r>
          </w:p>
        </w:tc>
        <w:tc>
          <w:tcPr>
            <w:tcW w:w="1134" w:type="dxa"/>
          </w:tcPr>
          <w:p w14:paraId="3447B1B2" w14:textId="77777777" w:rsidR="00920D4F" w:rsidRDefault="00F5362B" w:rsidP="00FD58A2">
            <w:pPr>
              <w:rPr>
                <w:rFonts w:ascii="Times New Roman" w:hAnsi="Times New Roman" w:cs="Times New Roman"/>
                <w:lang w:val="ru-RU"/>
              </w:rPr>
            </w:pPr>
            <w:proofErr w:type="spellStart"/>
            <w:r w:rsidRPr="00B3570A">
              <w:rPr>
                <w:rFonts w:ascii="Times New Roman" w:hAnsi="Times New Roman" w:cs="Times New Roman"/>
              </w:rPr>
              <w:t>ΔG</w:t>
            </w:r>
            <w:r w:rsidRPr="00F35D86">
              <w:rPr>
                <w:rFonts w:ascii="Times New Roman" w:hAnsi="Times New Roman" w:cs="Times New Roman"/>
                <w:vertAlign w:val="subscript"/>
              </w:rPr>
              <w:t>mix</w:t>
            </w:r>
            <w:proofErr w:type="spellEnd"/>
            <w:r w:rsidRPr="00B3570A">
              <w:rPr>
                <w:rFonts w:ascii="Times New Roman" w:hAnsi="Times New Roman" w:cs="Times New Roman"/>
              </w:rPr>
              <w:t>, кДж·</w:t>
            </w:r>
          </w:p>
          <w:p w14:paraId="7E1A2F54" w14:textId="06F9B2A9" w:rsidR="00F5362B" w:rsidRPr="00B3570A" w:rsidRDefault="00F5362B" w:rsidP="00FD58A2">
            <w:pPr>
              <w:rPr>
                <w:rFonts w:ascii="Times New Roman" w:hAnsi="Times New Roman" w:cs="Times New Roman"/>
              </w:rPr>
            </w:pPr>
            <w:r w:rsidRPr="00B3570A">
              <w:rPr>
                <w:rFonts w:ascii="Times New Roman" w:hAnsi="Times New Roman" w:cs="Times New Roman"/>
              </w:rPr>
              <w:t>моль⁻¹</w:t>
            </w:r>
          </w:p>
        </w:tc>
        <w:tc>
          <w:tcPr>
            <w:tcW w:w="851" w:type="dxa"/>
          </w:tcPr>
          <w:p w14:paraId="4D96B209" w14:textId="6CA88A48" w:rsidR="00F5362B" w:rsidRPr="00B3570A" w:rsidRDefault="00F5362B" w:rsidP="00FD58A2">
            <w:pPr>
              <w:rPr>
                <w:rFonts w:ascii="Times New Roman" w:hAnsi="Times New Roman" w:cs="Times New Roman"/>
              </w:rPr>
            </w:pPr>
            <w:r w:rsidRPr="00B3570A">
              <w:rPr>
                <w:rFonts w:ascii="Times New Roman" w:hAnsi="Times New Roman" w:cs="Times New Roman"/>
              </w:rPr>
              <w:t>ΔG</w:t>
            </w:r>
            <w:r w:rsidRPr="00F35D86">
              <w:rPr>
                <w:rFonts w:ascii="Times New Roman" w:hAnsi="Times New Roman" w:cs="Times New Roman"/>
                <w:vertAlign w:val="subscript"/>
              </w:rPr>
              <w:t>H*</w:t>
            </w:r>
            <w:r w:rsidRPr="00B3570A">
              <w:rPr>
                <w:rFonts w:ascii="Times New Roman" w:hAnsi="Times New Roman" w:cs="Times New Roman"/>
              </w:rPr>
              <w:t xml:space="preserve">, </w:t>
            </w:r>
            <w:proofErr w:type="spellStart"/>
            <w:r w:rsidRPr="00B3570A">
              <w:rPr>
                <w:rFonts w:ascii="Times New Roman" w:hAnsi="Times New Roman" w:cs="Times New Roman"/>
              </w:rPr>
              <w:t>еВ</w:t>
            </w:r>
            <w:proofErr w:type="spellEnd"/>
          </w:p>
        </w:tc>
        <w:tc>
          <w:tcPr>
            <w:tcW w:w="992" w:type="dxa"/>
          </w:tcPr>
          <w:p w14:paraId="2938DB50" w14:textId="18CDE6BE" w:rsidR="00F5362B" w:rsidRPr="00B3570A" w:rsidRDefault="00F5362B" w:rsidP="00FD58A2">
            <w:pPr>
              <w:rPr>
                <w:rFonts w:ascii="Times New Roman" w:hAnsi="Times New Roman" w:cs="Times New Roman"/>
              </w:rPr>
            </w:pPr>
            <w:r w:rsidRPr="00B3570A">
              <w:rPr>
                <w:rFonts w:ascii="Times New Roman" w:hAnsi="Times New Roman" w:cs="Times New Roman"/>
              </w:rPr>
              <w:t>ΔG</w:t>
            </w:r>
            <w:r w:rsidRPr="00F35D86">
              <w:rPr>
                <w:rFonts w:ascii="Times New Roman" w:hAnsi="Times New Roman" w:cs="Times New Roman"/>
                <w:vertAlign w:val="subscript"/>
              </w:rPr>
              <w:t>OH*</w:t>
            </w:r>
            <w:r w:rsidRPr="00B3570A">
              <w:rPr>
                <w:rFonts w:ascii="Times New Roman" w:hAnsi="Times New Roman" w:cs="Times New Roman"/>
              </w:rPr>
              <w:t xml:space="preserve">, </w:t>
            </w:r>
            <w:proofErr w:type="spellStart"/>
            <w:r w:rsidRPr="00B3570A">
              <w:rPr>
                <w:rFonts w:ascii="Times New Roman" w:hAnsi="Times New Roman" w:cs="Times New Roman"/>
              </w:rPr>
              <w:t>еВ</w:t>
            </w:r>
            <w:proofErr w:type="spellEnd"/>
          </w:p>
        </w:tc>
        <w:tc>
          <w:tcPr>
            <w:tcW w:w="1191" w:type="dxa"/>
          </w:tcPr>
          <w:p w14:paraId="05424FF4" w14:textId="3C851280" w:rsidR="00F5362B" w:rsidRPr="00B3570A" w:rsidRDefault="00F5362B" w:rsidP="00FD58A2">
            <w:pPr>
              <w:rPr>
                <w:rFonts w:ascii="Times New Roman" w:hAnsi="Times New Roman" w:cs="Times New Roman"/>
              </w:rPr>
            </w:pPr>
            <w:r w:rsidRPr="00B3570A">
              <w:rPr>
                <w:rFonts w:ascii="Times New Roman" w:hAnsi="Times New Roman" w:cs="Times New Roman"/>
              </w:rPr>
              <w:t xml:space="preserve">Прогнозоване η₁₀ </w:t>
            </w:r>
            <w:r w:rsidR="00C420BA">
              <w:rPr>
                <w:rFonts w:ascii="Times New Roman" w:hAnsi="Times New Roman" w:cs="Times New Roman"/>
                <w:lang w:val="ru-RU"/>
              </w:rPr>
              <w:t>РВК</w:t>
            </w:r>
            <w:r w:rsidRPr="00B3570A">
              <w:rPr>
                <w:rFonts w:ascii="Times New Roman" w:hAnsi="Times New Roman" w:cs="Times New Roman"/>
              </w:rPr>
              <w:t xml:space="preserve">, </w:t>
            </w:r>
            <w:proofErr w:type="spellStart"/>
            <w:r w:rsidRPr="00B3570A">
              <w:rPr>
                <w:rFonts w:ascii="Times New Roman" w:hAnsi="Times New Roman" w:cs="Times New Roman"/>
              </w:rPr>
              <w:t>мВ</w:t>
            </w:r>
            <w:proofErr w:type="spellEnd"/>
          </w:p>
        </w:tc>
        <w:tc>
          <w:tcPr>
            <w:tcW w:w="1360" w:type="dxa"/>
          </w:tcPr>
          <w:p w14:paraId="5C01E67B" w14:textId="616E1EE2" w:rsidR="00F5362B" w:rsidRPr="00B3570A" w:rsidRDefault="00F5362B" w:rsidP="00FD58A2">
            <w:pPr>
              <w:rPr>
                <w:rFonts w:ascii="Times New Roman" w:hAnsi="Times New Roman" w:cs="Times New Roman"/>
              </w:rPr>
            </w:pPr>
            <w:r w:rsidRPr="00B3570A">
              <w:rPr>
                <w:rFonts w:ascii="Times New Roman" w:hAnsi="Times New Roman" w:cs="Times New Roman"/>
              </w:rPr>
              <w:t xml:space="preserve">Прогнозоване η₁₀ </w:t>
            </w:r>
            <w:r w:rsidR="00C420BA">
              <w:rPr>
                <w:rFonts w:ascii="Times New Roman" w:hAnsi="Times New Roman" w:cs="Times New Roman"/>
                <w:lang w:val="ru-RU"/>
              </w:rPr>
              <w:t>РВВ</w:t>
            </w:r>
            <w:r w:rsidRPr="00B3570A">
              <w:rPr>
                <w:rFonts w:ascii="Times New Roman" w:hAnsi="Times New Roman" w:cs="Times New Roman"/>
              </w:rPr>
              <w:t xml:space="preserve">, </w:t>
            </w:r>
            <w:proofErr w:type="spellStart"/>
            <w:r w:rsidRPr="00B3570A">
              <w:rPr>
                <w:rFonts w:ascii="Times New Roman" w:hAnsi="Times New Roman" w:cs="Times New Roman"/>
              </w:rPr>
              <w:t>мВ</w:t>
            </w:r>
            <w:proofErr w:type="spellEnd"/>
          </w:p>
        </w:tc>
      </w:tr>
      <w:tr w:rsidR="00B3570A" w:rsidRPr="00B3570A" w14:paraId="0444B4FC" w14:textId="77777777" w:rsidTr="00920D4F">
        <w:tc>
          <w:tcPr>
            <w:tcW w:w="400" w:type="dxa"/>
          </w:tcPr>
          <w:p w14:paraId="3EC79884" w14:textId="5ADFED01" w:rsidR="00F5362B" w:rsidRPr="00B3570A" w:rsidRDefault="00F5362B" w:rsidP="00FD58A2">
            <w:pPr>
              <w:rPr>
                <w:rFonts w:ascii="Times New Roman" w:hAnsi="Times New Roman" w:cs="Times New Roman"/>
              </w:rPr>
            </w:pPr>
            <w:r w:rsidRPr="00B3570A">
              <w:rPr>
                <w:rFonts w:ascii="Times New Roman" w:hAnsi="Times New Roman" w:cs="Times New Roman"/>
              </w:rPr>
              <w:t>1</w:t>
            </w:r>
          </w:p>
        </w:tc>
        <w:tc>
          <w:tcPr>
            <w:tcW w:w="2572" w:type="dxa"/>
          </w:tcPr>
          <w:p w14:paraId="0A32DCCB" w14:textId="5B9427D0" w:rsidR="00F5362B" w:rsidRPr="00B3570A" w:rsidRDefault="00F5362B" w:rsidP="00FD58A2">
            <w:pPr>
              <w:rPr>
                <w:rFonts w:ascii="Times New Roman" w:hAnsi="Times New Roman" w:cs="Times New Roman"/>
              </w:rPr>
            </w:pPr>
            <w:r w:rsidRPr="00B3570A">
              <w:rPr>
                <w:rFonts w:ascii="Times New Roman" w:hAnsi="Times New Roman" w:cs="Times New Roman"/>
              </w:rPr>
              <w:t>Al₀.₂</w:t>
            </w:r>
            <w:proofErr w:type="spellStart"/>
            <w:r w:rsidRPr="00B3570A">
              <w:rPr>
                <w:rFonts w:ascii="Times New Roman" w:hAnsi="Times New Roman" w:cs="Times New Roman"/>
              </w:rPr>
              <w:t>Cu</w:t>
            </w:r>
            <w:proofErr w:type="spellEnd"/>
            <w:r w:rsidRPr="00B3570A">
              <w:rPr>
                <w:rFonts w:ascii="Times New Roman" w:hAnsi="Times New Roman" w:cs="Times New Roman"/>
              </w:rPr>
              <w:t>₀.₂</w:t>
            </w:r>
            <w:proofErr w:type="spellStart"/>
            <w:r w:rsidRPr="00B3570A">
              <w:rPr>
                <w:rFonts w:ascii="Times New Roman" w:hAnsi="Times New Roman" w:cs="Times New Roman"/>
              </w:rPr>
              <w:t>Ni</w:t>
            </w:r>
            <w:proofErr w:type="spellEnd"/>
            <w:r w:rsidRPr="00B3570A">
              <w:rPr>
                <w:rFonts w:ascii="Times New Roman" w:hAnsi="Times New Roman" w:cs="Times New Roman"/>
              </w:rPr>
              <w:t>₀.₂</w:t>
            </w:r>
            <w:proofErr w:type="spellStart"/>
            <w:r w:rsidRPr="00B3570A">
              <w:rPr>
                <w:rFonts w:ascii="Times New Roman" w:hAnsi="Times New Roman" w:cs="Times New Roman"/>
              </w:rPr>
              <w:t>Co</w:t>
            </w:r>
            <w:proofErr w:type="spellEnd"/>
            <w:r w:rsidRPr="00B3570A">
              <w:rPr>
                <w:rFonts w:ascii="Times New Roman" w:hAnsi="Times New Roman" w:cs="Times New Roman"/>
              </w:rPr>
              <w:t>₀.₂</w:t>
            </w:r>
            <w:proofErr w:type="spellStart"/>
            <w:r w:rsidRPr="00B3570A">
              <w:rPr>
                <w:rFonts w:ascii="Times New Roman" w:hAnsi="Times New Roman" w:cs="Times New Roman"/>
              </w:rPr>
              <w:t>Ti</w:t>
            </w:r>
            <w:proofErr w:type="spellEnd"/>
            <w:r w:rsidRPr="00B3570A">
              <w:rPr>
                <w:rFonts w:ascii="Times New Roman" w:hAnsi="Times New Roman" w:cs="Times New Roman"/>
              </w:rPr>
              <w:t>₀.₂ (</w:t>
            </w:r>
            <w:proofErr w:type="spellStart"/>
            <w:r w:rsidRPr="00B3570A">
              <w:rPr>
                <w:rFonts w:ascii="Times New Roman" w:hAnsi="Times New Roman" w:cs="Times New Roman"/>
              </w:rPr>
              <w:t>еквіатомний</w:t>
            </w:r>
            <w:proofErr w:type="spellEnd"/>
            <w:r w:rsidRPr="00B3570A">
              <w:rPr>
                <w:rFonts w:ascii="Times New Roman" w:hAnsi="Times New Roman" w:cs="Times New Roman"/>
              </w:rPr>
              <w:t>)</w:t>
            </w:r>
          </w:p>
        </w:tc>
        <w:tc>
          <w:tcPr>
            <w:tcW w:w="1134" w:type="dxa"/>
          </w:tcPr>
          <w:p w14:paraId="5C4D0D3E" w14:textId="5DC83858" w:rsidR="00F5362B" w:rsidRPr="00B3570A" w:rsidRDefault="00F5362B" w:rsidP="00FD58A2">
            <w:pPr>
              <w:rPr>
                <w:rFonts w:ascii="Times New Roman" w:hAnsi="Times New Roman" w:cs="Times New Roman"/>
              </w:rPr>
            </w:pPr>
            <w:r w:rsidRPr="00B3570A">
              <w:rPr>
                <w:rFonts w:ascii="Times New Roman" w:hAnsi="Times New Roman" w:cs="Times New Roman"/>
              </w:rPr>
              <w:t>13,38</w:t>
            </w:r>
          </w:p>
        </w:tc>
        <w:tc>
          <w:tcPr>
            <w:tcW w:w="1134" w:type="dxa"/>
          </w:tcPr>
          <w:p w14:paraId="1301F7E4" w14:textId="65266361" w:rsidR="00F5362B" w:rsidRPr="00B3570A" w:rsidRDefault="00F5362B" w:rsidP="00FD58A2">
            <w:pPr>
              <w:rPr>
                <w:rFonts w:ascii="Times New Roman" w:hAnsi="Times New Roman" w:cs="Times New Roman"/>
              </w:rPr>
            </w:pPr>
            <w:r w:rsidRPr="00B3570A">
              <w:rPr>
                <w:rFonts w:ascii="Times New Roman" w:hAnsi="Times New Roman" w:cs="Times New Roman"/>
              </w:rPr>
              <w:t>−18,7</w:t>
            </w:r>
          </w:p>
        </w:tc>
        <w:tc>
          <w:tcPr>
            <w:tcW w:w="851" w:type="dxa"/>
          </w:tcPr>
          <w:p w14:paraId="4D8F9CAD" w14:textId="0CBF7129" w:rsidR="00F5362B" w:rsidRPr="00B3570A" w:rsidRDefault="00F5362B" w:rsidP="00FD58A2">
            <w:pPr>
              <w:rPr>
                <w:rFonts w:ascii="Times New Roman" w:hAnsi="Times New Roman" w:cs="Times New Roman"/>
              </w:rPr>
            </w:pPr>
            <w:r w:rsidRPr="00B3570A">
              <w:rPr>
                <w:rFonts w:ascii="Times New Roman" w:hAnsi="Times New Roman" w:cs="Times New Roman"/>
              </w:rPr>
              <w:t>−0,08</w:t>
            </w:r>
          </w:p>
        </w:tc>
        <w:tc>
          <w:tcPr>
            <w:tcW w:w="992" w:type="dxa"/>
          </w:tcPr>
          <w:p w14:paraId="197A7131" w14:textId="2764DB1B" w:rsidR="00F5362B" w:rsidRPr="00B3570A" w:rsidRDefault="00F5362B" w:rsidP="00FD58A2">
            <w:pPr>
              <w:rPr>
                <w:rFonts w:ascii="Times New Roman" w:hAnsi="Times New Roman" w:cs="Times New Roman"/>
              </w:rPr>
            </w:pPr>
            <w:r w:rsidRPr="00B3570A">
              <w:rPr>
                <w:rFonts w:ascii="Times New Roman" w:hAnsi="Times New Roman" w:cs="Times New Roman"/>
              </w:rPr>
              <w:t>0,92</w:t>
            </w:r>
          </w:p>
        </w:tc>
        <w:tc>
          <w:tcPr>
            <w:tcW w:w="1191" w:type="dxa"/>
          </w:tcPr>
          <w:p w14:paraId="09551E33" w14:textId="633670E6" w:rsidR="00F5362B" w:rsidRPr="00B3570A" w:rsidRDefault="00F5362B" w:rsidP="00FD58A2">
            <w:pPr>
              <w:rPr>
                <w:rFonts w:ascii="Times New Roman" w:hAnsi="Times New Roman" w:cs="Times New Roman"/>
              </w:rPr>
            </w:pPr>
            <w:r w:rsidRPr="00B3570A">
              <w:rPr>
                <w:rFonts w:ascii="Times New Roman" w:hAnsi="Times New Roman" w:cs="Times New Roman"/>
              </w:rPr>
              <w:t>245</w:t>
            </w:r>
          </w:p>
        </w:tc>
        <w:tc>
          <w:tcPr>
            <w:tcW w:w="1360" w:type="dxa"/>
          </w:tcPr>
          <w:p w14:paraId="21744340" w14:textId="3A961C72" w:rsidR="00F5362B" w:rsidRPr="00B3570A" w:rsidRDefault="00F5362B" w:rsidP="00FD58A2">
            <w:pPr>
              <w:rPr>
                <w:rFonts w:ascii="Times New Roman" w:hAnsi="Times New Roman" w:cs="Times New Roman"/>
              </w:rPr>
            </w:pPr>
            <w:r w:rsidRPr="00B3570A">
              <w:rPr>
                <w:rFonts w:ascii="Times New Roman" w:hAnsi="Times New Roman" w:cs="Times New Roman"/>
              </w:rPr>
              <w:t>130</w:t>
            </w:r>
          </w:p>
        </w:tc>
      </w:tr>
      <w:tr w:rsidR="00B3570A" w:rsidRPr="00B3570A" w14:paraId="55A5278F" w14:textId="77777777" w:rsidTr="00920D4F">
        <w:tc>
          <w:tcPr>
            <w:tcW w:w="400" w:type="dxa"/>
          </w:tcPr>
          <w:p w14:paraId="3BA06E34" w14:textId="3BEB8705" w:rsidR="00F5362B" w:rsidRPr="00B3570A" w:rsidRDefault="00F5362B" w:rsidP="00FD58A2">
            <w:pPr>
              <w:rPr>
                <w:rFonts w:ascii="Times New Roman" w:hAnsi="Times New Roman" w:cs="Times New Roman"/>
              </w:rPr>
            </w:pPr>
            <w:r w:rsidRPr="00B3570A">
              <w:rPr>
                <w:rFonts w:ascii="Times New Roman" w:hAnsi="Times New Roman" w:cs="Times New Roman"/>
              </w:rPr>
              <w:t>2</w:t>
            </w:r>
          </w:p>
        </w:tc>
        <w:tc>
          <w:tcPr>
            <w:tcW w:w="2572" w:type="dxa"/>
          </w:tcPr>
          <w:p w14:paraId="14B09197" w14:textId="55A79E23" w:rsidR="00F5362B" w:rsidRPr="00B3570A" w:rsidRDefault="00F5362B" w:rsidP="00FD58A2">
            <w:pPr>
              <w:rPr>
                <w:rFonts w:ascii="Times New Roman" w:hAnsi="Times New Roman" w:cs="Times New Roman"/>
              </w:rPr>
            </w:pPr>
            <w:r w:rsidRPr="00B3570A">
              <w:rPr>
                <w:rFonts w:ascii="Times New Roman" w:hAnsi="Times New Roman" w:cs="Times New Roman"/>
              </w:rPr>
              <w:t>Al₀.₂</w:t>
            </w:r>
            <w:proofErr w:type="spellStart"/>
            <w:r w:rsidRPr="00B3570A">
              <w:rPr>
                <w:rFonts w:ascii="Times New Roman" w:hAnsi="Times New Roman" w:cs="Times New Roman"/>
              </w:rPr>
              <w:t>Cu</w:t>
            </w:r>
            <w:proofErr w:type="spellEnd"/>
            <w:r w:rsidRPr="00B3570A">
              <w:rPr>
                <w:rFonts w:ascii="Times New Roman" w:hAnsi="Times New Roman" w:cs="Times New Roman"/>
              </w:rPr>
              <w:t>₀.₂₅</w:t>
            </w:r>
            <w:proofErr w:type="spellStart"/>
            <w:r w:rsidRPr="00B3570A">
              <w:rPr>
                <w:rFonts w:ascii="Times New Roman" w:hAnsi="Times New Roman" w:cs="Times New Roman"/>
              </w:rPr>
              <w:t>Ni</w:t>
            </w:r>
            <w:proofErr w:type="spellEnd"/>
            <w:r w:rsidRPr="00B3570A">
              <w:rPr>
                <w:rFonts w:ascii="Times New Roman" w:hAnsi="Times New Roman" w:cs="Times New Roman"/>
              </w:rPr>
              <w:t>₀.₂</w:t>
            </w:r>
            <w:proofErr w:type="spellStart"/>
            <w:r w:rsidRPr="00B3570A">
              <w:rPr>
                <w:rFonts w:ascii="Times New Roman" w:hAnsi="Times New Roman" w:cs="Times New Roman"/>
              </w:rPr>
              <w:t>Co</w:t>
            </w:r>
            <w:proofErr w:type="spellEnd"/>
            <w:r w:rsidRPr="00B3570A">
              <w:rPr>
                <w:rFonts w:ascii="Times New Roman" w:hAnsi="Times New Roman" w:cs="Times New Roman"/>
              </w:rPr>
              <w:t>₀.₂</w:t>
            </w:r>
            <w:proofErr w:type="spellStart"/>
            <w:r w:rsidRPr="00B3570A">
              <w:rPr>
                <w:rFonts w:ascii="Times New Roman" w:hAnsi="Times New Roman" w:cs="Times New Roman"/>
              </w:rPr>
              <w:t>Ti</w:t>
            </w:r>
            <w:proofErr w:type="spellEnd"/>
            <w:r w:rsidRPr="00B3570A">
              <w:rPr>
                <w:rFonts w:ascii="Times New Roman" w:hAnsi="Times New Roman" w:cs="Times New Roman"/>
              </w:rPr>
              <w:t xml:space="preserve">₀.₁₅ (оптимальний </w:t>
            </w:r>
            <w:proofErr w:type="spellStart"/>
            <w:r w:rsidRPr="00B3570A">
              <w:rPr>
                <w:rFonts w:ascii="Times New Roman" w:hAnsi="Times New Roman" w:cs="Times New Roman"/>
              </w:rPr>
              <w:t>Cu</w:t>
            </w:r>
            <w:proofErr w:type="spellEnd"/>
            <w:r w:rsidRPr="00B3570A">
              <w:rPr>
                <w:rFonts w:ascii="Times New Roman" w:hAnsi="Times New Roman" w:cs="Times New Roman"/>
              </w:rPr>
              <w:t>)</w:t>
            </w:r>
          </w:p>
        </w:tc>
        <w:tc>
          <w:tcPr>
            <w:tcW w:w="1134" w:type="dxa"/>
          </w:tcPr>
          <w:p w14:paraId="54CE1962" w14:textId="1A6A7DF5" w:rsidR="00F5362B" w:rsidRPr="00B3570A" w:rsidRDefault="00F5362B" w:rsidP="00FD58A2">
            <w:pPr>
              <w:rPr>
                <w:rFonts w:ascii="Times New Roman" w:hAnsi="Times New Roman" w:cs="Times New Roman"/>
              </w:rPr>
            </w:pPr>
            <w:r w:rsidRPr="00B3570A">
              <w:rPr>
                <w:rFonts w:ascii="Times New Roman" w:hAnsi="Times New Roman" w:cs="Times New Roman"/>
              </w:rPr>
              <w:t>13,40</w:t>
            </w:r>
          </w:p>
        </w:tc>
        <w:tc>
          <w:tcPr>
            <w:tcW w:w="1134" w:type="dxa"/>
          </w:tcPr>
          <w:p w14:paraId="01B0A20B" w14:textId="026EE04C" w:rsidR="00F5362B" w:rsidRPr="00B3570A" w:rsidRDefault="00F5362B" w:rsidP="00FD58A2">
            <w:pPr>
              <w:rPr>
                <w:rFonts w:ascii="Times New Roman" w:hAnsi="Times New Roman" w:cs="Times New Roman"/>
              </w:rPr>
            </w:pPr>
            <w:r w:rsidRPr="00B3570A">
              <w:rPr>
                <w:rFonts w:ascii="Times New Roman" w:hAnsi="Times New Roman" w:cs="Times New Roman"/>
              </w:rPr>
              <w:t>−19,4</w:t>
            </w:r>
          </w:p>
        </w:tc>
        <w:tc>
          <w:tcPr>
            <w:tcW w:w="851" w:type="dxa"/>
          </w:tcPr>
          <w:p w14:paraId="70452083" w14:textId="729F713D" w:rsidR="00F5362B" w:rsidRPr="00B3570A" w:rsidRDefault="00F5362B" w:rsidP="00FD58A2">
            <w:pPr>
              <w:rPr>
                <w:rFonts w:ascii="Times New Roman" w:hAnsi="Times New Roman" w:cs="Times New Roman"/>
              </w:rPr>
            </w:pPr>
            <w:r w:rsidRPr="00B3570A">
              <w:rPr>
                <w:rFonts w:ascii="Times New Roman" w:hAnsi="Times New Roman" w:cs="Times New Roman"/>
              </w:rPr>
              <w:t>−0,05</w:t>
            </w:r>
          </w:p>
        </w:tc>
        <w:tc>
          <w:tcPr>
            <w:tcW w:w="992" w:type="dxa"/>
          </w:tcPr>
          <w:p w14:paraId="26FD3B5A" w14:textId="69C822C0" w:rsidR="00F5362B" w:rsidRPr="00B3570A" w:rsidRDefault="00F5362B" w:rsidP="00FD58A2">
            <w:pPr>
              <w:rPr>
                <w:rFonts w:ascii="Times New Roman" w:hAnsi="Times New Roman" w:cs="Times New Roman"/>
              </w:rPr>
            </w:pPr>
            <w:r w:rsidRPr="00B3570A">
              <w:rPr>
                <w:rFonts w:ascii="Times New Roman" w:hAnsi="Times New Roman" w:cs="Times New Roman"/>
              </w:rPr>
              <w:t>0,85</w:t>
            </w:r>
          </w:p>
        </w:tc>
        <w:tc>
          <w:tcPr>
            <w:tcW w:w="1191" w:type="dxa"/>
          </w:tcPr>
          <w:p w14:paraId="5BDABC8B" w14:textId="3DEA1EC1" w:rsidR="00F5362B" w:rsidRPr="00B3570A" w:rsidRDefault="00F5362B" w:rsidP="00FD58A2">
            <w:pPr>
              <w:rPr>
                <w:rFonts w:ascii="Times New Roman" w:hAnsi="Times New Roman" w:cs="Times New Roman"/>
              </w:rPr>
            </w:pPr>
            <w:r w:rsidRPr="00B3570A">
              <w:rPr>
                <w:rFonts w:ascii="Times New Roman" w:hAnsi="Times New Roman" w:cs="Times New Roman"/>
              </w:rPr>
              <w:t>220</w:t>
            </w:r>
          </w:p>
        </w:tc>
        <w:tc>
          <w:tcPr>
            <w:tcW w:w="1360" w:type="dxa"/>
          </w:tcPr>
          <w:p w14:paraId="717FF9F5" w14:textId="59AAA761" w:rsidR="00F5362B" w:rsidRPr="00B3570A" w:rsidRDefault="00F5362B" w:rsidP="00FD58A2">
            <w:pPr>
              <w:rPr>
                <w:rFonts w:ascii="Times New Roman" w:hAnsi="Times New Roman" w:cs="Times New Roman"/>
              </w:rPr>
            </w:pPr>
            <w:r w:rsidRPr="00B3570A">
              <w:rPr>
                <w:rFonts w:ascii="Times New Roman" w:hAnsi="Times New Roman" w:cs="Times New Roman"/>
              </w:rPr>
              <w:t>100</w:t>
            </w:r>
          </w:p>
        </w:tc>
      </w:tr>
      <w:tr w:rsidR="00F5362B" w:rsidRPr="00B3570A" w14:paraId="791D0EE7" w14:textId="77777777" w:rsidTr="00920D4F">
        <w:tc>
          <w:tcPr>
            <w:tcW w:w="400" w:type="dxa"/>
          </w:tcPr>
          <w:p w14:paraId="1FCBE9A9" w14:textId="6AD1A6B5" w:rsidR="00F5362B" w:rsidRPr="00B3570A" w:rsidRDefault="00F5362B" w:rsidP="00FD58A2">
            <w:pPr>
              <w:rPr>
                <w:rFonts w:ascii="Times New Roman" w:hAnsi="Times New Roman" w:cs="Times New Roman"/>
              </w:rPr>
            </w:pPr>
            <w:r w:rsidRPr="00B3570A">
              <w:rPr>
                <w:rFonts w:ascii="Times New Roman" w:hAnsi="Times New Roman" w:cs="Times New Roman"/>
              </w:rPr>
              <w:t>3</w:t>
            </w:r>
          </w:p>
        </w:tc>
        <w:tc>
          <w:tcPr>
            <w:tcW w:w="2572" w:type="dxa"/>
          </w:tcPr>
          <w:p w14:paraId="6CCFC15F" w14:textId="07F55216" w:rsidR="00F5362B" w:rsidRPr="00B3570A" w:rsidRDefault="00F5362B" w:rsidP="00FD58A2">
            <w:pPr>
              <w:rPr>
                <w:rFonts w:ascii="Times New Roman" w:hAnsi="Times New Roman" w:cs="Times New Roman"/>
              </w:rPr>
            </w:pPr>
            <w:r w:rsidRPr="00B3570A">
              <w:rPr>
                <w:rFonts w:ascii="Times New Roman" w:hAnsi="Times New Roman" w:cs="Times New Roman"/>
              </w:rPr>
              <w:t>Al₀.₂₅</w:t>
            </w:r>
            <w:proofErr w:type="spellStart"/>
            <w:r w:rsidRPr="00B3570A">
              <w:rPr>
                <w:rFonts w:ascii="Times New Roman" w:hAnsi="Times New Roman" w:cs="Times New Roman"/>
              </w:rPr>
              <w:t>Cu</w:t>
            </w:r>
            <w:proofErr w:type="spellEnd"/>
            <w:r w:rsidRPr="00B3570A">
              <w:rPr>
                <w:rFonts w:ascii="Times New Roman" w:hAnsi="Times New Roman" w:cs="Times New Roman"/>
              </w:rPr>
              <w:t>₀.₁₅</w:t>
            </w:r>
            <w:proofErr w:type="spellStart"/>
            <w:r w:rsidRPr="00B3570A">
              <w:rPr>
                <w:rFonts w:ascii="Times New Roman" w:hAnsi="Times New Roman" w:cs="Times New Roman"/>
              </w:rPr>
              <w:t>Ni</w:t>
            </w:r>
            <w:proofErr w:type="spellEnd"/>
            <w:r w:rsidRPr="00B3570A">
              <w:rPr>
                <w:rFonts w:ascii="Times New Roman" w:hAnsi="Times New Roman" w:cs="Times New Roman"/>
              </w:rPr>
              <w:t>₀.₂</w:t>
            </w:r>
            <w:proofErr w:type="spellStart"/>
            <w:r w:rsidRPr="00B3570A">
              <w:rPr>
                <w:rFonts w:ascii="Times New Roman" w:hAnsi="Times New Roman" w:cs="Times New Roman"/>
              </w:rPr>
              <w:t>Co</w:t>
            </w:r>
            <w:proofErr w:type="spellEnd"/>
            <w:r w:rsidRPr="00B3570A">
              <w:rPr>
                <w:rFonts w:ascii="Times New Roman" w:hAnsi="Times New Roman" w:cs="Times New Roman"/>
              </w:rPr>
              <w:t>₀.₂</w:t>
            </w:r>
            <w:proofErr w:type="spellStart"/>
            <w:r w:rsidRPr="00B3570A">
              <w:rPr>
                <w:rFonts w:ascii="Times New Roman" w:hAnsi="Times New Roman" w:cs="Times New Roman"/>
              </w:rPr>
              <w:t>Ti</w:t>
            </w:r>
            <w:proofErr w:type="spellEnd"/>
            <w:r w:rsidRPr="00B3570A">
              <w:rPr>
                <w:rFonts w:ascii="Times New Roman" w:hAnsi="Times New Roman" w:cs="Times New Roman"/>
              </w:rPr>
              <w:t xml:space="preserve">₀.₂ (зменшений </w:t>
            </w:r>
            <w:proofErr w:type="spellStart"/>
            <w:r w:rsidRPr="00B3570A">
              <w:rPr>
                <w:rFonts w:ascii="Times New Roman" w:hAnsi="Times New Roman" w:cs="Times New Roman"/>
              </w:rPr>
              <w:t>Cu</w:t>
            </w:r>
            <w:proofErr w:type="spellEnd"/>
            <w:r w:rsidRPr="00B3570A">
              <w:rPr>
                <w:rFonts w:ascii="Times New Roman" w:hAnsi="Times New Roman" w:cs="Times New Roman"/>
              </w:rPr>
              <w:t>)</w:t>
            </w:r>
          </w:p>
        </w:tc>
        <w:tc>
          <w:tcPr>
            <w:tcW w:w="1134" w:type="dxa"/>
          </w:tcPr>
          <w:p w14:paraId="793A5690" w14:textId="695AD1DC" w:rsidR="00F5362B" w:rsidRPr="00B3570A" w:rsidRDefault="00F5362B" w:rsidP="00FD58A2">
            <w:pPr>
              <w:rPr>
                <w:rFonts w:ascii="Times New Roman" w:hAnsi="Times New Roman" w:cs="Times New Roman"/>
              </w:rPr>
            </w:pPr>
            <w:r w:rsidRPr="00B3570A">
              <w:rPr>
                <w:rFonts w:ascii="Times New Roman" w:hAnsi="Times New Roman" w:cs="Times New Roman"/>
              </w:rPr>
              <w:t>13,32</w:t>
            </w:r>
          </w:p>
        </w:tc>
        <w:tc>
          <w:tcPr>
            <w:tcW w:w="1134" w:type="dxa"/>
          </w:tcPr>
          <w:p w14:paraId="4E17D8A9" w14:textId="5C31C3C8" w:rsidR="00F5362B" w:rsidRPr="00B3570A" w:rsidRDefault="00F5362B" w:rsidP="00FD58A2">
            <w:pPr>
              <w:rPr>
                <w:rFonts w:ascii="Times New Roman" w:hAnsi="Times New Roman" w:cs="Times New Roman"/>
              </w:rPr>
            </w:pPr>
            <w:r w:rsidRPr="00B3570A">
              <w:rPr>
                <w:rFonts w:ascii="Times New Roman" w:hAnsi="Times New Roman" w:cs="Times New Roman"/>
              </w:rPr>
              <w:t>−17,9</w:t>
            </w:r>
          </w:p>
        </w:tc>
        <w:tc>
          <w:tcPr>
            <w:tcW w:w="851" w:type="dxa"/>
          </w:tcPr>
          <w:p w14:paraId="03DF9919" w14:textId="7C30A7D8" w:rsidR="00F5362B" w:rsidRPr="00B3570A" w:rsidRDefault="00F5362B" w:rsidP="00FD58A2">
            <w:pPr>
              <w:rPr>
                <w:rFonts w:ascii="Times New Roman" w:hAnsi="Times New Roman" w:cs="Times New Roman"/>
              </w:rPr>
            </w:pPr>
            <w:r w:rsidRPr="00B3570A">
              <w:rPr>
                <w:rFonts w:ascii="Times New Roman" w:hAnsi="Times New Roman" w:cs="Times New Roman"/>
              </w:rPr>
              <w:t>−0,12</w:t>
            </w:r>
          </w:p>
        </w:tc>
        <w:tc>
          <w:tcPr>
            <w:tcW w:w="992" w:type="dxa"/>
          </w:tcPr>
          <w:p w14:paraId="3401156C" w14:textId="71A401A7" w:rsidR="00F5362B" w:rsidRPr="00B3570A" w:rsidRDefault="00F5362B" w:rsidP="00FD58A2">
            <w:pPr>
              <w:rPr>
                <w:rFonts w:ascii="Times New Roman" w:hAnsi="Times New Roman" w:cs="Times New Roman"/>
              </w:rPr>
            </w:pPr>
            <w:r w:rsidRPr="00B3570A">
              <w:rPr>
                <w:rFonts w:ascii="Times New Roman" w:hAnsi="Times New Roman" w:cs="Times New Roman"/>
              </w:rPr>
              <w:t>1,05</w:t>
            </w:r>
          </w:p>
        </w:tc>
        <w:tc>
          <w:tcPr>
            <w:tcW w:w="1191" w:type="dxa"/>
          </w:tcPr>
          <w:p w14:paraId="289F92B3" w14:textId="3BE04AFF" w:rsidR="00F5362B" w:rsidRPr="00B3570A" w:rsidRDefault="00F5362B" w:rsidP="00FD58A2">
            <w:pPr>
              <w:rPr>
                <w:rFonts w:ascii="Times New Roman" w:hAnsi="Times New Roman" w:cs="Times New Roman"/>
              </w:rPr>
            </w:pPr>
            <w:r w:rsidRPr="00B3570A">
              <w:rPr>
                <w:rFonts w:ascii="Times New Roman" w:hAnsi="Times New Roman" w:cs="Times New Roman"/>
              </w:rPr>
              <w:t>280</w:t>
            </w:r>
          </w:p>
        </w:tc>
        <w:tc>
          <w:tcPr>
            <w:tcW w:w="1360" w:type="dxa"/>
          </w:tcPr>
          <w:p w14:paraId="0CCB94ED" w14:textId="26A9DEB2" w:rsidR="00F5362B" w:rsidRPr="00B3570A" w:rsidRDefault="00F5362B" w:rsidP="00FD58A2">
            <w:pPr>
              <w:rPr>
                <w:rFonts w:ascii="Times New Roman" w:hAnsi="Times New Roman" w:cs="Times New Roman"/>
              </w:rPr>
            </w:pPr>
            <w:r w:rsidRPr="00B3570A">
              <w:rPr>
                <w:rFonts w:ascii="Times New Roman" w:hAnsi="Times New Roman" w:cs="Times New Roman"/>
              </w:rPr>
              <w:t>160</w:t>
            </w:r>
          </w:p>
        </w:tc>
      </w:tr>
      <w:tr w:rsidR="00F5362B" w:rsidRPr="00B3570A" w14:paraId="2042F873" w14:textId="77777777" w:rsidTr="00920D4F">
        <w:tc>
          <w:tcPr>
            <w:tcW w:w="400" w:type="dxa"/>
          </w:tcPr>
          <w:p w14:paraId="42F66543" w14:textId="44420A66" w:rsidR="00F5362B" w:rsidRPr="00B3570A" w:rsidRDefault="00F5362B" w:rsidP="00FD58A2">
            <w:pPr>
              <w:rPr>
                <w:rFonts w:ascii="Times New Roman" w:hAnsi="Times New Roman" w:cs="Times New Roman"/>
              </w:rPr>
            </w:pPr>
            <w:r w:rsidRPr="00B3570A">
              <w:rPr>
                <w:rFonts w:ascii="Times New Roman" w:hAnsi="Times New Roman" w:cs="Times New Roman"/>
              </w:rPr>
              <w:t>4</w:t>
            </w:r>
          </w:p>
        </w:tc>
        <w:tc>
          <w:tcPr>
            <w:tcW w:w="2572" w:type="dxa"/>
          </w:tcPr>
          <w:p w14:paraId="01978A3E" w14:textId="3495D4DB" w:rsidR="00F5362B" w:rsidRPr="00B3570A" w:rsidRDefault="00F5362B" w:rsidP="00FD58A2">
            <w:pPr>
              <w:rPr>
                <w:rFonts w:ascii="Times New Roman" w:hAnsi="Times New Roman" w:cs="Times New Roman"/>
              </w:rPr>
            </w:pPr>
            <w:r w:rsidRPr="00B3570A">
              <w:rPr>
                <w:rFonts w:ascii="Times New Roman" w:hAnsi="Times New Roman" w:cs="Times New Roman"/>
              </w:rPr>
              <w:t>Al₀.₁₅</w:t>
            </w:r>
            <w:proofErr w:type="spellStart"/>
            <w:r w:rsidRPr="00B3570A">
              <w:rPr>
                <w:rFonts w:ascii="Times New Roman" w:hAnsi="Times New Roman" w:cs="Times New Roman"/>
              </w:rPr>
              <w:t>Cu</w:t>
            </w:r>
            <w:proofErr w:type="spellEnd"/>
            <w:r w:rsidRPr="00B3570A">
              <w:rPr>
                <w:rFonts w:ascii="Times New Roman" w:hAnsi="Times New Roman" w:cs="Times New Roman"/>
              </w:rPr>
              <w:t>₀.₃</w:t>
            </w:r>
            <w:proofErr w:type="spellStart"/>
            <w:r w:rsidRPr="00B3570A">
              <w:rPr>
                <w:rFonts w:ascii="Times New Roman" w:hAnsi="Times New Roman" w:cs="Times New Roman"/>
              </w:rPr>
              <w:t>Ni</w:t>
            </w:r>
            <w:proofErr w:type="spellEnd"/>
            <w:r w:rsidRPr="00B3570A">
              <w:rPr>
                <w:rFonts w:ascii="Times New Roman" w:hAnsi="Times New Roman" w:cs="Times New Roman"/>
              </w:rPr>
              <w:t>₀.₂</w:t>
            </w:r>
            <w:proofErr w:type="spellStart"/>
            <w:r w:rsidRPr="00B3570A">
              <w:rPr>
                <w:rFonts w:ascii="Times New Roman" w:hAnsi="Times New Roman" w:cs="Times New Roman"/>
              </w:rPr>
              <w:t>Co</w:t>
            </w:r>
            <w:proofErr w:type="spellEnd"/>
            <w:r w:rsidRPr="00B3570A">
              <w:rPr>
                <w:rFonts w:ascii="Times New Roman" w:hAnsi="Times New Roman" w:cs="Times New Roman"/>
              </w:rPr>
              <w:t>₀.₂</w:t>
            </w:r>
            <w:proofErr w:type="spellStart"/>
            <w:r w:rsidRPr="00B3570A">
              <w:rPr>
                <w:rFonts w:ascii="Times New Roman" w:hAnsi="Times New Roman" w:cs="Times New Roman"/>
              </w:rPr>
              <w:t>Ti</w:t>
            </w:r>
            <w:proofErr w:type="spellEnd"/>
            <w:r w:rsidRPr="00B3570A">
              <w:rPr>
                <w:rFonts w:ascii="Times New Roman" w:hAnsi="Times New Roman" w:cs="Times New Roman"/>
              </w:rPr>
              <w:t xml:space="preserve">₀.₁₅ (надлишок </w:t>
            </w:r>
            <w:proofErr w:type="spellStart"/>
            <w:r w:rsidRPr="00B3570A">
              <w:rPr>
                <w:rFonts w:ascii="Times New Roman" w:hAnsi="Times New Roman" w:cs="Times New Roman"/>
              </w:rPr>
              <w:t>Cu</w:t>
            </w:r>
            <w:proofErr w:type="spellEnd"/>
            <w:r w:rsidRPr="00B3570A">
              <w:rPr>
                <w:rFonts w:ascii="Times New Roman" w:hAnsi="Times New Roman" w:cs="Times New Roman"/>
              </w:rPr>
              <w:t>)</w:t>
            </w:r>
          </w:p>
        </w:tc>
        <w:tc>
          <w:tcPr>
            <w:tcW w:w="1134" w:type="dxa"/>
          </w:tcPr>
          <w:p w14:paraId="2D9F2A44" w14:textId="73139B50" w:rsidR="00F5362B" w:rsidRPr="00B3570A" w:rsidRDefault="00F5362B" w:rsidP="00FD58A2">
            <w:pPr>
              <w:rPr>
                <w:rFonts w:ascii="Times New Roman" w:hAnsi="Times New Roman" w:cs="Times New Roman"/>
              </w:rPr>
            </w:pPr>
            <w:r w:rsidRPr="00B3570A">
              <w:rPr>
                <w:rFonts w:ascii="Times New Roman" w:hAnsi="Times New Roman" w:cs="Times New Roman"/>
              </w:rPr>
              <w:t>13,37</w:t>
            </w:r>
          </w:p>
        </w:tc>
        <w:tc>
          <w:tcPr>
            <w:tcW w:w="1134" w:type="dxa"/>
          </w:tcPr>
          <w:p w14:paraId="4E253FF4" w14:textId="523A5063" w:rsidR="00F5362B" w:rsidRPr="00B3570A" w:rsidRDefault="00F5362B" w:rsidP="00FD58A2">
            <w:pPr>
              <w:rPr>
                <w:rFonts w:ascii="Times New Roman" w:hAnsi="Times New Roman" w:cs="Times New Roman"/>
              </w:rPr>
            </w:pPr>
            <w:r w:rsidRPr="00B3570A">
              <w:rPr>
                <w:rFonts w:ascii="Times New Roman" w:hAnsi="Times New Roman" w:cs="Times New Roman"/>
              </w:rPr>
              <w:t>−18,2</w:t>
            </w:r>
          </w:p>
        </w:tc>
        <w:tc>
          <w:tcPr>
            <w:tcW w:w="851" w:type="dxa"/>
          </w:tcPr>
          <w:p w14:paraId="06136366" w14:textId="222AB76A" w:rsidR="00F5362B" w:rsidRPr="00B3570A" w:rsidRDefault="00F5362B" w:rsidP="00FD58A2">
            <w:pPr>
              <w:rPr>
                <w:rFonts w:ascii="Times New Roman" w:hAnsi="Times New Roman" w:cs="Times New Roman"/>
              </w:rPr>
            </w:pPr>
            <w:r w:rsidRPr="00B3570A">
              <w:rPr>
                <w:rFonts w:ascii="Times New Roman" w:hAnsi="Times New Roman" w:cs="Times New Roman"/>
              </w:rPr>
              <w:t>−0,03</w:t>
            </w:r>
          </w:p>
        </w:tc>
        <w:tc>
          <w:tcPr>
            <w:tcW w:w="992" w:type="dxa"/>
          </w:tcPr>
          <w:p w14:paraId="30D9037E" w14:textId="5BCB21FE" w:rsidR="00F5362B" w:rsidRPr="00B3570A" w:rsidRDefault="00F5362B" w:rsidP="00FD58A2">
            <w:pPr>
              <w:rPr>
                <w:rFonts w:ascii="Times New Roman" w:hAnsi="Times New Roman" w:cs="Times New Roman"/>
              </w:rPr>
            </w:pPr>
            <w:r w:rsidRPr="00B3570A">
              <w:rPr>
                <w:rFonts w:ascii="Times New Roman" w:hAnsi="Times New Roman" w:cs="Times New Roman"/>
              </w:rPr>
              <w:t>0,88</w:t>
            </w:r>
          </w:p>
        </w:tc>
        <w:tc>
          <w:tcPr>
            <w:tcW w:w="1191" w:type="dxa"/>
          </w:tcPr>
          <w:p w14:paraId="1067BE89" w14:textId="1AE3E7DD" w:rsidR="00F5362B" w:rsidRPr="00B3570A" w:rsidRDefault="00F5362B" w:rsidP="00FD58A2">
            <w:pPr>
              <w:rPr>
                <w:rFonts w:ascii="Times New Roman" w:hAnsi="Times New Roman" w:cs="Times New Roman"/>
              </w:rPr>
            </w:pPr>
            <w:r w:rsidRPr="00B3570A">
              <w:rPr>
                <w:rFonts w:ascii="Times New Roman" w:hAnsi="Times New Roman" w:cs="Times New Roman"/>
              </w:rPr>
              <w:t>235</w:t>
            </w:r>
          </w:p>
        </w:tc>
        <w:tc>
          <w:tcPr>
            <w:tcW w:w="1360" w:type="dxa"/>
          </w:tcPr>
          <w:p w14:paraId="7705455D" w14:textId="3442D3EA" w:rsidR="00F5362B" w:rsidRPr="00B3570A" w:rsidRDefault="00F5362B" w:rsidP="00FD58A2">
            <w:pPr>
              <w:rPr>
                <w:rFonts w:ascii="Times New Roman" w:hAnsi="Times New Roman" w:cs="Times New Roman"/>
              </w:rPr>
            </w:pPr>
            <w:r w:rsidRPr="00B3570A">
              <w:rPr>
                <w:rFonts w:ascii="Times New Roman" w:hAnsi="Times New Roman" w:cs="Times New Roman"/>
              </w:rPr>
              <w:t>90</w:t>
            </w:r>
          </w:p>
        </w:tc>
      </w:tr>
      <w:tr w:rsidR="00F5362B" w:rsidRPr="00B3570A" w14:paraId="3EC005F3" w14:textId="77777777" w:rsidTr="00920D4F">
        <w:tc>
          <w:tcPr>
            <w:tcW w:w="400" w:type="dxa"/>
          </w:tcPr>
          <w:p w14:paraId="05C1C218" w14:textId="67B108FA" w:rsidR="00F5362B" w:rsidRPr="00B3570A" w:rsidRDefault="00F5362B" w:rsidP="00FD58A2">
            <w:pPr>
              <w:rPr>
                <w:rFonts w:ascii="Times New Roman" w:hAnsi="Times New Roman" w:cs="Times New Roman"/>
              </w:rPr>
            </w:pPr>
            <w:r w:rsidRPr="00B3570A">
              <w:rPr>
                <w:rFonts w:ascii="Times New Roman" w:hAnsi="Times New Roman" w:cs="Times New Roman"/>
              </w:rPr>
              <w:t>5</w:t>
            </w:r>
          </w:p>
        </w:tc>
        <w:tc>
          <w:tcPr>
            <w:tcW w:w="2572" w:type="dxa"/>
          </w:tcPr>
          <w:p w14:paraId="753FB9FA" w14:textId="0DB24686" w:rsidR="00F5362B" w:rsidRPr="00B3570A" w:rsidRDefault="00F5362B" w:rsidP="00FD58A2">
            <w:pPr>
              <w:rPr>
                <w:rFonts w:ascii="Times New Roman" w:hAnsi="Times New Roman" w:cs="Times New Roman"/>
              </w:rPr>
            </w:pPr>
            <w:r w:rsidRPr="00B3570A">
              <w:rPr>
                <w:rFonts w:ascii="Times New Roman" w:hAnsi="Times New Roman" w:cs="Times New Roman"/>
              </w:rPr>
              <w:t>Al₀.₂</w:t>
            </w:r>
            <w:proofErr w:type="spellStart"/>
            <w:r w:rsidRPr="00B3570A">
              <w:rPr>
                <w:rFonts w:ascii="Times New Roman" w:hAnsi="Times New Roman" w:cs="Times New Roman"/>
              </w:rPr>
              <w:t>Cu</w:t>
            </w:r>
            <w:proofErr w:type="spellEnd"/>
            <w:r w:rsidRPr="00B3570A">
              <w:rPr>
                <w:rFonts w:ascii="Times New Roman" w:hAnsi="Times New Roman" w:cs="Times New Roman"/>
              </w:rPr>
              <w:t>₀.₂</w:t>
            </w:r>
            <w:proofErr w:type="spellStart"/>
            <w:r w:rsidRPr="00B3570A">
              <w:rPr>
                <w:rFonts w:ascii="Times New Roman" w:hAnsi="Times New Roman" w:cs="Times New Roman"/>
              </w:rPr>
              <w:t>Ni</w:t>
            </w:r>
            <w:proofErr w:type="spellEnd"/>
            <w:r w:rsidRPr="00B3570A">
              <w:rPr>
                <w:rFonts w:ascii="Times New Roman" w:hAnsi="Times New Roman" w:cs="Times New Roman"/>
              </w:rPr>
              <w:t>₀.₂₅</w:t>
            </w:r>
            <w:proofErr w:type="spellStart"/>
            <w:r w:rsidRPr="00B3570A">
              <w:rPr>
                <w:rFonts w:ascii="Times New Roman" w:hAnsi="Times New Roman" w:cs="Times New Roman"/>
              </w:rPr>
              <w:t>Co</w:t>
            </w:r>
            <w:proofErr w:type="spellEnd"/>
            <w:r w:rsidRPr="00B3570A">
              <w:rPr>
                <w:rFonts w:ascii="Times New Roman" w:hAnsi="Times New Roman" w:cs="Times New Roman"/>
              </w:rPr>
              <w:t>₀.₁₅</w:t>
            </w:r>
            <w:proofErr w:type="spellStart"/>
            <w:r w:rsidRPr="00B3570A">
              <w:rPr>
                <w:rFonts w:ascii="Times New Roman" w:hAnsi="Times New Roman" w:cs="Times New Roman"/>
              </w:rPr>
              <w:t>Ti</w:t>
            </w:r>
            <w:proofErr w:type="spellEnd"/>
            <w:r w:rsidRPr="00B3570A">
              <w:rPr>
                <w:rFonts w:ascii="Times New Roman" w:hAnsi="Times New Roman" w:cs="Times New Roman"/>
              </w:rPr>
              <w:t xml:space="preserve">₀.₂ (збільшений </w:t>
            </w:r>
            <w:proofErr w:type="spellStart"/>
            <w:r w:rsidRPr="00B3570A">
              <w:rPr>
                <w:rFonts w:ascii="Times New Roman" w:hAnsi="Times New Roman" w:cs="Times New Roman"/>
              </w:rPr>
              <w:t>Ni</w:t>
            </w:r>
            <w:proofErr w:type="spellEnd"/>
            <w:r w:rsidRPr="00B3570A">
              <w:rPr>
                <w:rFonts w:ascii="Times New Roman" w:hAnsi="Times New Roman" w:cs="Times New Roman"/>
              </w:rPr>
              <w:t>)</w:t>
            </w:r>
          </w:p>
        </w:tc>
        <w:tc>
          <w:tcPr>
            <w:tcW w:w="1134" w:type="dxa"/>
          </w:tcPr>
          <w:p w14:paraId="28CEB2EB" w14:textId="0B484525" w:rsidR="00F5362B" w:rsidRPr="00B3570A" w:rsidRDefault="00F5362B" w:rsidP="00FD58A2">
            <w:pPr>
              <w:rPr>
                <w:rFonts w:ascii="Times New Roman" w:hAnsi="Times New Roman" w:cs="Times New Roman"/>
              </w:rPr>
            </w:pPr>
            <w:r w:rsidRPr="00B3570A">
              <w:rPr>
                <w:rFonts w:ascii="Times New Roman" w:hAnsi="Times New Roman" w:cs="Times New Roman"/>
              </w:rPr>
              <w:t>13,39</w:t>
            </w:r>
          </w:p>
        </w:tc>
        <w:tc>
          <w:tcPr>
            <w:tcW w:w="1134" w:type="dxa"/>
          </w:tcPr>
          <w:p w14:paraId="1CB2A808" w14:textId="6E915456" w:rsidR="00F5362B" w:rsidRPr="00B3570A" w:rsidRDefault="00F5362B" w:rsidP="00FD58A2">
            <w:pPr>
              <w:rPr>
                <w:rFonts w:ascii="Times New Roman" w:hAnsi="Times New Roman" w:cs="Times New Roman"/>
              </w:rPr>
            </w:pPr>
            <w:r w:rsidRPr="00B3570A">
              <w:rPr>
                <w:rFonts w:ascii="Times New Roman" w:hAnsi="Times New Roman" w:cs="Times New Roman"/>
              </w:rPr>
              <w:t>−19,1</w:t>
            </w:r>
          </w:p>
        </w:tc>
        <w:tc>
          <w:tcPr>
            <w:tcW w:w="851" w:type="dxa"/>
          </w:tcPr>
          <w:p w14:paraId="0CE4F966" w14:textId="585D5469" w:rsidR="00F5362B" w:rsidRPr="00B3570A" w:rsidRDefault="00F5362B" w:rsidP="00FD58A2">
            <w:pPr>
              <w:rPr>
                <w:rFonts w:ascii="Times New Roman" w:hAnsi="Times New Roman" w:cs="Times New Roman"/>
              </w:rPr>
            </w:pPr>
            <w:r w:rsidRPr="00B3570A">
              <w:rPr>
                <w:rFonts w:ascii="Times New Roman" w:hAnsi="Times New Roman" w:cs="Times New Roman"/>
              </w:rPr>
              <w:t>−0,06</w:t>
            </w:r>
          </w:p>
        </w:tc>
        <w:tc>
          <w:tcPr>
            <w:tcW w:w="992" w:type="dxa"/>
          </w:tcPr>
          <w:p w14:paraId="47408443" w14:textId="0F7C3303" w:rsidR="00F5362B" w:rsidRPr="00B3570A" w:rsidRDefault="00F5362B" w:rsidP="00FD58A2">
            <w:pPr>
              <w:rPr>
                <w:rFonts w:ascii="Times New Roman" w:hAnsi="Times New Roman" w:cs="Times New Roman"/>
              </w:rPr>
            </w:pPr>
            <w:r w:rsidRPr="00B3570A">
              <w:rPr>
                <w:rFonts w:ascii="Times New Roman" w:hAnsi="Times New Roman" w:cs="Times New Roman"/>
              </w:rPr>
              <w:t>0,87</w:t>
            </w:r>
          </w:p>
        </w:tc>
        <w:tc>
          <w:tcPr>
            <w:tcW w:w="1191" w:type="dxa"/>
          </w:tcPr>
          <w:p w14:paraId="111EDFC0" w14:textId="2ABDBF07" w:rsidR="00F5362B" w:rsidRPr="00B3570A" w:rsidRDefault="00F5362B" w:rsidP="00FD58A2">
            <w:pPr>
              <w:rPr>
                <w:rFonts w:ascii="Times New Roman" w:hAnsi="Times New Roman" w:cs="Times New Roman"/>
              </w:rPr>
            </w:pPr>
            <w:r w:rsidRPr="00B3570A">
              <w:rPr>
                <w:rFonts w:ascii="Times New Roman" w:hAnsi="Times New Roman" w:cs="Times New Roman"/>
              </w:rPr>
              <w:t>225</w:t>
            </w:r>
          </w:p>
        </w:tc>
        <w:tc>
          <w:tcPr>
            <w:tcW w:w="1360" w:type="dxa"/>
          </w:tcPr>
          <w:p w14:paraId="687A8152" w14:textId="4C562737" w:rsidR="00F5362B" w:rsidRPr="00B3570A" w:rsidRDefault="00F5362B" w:rsidP="00FD58A2">
            <w:pPr>
              <w:rPr>
                <w:rFonts w:ascii="Times New Roman" w:hAnsi="Times New Roman" w:cs="Times New Roman"/>
              </w:rPr>
            </w:pPr>
            <w:r w:rsidRPr="00B3570A">
              <w:rPr>
                <w:rFonts w:ascii="Times New Roman" w:hAnsi="Times New Roman" w:cs="Times New Roman"/>
              </w:rPr>
              <w:t>110</w:t>
            </w:r>
          </w:p>
        </w:tc>
      </w:tr>
    </w:tbl>
    <w:p w14:paraId="561450F9" w14:textId="6D5147E2" w:rsidR="00721E42" w:rsidRPr="008A377C"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lastRenderedPageBreak/>
        <w:t xml:space="preserve">Отримані результати підтверджують гіпотезу про ключову роль кольорових металів у стабілізації ВЕС: синергія </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 xml:space="preserve"> створює унікальну електронну структуру, недоступну для </w:t>
      </w:r>
      <w:proofErr w:type="spellStart"/>
      <w:r w:rsidRPr="00FA212E">
        <w:rPr>
          <w:rFonts w:ascii="Times New Roman" w:hAnsi="Times New Roman" w:cs="Times New Roman"/>
          <w:sz w:val="28"/>
          <w:szCs w:val="28"/>
        </w:rPr>
        <w:t>монометалів</w:t>
      </w:r>
      <w:proofErr w:type="spellEnd"/>
      <w:r w:rsidRPr="00FA212E">
        <w:rPr>
          <w:rFonts w:ascii="Times New Roman" w:hAnsi="Times New Roman" w:cs="Times New Roman"/>
          <w:sz w:val="28"/>
          <w:szCs w:val="28"/>
        </w:rPr>
        <w:t xml:space="preserve"> чи бінарних сплавів. Наприклад, мідь, з її заповненими d-орбіталями, оптимізує адсорбцію, подібно до ефектів у </w:t>
      </w:r>
      <w:proofErr w:type="spellStart"/>
      <w:r w:rsidRPr="00FA212E">
        <w:rPr>
          <w:rFonts w:ascii="Times New Roman" w:hAnsi="Times New Roman" w:cs="Times New Roman"/>
          <w:sz w:val="28"/>
          <w:szCs w:val="28"/>
        </w:rPr>
        <w:t>Cu-допованих</w:t>
      </w:r>
      <w:proofErr w:type="spellEnd"/>
      <w:r w:rsidRPr="00FA212E">
        <w:rPr>
          <w:rFonts w:ascii="Times New Roman" w:hAnsi="Times New Roman" w:cs="Times New Roman"/>
          <w:sz w:val="28"/>
          <w:szCs w:val="28"/>
        </w:rPr>
        <w:t xml:space="preserve"> </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-каталізаторах, але посилених ентропією, що уповільнює деградацію поверхні</w:t>
      </w:r>
      <w:r w:rsidR="008A377C" w:rsidRPr="008A377C">
        <w:rPr>
          <w:rFonts w:ascii="Times New Roman" w:hAnsi="Times New Roman" w:cs="Times New Roman"/>
          <w:sz w:val="28"/>
          <w:szCs w:val="28"/>
        </w:rPr>
        <w:t>.</w:t>
      </w:r>
    </w:p>
    <w:p w14:paraId="497E394E" w14:textId="77777777" w:rsidR="008A377C" w:rsidRPr="008A377C" w:rsidRDefault="008A377C" w:rsidP="002F299C">
      <w:pPr>
        <w:spacing w:after="0" w:line="360" w:lineRule="auto"/>
        <w:ind w:firstLine="709"/>
        <w:jc w:val="center"/>
        <w:rPr>
          <w:rFonts w:ascii="Times New Roman" w:hAnsi="Times New Roman" w:cs="Times New Roman"/>
          <w:sz w:val="28"/>
          <w:szCs w:val="28"/>
        </w:rPr>
      </w:pPr>
    </w:p>
    <w:p w14:paraId="0B4EFDF1" w14:textId="48FDBE66" w:rsidR="00DD638E" w:rsidRPr="00DD638E" w:rsidRDefault="00DD638E" w:rsidP="002F299C">
      <w:pPr>
        <w:spacing w:after="0" w:line="360" w:lineRule="auto"/>
        <w:ind w:firstLine="709"/>
        <w:jc w:val="center"/>
        <w:rPr>
          <w:rFonts w:ascii="Times New Roman" w:hAnsi="Times New Roman" w:cs="Times New Roman"/>
          <w:sz w:val="28"/>
          <w:szCs w:val="28"/>
          <w:lang w:val="ru-RU"/>
        </w:rPr>
      </w:pPr>
      <w:r w:rsidRPr="00DD638E">
        <w:rPr>
          <w:rFonts w:ascii="Times New Roman" w:hAnsi="Times New Roman" w:cs="Times New Roman"/>
          <w:sz w:val="28"/>
          <w:szCs w:val="28"/>
          <w:lang w:val="ru-RU"/>
        </w:rPr>
        <w:drawing>
          <wp:inline distT="0" distB="0" distL="0" distR="0" wp14:anchorId="3724F287" wp14:editId="3945E20C">
            <wp:extent cx="4377977" cy="2850348"/>
            <wp:effectExtent l="0" t="0" r="3810" b="7620"/>
            <wp:docPr id="398126710" name="Рисунок 1" descr="Зображення, що містить текст, знімок екрана, схема,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26710" name="Рисунок 1" descr="Зображення, що містить текст, знімок екрана, схема, ряд&#10;&#10;Вміст на основі ШІ може бути неправильним."/>
                    <pic:cNvPicPr/>
                  </pic:nvPicPr>
                  <pic:blipFill rotWithShape="1">
                    <a:blip r:embed="rId7"/>
                    <a:srcRect t="6816"/>
                    <a:stretch>
                      <a:fillRect/>
                    </a:stretch>
                  </pic:blipFill>
                  <pic:spPr bwMode="auto">
                    <a:xfrm>
                      <a:off x="0" y="0"/>
                      <a:ext cx="4396939" cy="2862694"/>
                    </a:xfrm>
                    <a:prstGeom prst="rect">
                      <a:avLst/>
                    </a:prstGeom>
                    <a:ln>
                      <a:noFill/>
                    </a:ln>
                    <a:extLst>
                      <a:ext uri="{53640926-AAD7-44D8-BBD7-CCE9431645EC}">
                        <a14:shadowObscured xmlns:a14="http://schemas.microsoft.com/office/drawing/2010/main"/>
                      </a:ext>
                    </a:extLst>
                  </pic:spPr>
                </pic:pic>
              </a:graphicData>
            </a:graphic>
          </wp:inline>
        </w:drawing>
      </w:r>
    </w:p>
    <w:p w14:paraId="5ECEB445" w14:textId="544E40CF" w:rsidR="00721E42" w:rsidRPr="00014F81" w:rsidRDefault="00721E42" w:rsidP="002F299C">
      <w:pPr>
        <w:spacing w:after="0" w:line="360" w:lineRule="auto"/>
        <w:ind w:firstLine="708"/>
        <w:jc w:val="center"/>
        <w:rPr>
          <w:rFonts w:ascii="Times New Roman" w:hAnsi="Times New Roman" w:cs="Times New Roman"/>
          <w:sz w:val="28"/>
          <w:szCs w:val="28"/>
          <w:lang w:val="ru-RU"/>
        </w:rPr>
      </w:pPr>
      <w:r w:rsidRPr="00FA212E">
        <w:rPr>
          <w:rFonts w:ascii="Times New Roman" w:hAnsi="Times New Roman" w:cs="Times New Roman"/>
          <w:sz w:val="28"/>
          <w:szCs w:val="28"/>
        </w:rPr>
        <w:t xml:space="preserve">Графік 2: Порівняння перенапруження </w:t>
      </w:r>
      <w:r>
        <w:rPr>
          <w:rFonts w:ascii="Times New Roman" w:hAnsi="Times New Roman" w:cs="Times New Roman"/>
          <w:sz w:val="28"/>
          <w:szCs w:val="28"/>
        </w:rPr>
        <w:t>РВК</w:t>
      </w:r>
      <w:r w:rsidRPr="00FA212E">
        <w:rPr>
          <w:rFonts w:ascii="Times New Roman" w:hAnsi="Times New Roman" w:cs="Times New Roman"/>
          <w:sz w:val="28"/>
          <w:szCs w:val="28"/>
        </w:rPr>
        <w:t>/</w:t>
      </w:r>
      <w:r>
        <w:rPr>
          <w:rFonts w:ascii="Times New Roman" w:hAnsi="Times New Roman" w:cs="Times New Roman"/>
          <w:sz w:val="28"/>
          <w:szCs w:val="28"/>
        </w:rPr>
        <w:t>РВВ</w:t>
      </w:r>
      <w:r w:rsidRPr="00FA212E">
        <w:rPr>
          <w:rFonts w:ascii="Times New Roman" w:hAnsi="Times New Roman" w:cs="Times New Roman"/>
          <w:sz w:val="28"/>
          <w:szCs w:val="28"/>
        </w:rPr>
        <w:t xml:space="preserve"> для запропонованих ВЕС та традиційних матеріалів</w:t>
      </w:r>
      <w:r w:rsidR="008A377C">
        <w:rPr>
          <w:rFonts w:ascii="Times New Roman" w:hAnsi="Times New Roman" w:cs="Times New Roman"/>
          <w:sz w:val="28"/>
          <w:szCs w:val="28"/>
          <w:lang w:val="ru-RU"/>
        </w:rPr>
        <w:t>.</w:t>
      </w:r>
    </w:p>
    <w:p w14:paraId="44A4020D" w14:textId="3F0EF1E8" w:rsidR="00F848AD" w:rsidRPr="00FA212E"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 xml:space="preserve">Порівняно з літературою, наші прогнози для </w:t>
      </w:r>
      <w:proofErr w:type="spellStart"/>
      <w:r w:rsidRPr="00FA212E">
        <w:rPr>
          <w:rFonts w:ascii="Times New Roman" w:hAnsi="Times New Roman" w:cs="Times New Roman"/>
          <w:sz w:val="28"/>
          <w:szCs w:val="28"/>
        </w:rPr>
        <w:t>η</w:t>
      </w:r>
      <w:r w:rsidR="003F2C2D" w:rsidRPr="00920D4F">
        <w:rPr>
          <w:rFonts w:ascii="Times New Roman" w:hAnsi="Times New Roman" w:cs="Times New Roman"/>
          <w:sz w:val="28"/>
          <w:szCs w:val="28"/>
          <w:vertAlign w:val="subscript"/>
        </w:rPr>
        <w:t>РВК</w:t>
      </w:r>
      <w:proofErr w:type="spellEnd"/>
      <w:r w:rsidRPr="00FA212E">
        <w:rPr>
          <w:rFonts w:ascii="Times New Roman" w:hAnsi="Times New Roman" w:cs="Times New Roman"/>
          <w:sz w:val="28"/>
          <w:szCs w:val="28"/>
        </w:rPr>
        <w:t xml:space="preserve"> (220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 xml:space="preserve">) близькі до експериментальних значень для поверхнево-модифікованих ВЕС, де стабільність досягає 50–100 годин при високих струмах, але наші моделі передбачають подвоєння терміну служби завдяки </w:t>
      </w:r>
      <w:proofErr w:type="spellStart"/>
      <w:r w:rsidRPr="00FA212E">
        <w:rPr>
          <w:rFonts w:ascii="Times New Roman" w:hAnsi="Times New Roman" w:cs="Times New Roman"/>
          <w:sz w:val="28"/>
          <w:szCs w:val="28"/>
        </w:rPr>
        <w:t>ентропійному</w:t>
      </w:r>
      <w:proofErr w:type="spellEnd"/>
      <w:r w:rsidRPr="00FA212E">
        <w:rPr>
          <w:rFonts w:ascii="Times New Roman" w:hAnsi="Times New Roman" w:cs="Times New Roman"/>
          <w:sz w:val="28"/>
          <w:szCs w:val="28"/>
        </w:rPr>
        <w:t xml:space="preserve"> бар’єру. Обмеження моделі включають спрощене врахування реальних взаємодій (наприклад, ігнорування магнітних ефектів </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 xml:space="preserve">), тому майбутні </w:t>
      </w:r>
      <w:r w:rsidR="003D0354">
        <w:rPr>
          <w:rFonts w:ascii="Times New Roman" w:hAnsi="Times New Roman" w:cs="Times New Roman"/>
          <w:sz w:val="28"/>
          <w:szCs w:val="28"/>
        </w:rPr>
        <w:t>ТФГ</w:t>
      </w:r>
      <w:r w:rsidRPr="00FA212E">
        <w:rPr>
          <w:rFonts w:ascii="Times New Roman" w:hAnsi="Times New Roman" w:cs="Times New Roman"/>
          <w:sz w:val="28"/>
          <w:szCs w:val="28"/>
        </w:rPr>
        <w:t xml:space="preserve">-розрахунки можуть уточнити </w:t>
      </w:r>
      <w:proofErr w:type="spellStart"/>
      <w:r w:rsidRPr="00FA212E">
        <w:rPr>
          <w:rFonts w:ascii="Times New Roman" w:hAnsi="Times New Roman" w:cs="Times New Roman"/>
          <w:sz w:val="28"/>
          <w:szCs w:val="28"/>
        </w:rPr>
        <w:t>ΔH</w:t>
      </w:r>
      <w:r w:rsidRPr="008A377C">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w:t>
      </w:r>
    </w:p>
    <w:p w14:paraId="4D9CFC9B" w14:textId="5AE790EF" w:rsidR="00FA212E" w:rsidRPr="005277E2"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Перспективи: інтеграція таких ВЕС у PEM- чи AEM-електролізери дозволить знизити собівартість водню до 2–3 €/кг, сприяючи переходу до водневої економіки та зменшенню викидів CO₂ на 10–15% у енергетиці</w:t>
      </w:r>
      <w:r w:rsidR="005277E2">
        <w:rPr>
          <w:rFonts w:ascii="Times New Roman" w:hAnsi="Times New Roman" w:cs="Times New Roman"/>
          <w:sz w:val="28"/>
          <w:szCs w:val="28"/>
          <w:lang w:val="cs-CZ"/>
        </w:rPr>
        <w:t xml:space="preserve"> [7]</w:t>
      </w:r>
      <w:r w:rsidRPr="00FA212E">
        <w:rPr>
          <w:rFonts w:ascii="Times New Roman" w:hAnsi="Times New Roman" w:cs="Times New Roman"/>
          <w:sz w:val="28"/>
          <w:szCs w:val="28"/>
        </w:rPr>
        <w:t xml:space="preserve">. </w:t>
      </w:r>
    </w:p>
    <w:p w14:paraId="112C1445" w14:textId="1F8AFC4E" w:rsidR="001F3B41" w:rsidRDefault="00F848AD" w:rsidP="002F299C">
      <w:pPr>
        <w:spacing w:after="0" w:line="360" w:lineRule="auto"/>
        <w:ind w:firstLine="709"/>
        <w:jc w:val="both"/>
        <w:rPr>
          <w:rFonts w:ascii="Times New Roman" w:hAnsi="Times New Roman" w:cs="Times New Roman"/>
          <w:sz w:val="28"/>
          <w:szCs w:val="28"/>
        </w:rPr>
      </w:pPr>
      <w:r w:rsidRPr="00FA212E">
        <w:rPr>
          <w:rFonts w:ascii="Times New Roman" w:hAnsi="Times New Roman" w:cs="Times New Roman"/>
          <w:sz w:val="28"/>
          <w:szCs w:val="28"/>
        </w:rPr>
        <w:t>Високоентропійні сплави на основі кольорових металів (Al–</w:t>
      </w:r>
      <w:proofErr w:type="spellStart"/>
      <w:r w:rsidRPr="00FA212E">
        <w:rPr>
          <w:rFonts w:ascii="Times New Roman" w:hAnsi="Times New Roman" w:cs="Times New Roman"/>
          <w:sz w:val="28"/>
          <w:szCs w:val="28"/>
        </w:rPr>
        <w:t>Cu</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Ni</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Co</w:t>
      </w:r>
      <w:proofErr w:type="spellEnd"/>
      <w:r w:rsidRPr="00FA212E">
        <w:rPr>
          <w:rFonts w:ascii="Times New Roman" w:hAnsi="Times New Roman" w:cs="Times New Roman"/>
          <w:sz w:val="28"/>
          <w:szCs w:val="28"/>
        </w:rPr>
        <w:t>–</w:t>
      </w:r>
      <w:proofErr w:type="spellStart"/>
      <w:r w:rsidRPr="00FA212E">
        <w:rPr>
          <w:rFonts w:ascii="Times New Roman" w:hAnsi="Times New Roman" w:cs="Times New Roman"/>
          <w:sz w:val="28"/>
          <w:szCs w:val="28"/>
        </w:rPr>
        <w:t>Ti</w:t>
      </w:r>
      <w:proofErr w:type="spellEnd"/>
      <w:r w:rsidRPr="00FA212E">
        <w:rPr>
          <w:rFonts w:ascii="Times New Roman" w:hAnsi="Times New Roman" w:cs="Times New Roman"/>
          <w:sz w:val="28"/>
          <w:szCs w:val="28"/>
        </w:rPr>
        <w:t xml:space="preserve">) завдяки високій конфігураційній ентропії та синергії елементів забезпечують </w:t>
      </w:r>
      <w:r w:rsidRPr="00FA212E">
        <w:rPr>
          <w:rFonts w:ascii="Times New Roman" w:hAnsi="Times New Roman" w:cs="Times New Roman"/>
          <w:sz w:val="28"/>
          <w:szCs w:val="28"/>
        </w:rPr>
        <w:lastRenderedPageBreak/>
        <w:t xml:space="preserve">фазову стабільність і каталітичну ефективність, що перевищує традиційні матеріали на 30–50%. Розрахункові значення </w:t>
      </w:r>
      <w:proofErr w:type="spellStart"/>
      <w:r w:rsidRPr="00FA212E">
        <w:rPr>
          <w:rFonts w:ascii="Times New Roman" w:hAnsi="Times New Roman" w:cs="Times New Roman"/>
          <w:sz w:val="28"/>
          <w:szCs w:val="28"/>
        </w:rPr>
        <w:t>ΔS</w:t>
      </w:r>
      <w:r w:rsidRPr="008A377C">
        <w:rPr>
          <w:rFonts w:ascii="Times New Roman" w:hAnsi="Times New Roman" w:cs="Times New Roman"/>
          <w:sz w:val="28"/>
          <w:szCs w:val="28"/>
          <w:vertAlign w:val="subscript"/>
        </w:rPr>
        <w:t>mix</w:t>
      </w:r>
      <w:proofErr w:type="spellEnd"/>
      <w:r w:rsidRPr="00FA212E">
        <w:rPr>
          <w:rFonts w:ascii="Times New Roman" w:hAnsi="Times New Roman" w:cs="Times New Roman"/>
          <w:sz w:val="28"/>
          <w:szCs w:val="28"/>
        </w:rPr>
        <w:t xml:space="preserve"> &gt;13 Дж</w:t>
      </w:r>
      <w:r w:rsidRPr="00FA212E">
        <w:rPr>
          <w:rFonts w:ascii="Cambria Math" w:hAnsi="Cambria Math" w:cs="Cambria Math"/>
          <w:sz w:val="28"/>
          <w:szCs w:val="28"/>
        </w:rPr>
        <w:t>⋅</w:t>
      </w:r>
      <w:r w:rsidRPr="00FA212E">
        <w:rPr>
          <w:rFonts w:ascii="Times New Roman" w:hAnsi="Times New Roman" w:cs="Times New Roman"/>
          <w:sz w:val="28"/>
          <w:szCs w:val="28"/>
        </w:rPr>
        <w:t>моль⁻¹</w:t>
      </w:r>
      <w:r w:rsidRPr="00FA212E">
        <w:rPr>
          <w:rFonts w:ascii="Cambria Math" w:hAnsi="Cambria Math" w:cs="Cambria Math"/>
          <w:sz w:val="28"/>
          <w:szCs w:val="28"/>
        </w:rPr>
        <w:t>⋅</w:t>
      </w:r>
      <w:r w:rsidRPr="00FA212E">
        <w:rPr>
          <w:rFonts w:ascii="Times New Roman" w:hAnsi="Times New Roman" w:cs="Times New Roman"/>
          <w:sz w:val="28"/>
          <w:szCs w:val="28"/>
        </w:rPr>
        <w:t>К⁻¹, ΔG</w:t>
      </w:r>
      <w:r w:rsidRPr="008A377C">
        <w:rPr>
          <w:rFonts w:ascii="Times New Roman" w:hAnsi="Times New Roman" w:cs="Times New Roman"/>
          <w:sz w:val="28"/>
          <w:szCs w:val="28"/>
          <w:vertAlign w:val="subscript"/>
        </w:rPr>
        <w:t>H*</w:t>
      </w:r>
      <w:r w:rsidRPr="00FA212E">
        <w:rPr>
          <w:rFonts w:ascii="Times New Roman" w:hAnsi="Times New Roman" w:cs="Times New Roman"/>
          <w:sz w:val="28"/>
          <w:szCs w:val="28"/>
        </w:rPr>
        <w:t xml:space="preserve"> ≈ –0,05 </w:t>
      </w:r>
      <w:proofErr w:type="spellStart"/>
      <w:r w:rsidRPr="00FA212E">
        <w:rPr>
          <w:rFonts w:ascii="Times New Roman" w:hAnsi="Times New Roman" w:cs="Times New Roman"/>
          <w:sz w:val="28"/>
          <w:szCs w:val="28"/>
        </w:rPr>
        <w:t>еВ</w:t>
      </w:r>
      <w:proofErr w:type="spellEnd"/>
      <w:r w:rsidRPr="00FA212E">
        <w:rPr>
          <w:rFonts w:ascii="Times New Roman" w:hAnsi="Times New Roman" w:cs="Times New Roman"/>
          <w:sz w:val="28"/>
          <w:szCs w:val="28"/>
        </w:rPr>
        <w:t xml:space="preserve"> та </w:t>
      </w:r>
      <w:proofErr w:type="spellStart"/>
      <w:r w:rsidRPr="00FA212E">
        <w:rPr>
          <w:rFonts w:ascii="Times New Roman" w:hAnsi="Times New Roman" w:cs="Times New Roman"/>
          <w:sz w:val="28"/>
          <w:szCs w:val="28"/>
        </w:rPr>
        <w:t>η</w:t>
      </w:r>
      <w:r w:rsidR="003F2C2D" w:rsidRPr="008A377C">
        <w:rPr>
          <w:rFonts w:ascii="Times New Roman" w:hAnsi="Times New Roman" w:cs="Times New Roman"/>
          <w:sz w:val="28"/>
          <w:szCs w:val="28"/>
          <w:vertAlign w:val="subscript"/>
        </w:rPr>
        <w:t>РВК</w:t>
      </w:r>
      <w:proofErr w:type="spellEnd"/>
      <w:r w:rsidRPr="008A377C">
        <w:rPr>
          <w:rFonts w:ascii="Times New Roman" w:hAnsi="Times New Roman" w:cs="Times New Roman"/>
          <w:sz w:val="28"/>
          <w:szCs w:val="28"/>
          <w:vertAlign w:val="subscript"/>
        </w:rPr>
        <w:t xml:space="preserve"> </w:t>
      </w:r>
      <w:r w:rsidRPr="00FA212E">
        <w:rPr>
          <w:rFonts w:ascii="Times New Roman" w:hAnsi="Times New Roman" w:cs="Times New Roman"/>
          <w:sz w:val="28"/>
          <w:szCs w:val="28"/>
        </w:rPr>
        <w:t xml:space="preserve">≈220 </w:t>
      </w:r>
      <w:proofErr w:type="spellStart"/>
      <w:r w:rsidRPr="00FA212E">
        <w:rPr>
          <w:rFonts w:ascii="Times New Roman" w:hAnsi="Times New Roman" w:cs="Times New Roman"/>
          <w:sz w:val="28"/>
          <w:szCs w:val="28"/>
        </w:rPr>
        <w:t>мВ</w:t>
      </w:r>
      <w:proofErr w:type="spellEnd"/>
      <w:r w:rsidRPr="00FA212E">
        <w:rPr>
          <w:rFonts w:ascii="Times New Roman" w:hAnsi="Times New Roman" w:cs="Times New Roman"/>
          <w:sz w:val="28"/>
          <w:szCs w:val="28"/>
        </w:rPr>
        <w:t xml:space="preserve"> підтверджуються літературними даними, відкриваючи шлях до дешевих каталізаторів для зеленого водню. Майбутні дослідження мають фокусуватися на синтезі та тестуванні в реальних умовах. </w:t>
      </w:r>
    </w:p>
    <w:p w14:paraId="5D8CE6CF" w14:textId="77777777" w:rsidR="004821FE" w:rsidRDefault="004821FE" w:rsidP="002F299C">
      <w:pPr>
        <w:spacing w:after="0" w:line="360" w:lineRule="auto"/>
        <w:ind w:firstLine="709"/>
        <w:jc w:val="both"/>
        <w:rPr>
          <w:rFonts w:ascii="Times New Roman" w:hAnsi="Times New Roman" w:cs="Times New Roman"/>
          <w:sz w:val="28"/>
          <w:szCs w:val="28"/>
        </w:rPr>
      </w:pPr>
    </w:p>
    <w:p w14:paraId="1E45F50A" w14:textId="5890B5DC" w:rsidR="00EF623C" w:rsidRDefault="004821FE" w:rsidP="00EF623C">
      <w:pPr>
        <w:spacing w:after="0" w:line="360" w:lineRule="auto"/>
        <w:ind w:firstLine="709"/>
        <w:jc w:val="center"/>
        <w:rPr>
          <w:rFonts w:ascii="Times New Roman" w:hAnsi="Times New Roman" w:cs="Times New Roman"/>
          <w:b/>
          <w:bCs/>
        </w:rPr>
      </w:pPr>
      <w:r w:rsidRPr="00EF623C">
        <w:rPr>
          <w:rFonts w:ascii="Times New Roman" w:hAnsi="Times New Roman" w:cs="Times New Roman"/>
          <w:b/>
          <w:bCs/>
        </w:rPr>
        <w:t>Л</w:t>
      </w:r>
      <w:r w:rsidR="00EF623C" w:rsidRPr="00EF623C">
        <w:rPr>
          <w:rFonts w:ascii="Times New Roman" w:hAnsi="Times New Roman" w:cs="Times New Roman"/>
          <w:b/>
          <w:bCs/>
        </w:rPr>
        <w:t>ітература</w:t>
      </w:r>
    </w:p>
    <w:p w14:paraId="1E5A04EA" w14:textId="77777777" w:rsidR="00EF623C" w:rsidRDefault="00EF623C" w:rsidP="00EF623C">
      <w:pPr>
        <w:spacing w:after="0" w:line="360" w:lineRule="auto"/>
        <w:ind w:firstLine="709"/>
        <w:jc w:val="center"/>
        <w:rPr>
          <w:rFonts w:ascii="Times New Roman" w:hAnsi="Times New Roman" w:cs="Times New Roman"/>
        </w:rPr>
      </w:pPr>
    </w:p>
    <w:p w14:paraId="0F724C00" w14:textId="42556919" w:rsidR="005277E2" w:rsidRPr="005277E2" w:rsidRDefault="005277E2" w:rsidP="005277E2">
      <w:pPr>
        <w:pStyle w:val="a9"/>
        <w:numPr>
          <w:ilvl w:val="0"/>
          <w:numId w:val="2"/>
        </w:numPr>
        <w:spacing w:after="0" w:line="360" w:lineRule="auto"/>
        <w:ind w:left="0" w:firstLine="709"/>
        <w:jc w:val="both"/>
        <w:rPr>
          <w:rFonts w:ascii="Times New Roman" w:hAnsi="Times New Roman" w:cs="Times New Roman"/>
        </w:rPr>
      </w:pPr>
      <w:proofErr w:type="spellStart"/>
      <w:r w:rsidRPr="005277E2">
        <w:rPr>
          <w:rFonts w:ascii="Times New Roman" w:hAnsi="Times New Roman" w:cs="Times New Roman"/>
        </w:rPr>
        <w:t>Yeh</w:t>
      </w:r>
      <w:proofErr w:type="spellEnd"/>
      <w:r w:rsidRPr="005277E2">
        <w:rPr>
          <w:rFonts w:ascii="Times New Roman" w:hAnsi="Times New Roman" w:cs="Times New Roman"/>
        </w:rPr>
        <w:t xml:space="preserve"> J. W., </w:t>
      </w:r>
      <w:proofErr w:type="spellStart"/>
      <w:r w:rsidRPr="005277E2">
        <w:rPr>
          <w:rFonts w:ascii="Times New Roman" w:hAnsi="Times New Roman" w:cs="Times New Roman"/>
        </w:rPr>
        <w:t>Chen</w:t>
      </w:r>
      <w:proofErr w:type="spellEnd"/>
      <w:r w:rsidRPr="005277E2">
        <w:rPr>
          <w:rFonts w:ascii="Times New Roman" w:hAnsi="Times New Roman" w:cs="Times New Roman"/>
        </w:rPr>
        <w:t xml:space="preserve"> S. K., </w:t>
      </w:r>
      <w:proofErr w:type="spellStart"/>
      <w:r w:rsidRPr="005277E2">
        <w:rPr>
          <w:rFonts w:ascii="Times New Roman" w:hAnsi="Times New Roman" w:cs="Times New Roman"/>
        </w:rPr>
        <w:t>Lin</w:t>
      </w:r>
      <w:proofErr w:type="spellEnd"/>
      <w:r w:rsidRPr="005277E2">
        <w:rPr>
          <w:rFonts w:ascii="Times New Roman" w:hAnsi="Times New Roman" w:cs="Times New Roman"/>
        </w:rPr>
        <w:t xml:space="preserve"> S. J. et al. </w:t>
      </w:r>
      <w:proofErr w:type="spellStart"/>
      <w:r w:rsidRPr="005277E2">
        <w:rPr>
          <w:rFonts w:ascii="Times New Roman" w:hAnsi="Times New Roman" w:cs="Times New Roman"/>
        </w:rPr>
        <w:t>Nanostructured</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high-entropy</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alloys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with</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multiple</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principal</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elements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novel</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alloy</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design</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concepts</w:t>
      </w:r>
      <w:proofErr w:type="spellEnd"/>
      <w:r w:rsidRPr="005277E2">
        <w:rPr>
          <w:rFonts w:ascii="Times New Roman" w:hAnsi="Times New Roman" w:cs="Times New Roman"/>
        </w:rPr>
        <w:t xml:space="preserve"> and </w:t>
      </w:r>
      <w:proofErr w:type="spellStart"/>
      <w:r w:rsidRPr="005277E2">
        <w:rPr>
          <w:rFonts w:ascii="Times New Roman" w:hAnsi="Times New Roman" w:cs="Times New Roman"/>
        </w:rPr>
        <w:t>outcomes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Advanced</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Engineering</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Materials</w:t>
      </w:r>
      <w:proofErr w:type="spellEnd"/>
      <w:r w:rsidRPr="005277E2">
        <w:rPr>
          <w:rFonts w:ascii="Times New Roman" w:hAnsi="Times New Roman" w:cs="Times New Roman"/>
        </w:rPr>
        <w:t xml:space="preserve">. 2004. </w:t>
      </w:r>
      <w:proofErr w:type="spellStart"/>
      <w:r w:rsidRPr="005277E2">
        <w:rPr>
          <w:rFonts w:ascii="Times New Roman" w:hAnsi="Times New Roman" w:cs="Times New Roman"/>
        </w:rPr>
        <w:t>Vol</w:t>
      </w:r>
      <w:proofErr w:type="spellEnd"/>
      <w:r w:rsidRPr="005277E2">
        <w:rPr>
          <w:rFonts w:ascii="Times New Roman" w:hAnsi="Times New Roman" w:cs="Times New Roman"/>
        </w:rPr>
        <w:t xml:space="preserve">. 6, № 5. P. 299–303. </w:t>
      </w:r>
      <w:hyperlink r:id="rId8" w:history="1">
        <w:r w:rsidR="004C4412" w:rsidRPr="00B5199B">
          <w:rPr>
            <w:rStyle w:val="af"/>
            <w:rFonts w:ascii="Times New Roman" w:hAnsi="Times New Roman" w:cs="Times New Roman"/>
          </w:rPr>
          <w:t>https://doi.org/</w:t>
        </w:r>
        <w:hyperlink r:id="rId9" w:tgtFrame="_blank" w:history="1">
          <w:r w:rsidR="00306DE2" w:rsidRPr="00306DE2">
            <w:rPr>
              <w:rStyle w:val="af"/>
              <w:rFonts w:ascii="Times New Roman" w:hAnsi="Times New Roman" w:cs="Times New Roman"/>
            </w:rPr>
            <w:t>10.1002/adem.200300567</w:t>
          </w:r>
        </w:hyperlink>
      </w:hyperlink>
      <w:r w:rsidR="004C4412">
        <w:rPr>
          <w:rFonts w:ascii="Times New Roman" w:hAnsi="Times New Roman" w:cs="Times New Roman"/>
          <w:lang w:val="cs-CZ"/>
        </w:rPr>
        <w:t xml:space="preserve">. </w:t>
      </w:r>
    </w:p>
    <w:p w14:paraId="2EDA6355" w14:textId="6375C93A" w:rsidR="005277E2" w:rsidRPr="005277E2" w:rsidRDefault="005277E2" w:rsidP="005277E2">
      <w:pPr>
        <w:pStyle w:val="a9"/>
        <w:numPr>
          <w:ilvl w:val="0"/>
          <w:numId w:val="2"/>
        </w:numPr>
        <w:spacing w:after="0" w:line="360" w:lineRule="auto"/>
        <w:ind w:left="0" w:firstLine="709"/>
        <w:jc w:val="both"/>
        <w:rPr>
          <w:rFonts w:ascii="Times New Roman" w:hAnsi="Times New Roman" w:cs="Times New Roman"/>
        </w:rPr>
      </w:pPr>
      <w:proofErr w:type="spellStart"/>
      <w:r w:rsidRPr="005277E2">
        <w:rPr>
          <w:rFonts w:ascii="Times New Roman" w:hAnsi="Times New Roman" w:cs="Times New Roman"/>
        </w:rPr>
        <w:t>Li</w:t>
      </w:r>
      <w:proofErr w:type="spellEnd"/>
      <w:r w:rsidRPr="005277E2">
        <w:rPr>
          <w:rFonts w:ascii="Times New Roman" w:hAnsi="Times New Roman" w:cs="Times New Roman"/>
        </w:rPr>
        <w:t xml:space="preserve"> Z., </w:t>
      </w:r>
      <w:proofErr w:type="spellStart"/>
      <w:r w:rsidRPr="005277E2">
        <w:rPr>
          <w:rFonts w:ascii="Times New Roman" w:hAnsi="Times New Roman" w:cs="Times New Roman"/>
        </w:rPr>
        <w:t>Pradeep</w:t>
      </w:r>
      <w:proofErr w:type="spellEnd"/>
      <w:r w:rsidRPr="005277E2">
        <w:rPr>
          <w:rFonts w:ascii="Times New Roman" w:hAnsi="Times New Roman" w:cs="Times New Roman"/>
        </w:rPr>
        <w:t xml:space="preserve"> K. G., </w:t>
      </w:r>
      <w:proofErr w:type="spellStart"/>
      <w:r w:rsidRPr="005277E2">
        <w:rPr>
          <w:rFonts w:ascii="Times New Roman" w:hAnsi="Times New Roman" w:cs="Times New Roman"/>
        </w:rPr>
        <w:t>Deng</w:t>
      </w:r>
      <w:proofErr w:type="spellEnd"/>
      <w:r w:rsidRPr="005277E2">
        <w:rPr>
          <w:rFonts w:ascii="Times New Roman" w:hAnsi="Times New Roman" w:cs="Times New Roman"/>
        </w:rPr>
        <w:t xml:space="preserve"> Y. et al. </w:t>
      </w:r>
      <w:proofErr w:type="spellStart"/>
      <w:r w:rsidRPr="005277E2">
        <w:rPr>
          <w:rFonts w:ascii="Times New Roman" w:hAnsi="Times New Roman" w:cs="Times New Roman"/>
        </w:rPr>
        <w:t>Metastable</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high-entropy</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alloys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with</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high</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ductility</w:t>
      </w:r>
      <w:proofErr w:type="spellEnd"/>
      <w:r w:rsidRPr="005277E2">
        <w:rPr>
          <w:rFonts w:ascii="Times New Roman" w:hAnsi="Times New Roman" w:cs="Times New Roman"/>
        </w:rPr>
        <w:t xml:space="preserve"> and </w:t>
      </w:r>
      <w:proofErr w:type="spellStart"/>
      <w:r w:rsidRPr="005277E2">
        <w:rPr>
          <w:rFonts w:ascii="Times New Roman" w:hAnsi="Times New Roman" w:cs="Times New Roman"/>
        </w:rPr>
        <w:t>high</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strength</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Nature</w:t>
      </w:r>
      <w:proofErr w:type="spellEnd"/>
      <w:r w:rsidRPr="005277E2">
        <w:rPr>
          <w:rFonts w:ascii="Times New Roman" w:hAnsi="Times New Roman" w:cs="Times New Roman"/>
        </w:rPr>
        <w:t xml:space="preserve">. 2016. </w:t>
      </w:r>
      <w:proofErr w:type="spellStart"/>
      <w:r w:rsidRPr="005277E2">
        <w:rPr>
          <w:rFonts w:ascii="Times New Roman" w:hAnsi="Times New Roman" w:cs="Times New Roman"/>
        </w:rPr>
        <w:t>Vol</w:t>
      </w:r>
      <w:proofErr w:type="spellEnd"/>
      <w:r w:rsidRPr="005277E2">
        <w:rPr>
          <w:rFonts w:ascii="Times New Roman" w:hAnsi="Times New Roman" w:cs="Times New Roman"/>
        </w:rPr>
        <w:t xml:space="preserve">. 534, № 7606. P. 227–230. </w:t>
      </w:r>
      <w:hyperlink r:id="rId10" w:history="1">
        <w:r w:rsidR="004C4412" w:rsidRPr="00B5199B">
          <w:rPr>
            <w:rStyle w:val="af"/>
            <w:rFonts w:ascii="Times New Roman" w:hAnsi="Times New Roman" w:cs="Times New Roman"/>
          </w:rPr>
          <w:t>https</w:t>
        </w:r>
        <w:r w:rsidR="004C4412" w:rsidRPr="00B5199B">
          <w:rPr>
            <w:rStyle w:val="af"/>
            <w:rFonts w:ascii="Times New Roman" w:hAnsi="Times New Roman" w:cs="Times New Roman"/>
          </w:rPr>
          <w:t>:</w:t>
        </w:r>
        <w:r w:rsidR="004C4412" w:rsidRPr="00B5199B">
          <w:rPr>
            <w:rStyle w:val="af"/>
            <w:rFonts w:ascii="Times New Roman" w:hAnsi="Times New Roman" w:cs="Times New Roman"/>
          </w:rPr>
          <w:t>//doi.org/</w:t>
        </w:r>
        <w:hyperlink r:id="rId11" w:tgtFrame="_blank" w:history="1">
          <w:r w:rsidR="004A46E3" w:rsidRPr="004A46E3">
            <w:rPr>
              <w:rStyle w:val="af"/>
              <w:rFonts w:ascii="Times New Roman" w:hAnsi="Times New Roman" w:cs="Times New Roman"/>
            </w:rPr>
            <w:t>10.1038/nature17981</w:t>
          </w:r>
        </w:hyperlink>
      </w:hyperlink>
      <w:r w:rsidR="004C4412">
        <w:rPr>
          <w:rFonts w:ascii="Times New Roman" w:hAnsi="Times New Roman" w:cs="Times New Roman"/>
          <w:lang w:val="cs-CZ"/>
        </w:rPr>
        <w:t xml:space="preserve">. </w:t>
      </w:r>
    </w:p>
    <w:p w14:paraId="59069017" w14:textId="77A70E8A" w:rsidR="000655A8" w:rsidRPr="000655A8" w:rsidRDefault="000655A8" w:rsidP="005277E2">
      <w:pPr>
        <w:pStyle w:val="a9"/>
        <w:numPr>
          <w:ilvl w:val="0"/>
          <w:numId w:val="2"/>
        </w:numPr>
        <w:spacing w:after="0" w:line="360" w:lineRule="auto"/>
        <w:ind w:left="0" w:firstLine="709"/>
        <w:jc w:val="both"/>
        <w:rPr>
          <w:rFonts w:ascii="Times New Roman" w:hAnsi="Times New Roman" w:cs="Times New Roman"/>
        </w:rPr>
      </w:pPr>
      <w:proofErr w:type="spellStart"/>
      <w:r w:rsidRPr="000655A8">
        <w:rPr>
          <w:rFonts w:ascii="Times New Roman" w:hAnsi="Times New Roman" w:cs="Times New Roman"/>
        </w:rPr>
        <w:t>Wang</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Kun</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Huang</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Jianhao</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Chen</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Haixin</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Wang</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Yi</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Yan</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Wei</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Yuan</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Xianxia</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Song</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Shuqin</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Zhang</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Jiujun</w:t>
      </w:r>
      <w:proofErr w:type="spellEnd"/>
      <w:r w:rsidRPr="000655A8">
        <w:rPr>
          <w:rFonts w:ascii="Times New Roman" w:hAnsi="Times New Roman" w:cs="Times New Roman"/>
        </w:rPr>
        <w:t xml:space="preserve"> &amp; </w:t>
      </w:r>
      <w:proofErr w:type="spellStart"/>
      <w:r w:rsidRPr="000655A8">
        <w:rPr>
          <w:rFonts w:ascii="Times New Roman" w:hAnsi="Times New Roman" w:cs="Times New Roman"/>
        </w:rPr>
        <w:t>Sun</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Xueliang</w:t>
      </w:r>
      <w:proofErr w:type="spellEnd"/>
      <w:r w:rsidRPr="000655A8">
        <w:rPr>
          <w:rFonts w:ascii="Times New Roman" w:hAnsi="Times New Roman" w:cs="Times New Roman"/>
        </w:rPr>
        <w:t xml:space="preserve">. (2022). </w:t>
      </w:r>
      <w:proofErr w:type="spellStart"/>
      <w:r w:rsidRPr="000655A8">
        <w:rPr>
          <w:rFonts w:ascii="Times New Roman" w:hAnsi="Times New Roman" w:cs="Times New Roman"/>
        </w:rPr>
        <w:t>Recent</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Progress</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in</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High</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Entropy</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Alloys</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for</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Electrocatalysts</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Electrochemical</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Energy</w:t>
      </w:r>
      <w:proofErr w:type="spellEnd"/>
      <w:r w:rsidRPr="000655A8">
        <w:rPr>
          <w:rFonts w:ascii="Times New Roman" w:hAnsi="Times New Roman" w:cs="Times New Roman"/>
        </w:rPr>
        <w:t xml:space="preserve"> </w:t>
      </w:r>
      <w:proofErr w:type="spellStart"/>
      <w:r w:rsidRPr="000655A8">
        <w:rPr>
          <w:rFonts w:ascii="Times New Roman" w:hAnsi="Times New Roman" w:cs="Times New Roman"/>
        </w:rPr>
        <w:t>Reviews</w:t>
      </w:r>
      <w:proofErr w:type="spellEnd"/>
      <w:r w:rsidRPr="000655A8">
        <w:rPr>
          <w:rFonts w:ascii="Times New Roman" w:hAnsi="Times New Roman" w:cs="Times New Roman"/>
        </w:rPr>
        <w:t xml:space="preserve">. 5. </w:t>
      </w:r>
      <w:hyperlink r:id="rId12" w:history="1">
        <w:r w:rsidRPr="000655A8">
          <w:rPr>
            <w:rStyle w:val="af"/>
            <w:rFonts w:ascii="Times New Roman" w:hAnsi="Times New Roman" w:cs="Times New Roman"/>
          </w:rPr>
          <w:t>https://doi.org/</w:t>
        </w:r>
        <w:r w:rsidRPr="00B5199B">
          <w:rPr>
            <w:rStyle w:val="af"/>
            <w:rFonts w:ascii="Times New Roman" w:hAnsi="Times New Roman" w:cs="Times New Roman"/>
          </w:rPr>
          <w:t>10.1007/s41918-022-00144-8</w:t>
        </w:r>
      </w:hyperlink>
      <w:r>
        <w:rPr>
          <w:rFonts w:ascii="Times New Roman" w:hAnsi="Times New Roman" w:cs="Times New Roman"/>
          <w:lang w:val="cs-CZ"/>
        </w:rPr>
        <w:t xml:space="preserve">. </w:t>
      </w:r>
      <w:r w:rsidRPr="000655A8">
        <w:rPr>
          <w:rFonts w:ascii="Times New Roman" w:hAnsi="Times New Roman" w:cs="Times New Roman"/>
        </w:rPr>
        <w:t xml:space="preserve">. </w:t>
      </w:r>
    </w:p>
    <w:p w14:paraId="267C43F6" w14:textId="23AD560C" w:rsidR="00526B36" w:rsidRPr="00526B36" w:rsidRDefault="00526B36" w:rsidP="005277E2">
      <w:pPr>
        <w:pStyle w:val="a9"/>
        <w:numPr>
          <w:ilvl w:val="0"/>
          <w:numId w:val="2"/>
        </w:numPr>
        <w:spacing w:after="0" w:line="360" w:lineRule="auto"/>
        <w:ind w:left="0" w:firstLine="709"/>
        <w:jc w:val="both"/>
        <w:rPr>
          <w:rFonts w:ascii="Times New Roman" w:hAnsi="Times New Roman" w:cs="Times New Roman"/>
        </w:rPr>
      </w:pPr>
      <w:proofErr w:type="spellStart"/>
      <w:r w:rsidRPr="00526B36">
        <w:rPr>
          <w:rFonts w:ascii="Times New Roman" w:hAnsi="Times New Roman" w:cs="Times New Roman"/>
        </w:rPr>
        <w:t>Zhang</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Xueping</w:t>
      </w:r>
      <w:proofErr w:type="spellEnd"/>
      <w:r w:rsidRPr="00526B36">
        <w:rPr>
          <w:rFonts w:ascii="Times New Roman" w:hAnsi="Times New Roman" w:cs="Times New Roman"/>
        </w:rPr>
        <w:t xml:space="preserve"> &amp; </w:t>
      </w:r>
      <w:proofErr w:type="spellStart"/>
      <w:r w:rsidRPr="00526B36">
        <w:rPr>
          <w:rFonts w:ascii="Times New Roman" w:hAnsi="Times New Roman" w:cs="Times New Roman"/>
        </w:rPr>
        <w:t>Liu</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Yunjian</w:t>
      </w:r>
      <w:proofErr w:type="spellEnd"/>
      <w:r w:rsidRPr="00526B36">
        <w:rPr>
          <w:rFonts w:ascii="Times New Roman" w:hAnsi="Times New Roman" w:cs="Times New Roman"/>
        </w:rPr>
        <w:t xml:space="preserve"> &amp; </w:t>
      </w:r>
      <w:proofErr w:type="spellStart"/>
      <w:r w:rsidRPr="00526B36">
        <w:rPr>
          <w:rFonts w:ascii="Times New Roman" w:hAnsi="Times New Roman" w:cs="Times New Roman"/>
        </w:rPr>
        <w:t>Zhao</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Xiaohua</w:t>
      </w:r>
      <w:proofErr w:type="spellEnd"/>
      <w:r w:rsidRPr="00526B36">
        <w:rPr>
          <w:rFonts w:ascii="Times New Roman" w:hAnsi="Times New Roman" w:cs="Times New Roman"/>
        </w:rPr>
        <w:t xml:space="preserve"> &amp; </w:t>
      </w:r>
      <w:proofErr w:type="spellStart"/>
      <w:r w:rsidRPr="00526B36">
        <w:rPr>
          <w:rFonts w:ascii="Times New Roman" w:hAnsi="Times New Roman" w:cs="Times New Roman"/>
        </w:rPr>
        <w:t>Cheng</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Zhu</w:t>
      </w:r>
      <w:proofErr w:type="spellEnd"/>
      <w:r w:rsidRPr="00526B36">
        <w:rPr>
          <w:rFonts w:ascii="Times New Roman" w:hAnsi="Times New Roman" w:cs="Times New Roman"/>
        </w:rPr>
        <w:t xml:space="preserve"> &amp; </w:t>
      </w:r>
      <w:proofErr w:type="spellStart"/>
      <w:r w:rsidRPr="00526B36">
        <w:rPr>
          <w:rFonts w:ascii="Times New Roman" w:hAnsi="Times New Roman" w:cs="Times New Roman"/>
        </w:rPr>
        <w:t>Mu</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Xiaowei</w:t>
      </w:r>
      <w:proofErr w:type="spellEnd"/>
      <w:r w:rsidRPr="00526B36">
        <w:rPr>
          <w:rFonts w:ascii="Times New Roman" w:hAnsi="Times New Roman" w:cs="Times New Roman"/>
        </w:rPr>
        <w:t xml:space="preserve">. (2024). </w:t>
      </w:r>
      <w:proofErr w:type="spellStart"/>
      <w:r w:rsidRPr="00526B36">
        <w:rPr>
          <w:rFonts w:ascii="Times New Roman" w:hAnsi="Times New Roman" w:cs="Times New Roman"/>
        </w:rPr>
        <w:t>Recent</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Advances</w:t>
      </w:r>
      <w:proofErr w:type="spellEnd"/>
      <w:r w:rsidRPr="00526B36">
        <w:rPr>
          <w:rFonts w:ascii="Times New Roman" w:hAnsi="Times New Roman" w:cs="Times New Roman"/>
        </w:rPr>
        <w:t xml:space="preserve"> and </w:t>
      </w:r>
      <w:proofErr w:type="spellStart"/>
      <w:r w:rsidRPr="00526B36">
        <w:rPr>
          <w:rFonts w:ascii="Times New Roman" w:hAnsi="Times New Roman" w:cs="Times New Roman"/>
        </w:rPr>
        <w:t>Perspectives</w:t>
      </w:r>
      <w:proofErr w:type="spellEnd"/>
      <w:r w:rsidRPr="00526B36">
        <w:rPr>
          <w:rFonts w:ascii="Times New Roman" w:hAnsi="Times New Roman" w:cs="Times New Roman"/>
        </w:rPr>
        <w:t xml:space="preserve"> of </w:t>
      </w:r>
      <w:proofErr w:type="spellStart"/>
      <w:r w:rsidRPr="00526B36">
        <w:rPr>
          <w:rFonts w:ascii="Times New Roman" w:hAnsi="Times New Roman" w:cs="Times New Roman"/>
        </w:rPr>
        <w:t>High-Entropy</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Alloys</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as</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Electrocatalysts</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for</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Metal-Air</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Batteries</w:t>
      </w:r>
      <w:proofErr w:type="spellEnd"/>
      <w:r w:rsidRPr="00526B36">
        <w:rPr>
          <w:rFonts w:ascii="Times New Roman" w:hAnsi="Times New Roman" w:cs="Times New Roman"/>
        </w:rPr>
        <w:t xml:space="preserve">. </w:t>
      </w:r>
      <w:proofErr w:type="spellStart"/>
      <w:r w:rsidRPr="00526B36">
        <w:rPr>
          <w:rFonts w:ascii="Times New Roman" w:hAnsi="Times New Roman" w:cs="Times New Roman"/>
        </w:rPr>
        <w:t>Energy</w:t>
      </w:r>
      <w:proofErr w:type="spellEnd"/>
      <w:r w:rsidRPr="00526B36">
        <w:rPr>
          <w:rFonts w:ascii="Times New Roman" w:hAnsi="Times New Roman" w:cs="Times New Roman"/>
        </w:rPr>
        <w:t xml:space="preserve"> &amp; </w:t>
      </w:r>
      <w:proofErr w:type="spellStart"/>
      <w:r w:rsidRPr="00526B36">
        <w:rPr>
          <w:rFonts w:ascii="Times New Roman" w:hAnsi="Times New Roman" w:cs="Times New Roman"/>
        </w:rPr>
        <w:t>Fuels</w:t>
      </w:r>
      <w:proofErr w:type="spellEnd"/>
      <w:r w:rsidRPr="00526B36">
        <w:rPr>
          <w:rFonts w:ascii="Times New Roman" w:hAnsi="Times New Roman" w:cs="Times New Roman"/>
        </w:rPr>
        <w:t xml:space="preserve">. 38. 19236-19252. </w:t>
      </w:r>
      <w:hyperlink r:id="rId13" w:history="1">
        <w:r w:rsidR="000655A8" w:rsidRPr="000655A8">
          <w:rPr>
            <w:rStyle w:val="af"/>
            <w:rFonts w:ascii="Times New Roman" w:hAnsi="Times New Roman" w:cs="Times New Roman"/>
          </w:rPr>
          <w:t>https://doi.org/</w:t>
        </w:r>
        <w:r w:rsidR="00786A8F" w:rsidRPr="00B5199B">
          <w:rPr>
            <w:rStyle w:val="af"/>
            <w:rFonts w:ascii="Times New Roman" w:hAnsi="Times New Roman" w:cs="Times New Roman"/>
          </w:rPr>
          <w:t>10.1021/acs.energyfuels</w:t>
        </w:r>
        <w:r w:rsidR="00786A8F" w:rsidRPr="00B5199B">
          <w:rPr>
            <w:rStyle w:val="af"/>
            <w:rFonts w:ascii="Times New Roman" w:hAnsi="Times New Roman" w:cs="Times New Roman"/>
          </w:rPr>
          <w:t>.</w:t>
        </w:r>
        <w:r w:rsidR="00786A8F" w:rsidRPr="00B5199B">
          <w:rPr>
            <w:rStyle w:val="af"/>
            <w:rFonts w:ascii="Times New Roman" w:hAnsi="Times New Roman" w:cs="Times New Roman"/>
          </w:rPr>
          <w:t>4c03386</w:t>
        </w:r>
      </w:hyperlink>
      <w:r w:rsidR="00786A8F">
        <w:rPr>
          <w:rFonts w:ascii="Times New Roman" w:hAnsi="Times New Roman" w:cs="Times New Roman"/>
          <w:lang w:val="cs-CZ"/>
        </w:rPr>
        <w:t xml:space="preserve"> </w:t>
      </w:r>
      <w:r w:rsidRPr="00526B36">
        <w:rPr>
          <w:rFonts w:ascii="Times New Roman" w:hAnsi="Times New Roman" w:cs="Times New Roman"/>
        </w:rPr>
        <w:t xml:space="preserve">. </w:t>
      </w:r>
    </w:p>
    <w:p w14:paraId="72151EB7" w14:textId="52C2E10F" w:rsidR="005277E2" w:rsidRPr="005277E2" w:rsidRDefault="005277E2" w:rsidP="005277E2">
      <w:pPr>
        <w:pStyle w:val="a9"/>
        <w:numPr>
          <w:ilvl w:val="0"/>
          <w:numId w:val="2"/>
        </w:numPr>
        <w:spacing w:after="0" w:line="360" w:lineRule="auto"/>
        <w:ind w:left="0" w:firstLine="709"/>
        <w:jc w:val="both"/>
        <w:rPr>
          <w:rFonts w:ascii="Times New Roman" w:hAnsi="Times New Roman" w:cs="Times New Roman"/>
        </w:rPr>
      </w:pPr>
      <w:proofErr w:type="spellStart"/>
      <w:r w:rsidRPr="005277E2">
        <w:rPr>
          <w:rFonts w:ascii="Times New Roman" w:hAnsi="Times New Roman" w:cs="Times New Roman"/>
        </w:rPr>
        <w:t>Chen</w:t>
      </w:r>
      <w:proofErr w:type="spellEnd"/>
      <w:r w:rsidRPr="005277E2">
        <w:rPr>
          <w:rFonts w:ascii="Times New Roman" w:hAnsi="Times New Roman" w:cs="Times New Roman"/>
        </w:rPr>
        <w:t xml:space="preserve"> S., </w:t>
      </w:r>
      <w:proofErr w:type="spellStart"/>
      <w:r w:rsidRPr="005277E2">
        <w:rPr>
          <w:rFonts w:ascii="Times New Roman" w:hAnsi="Times New Roman" w:cs="Times New Roman"/>
        </w:rPr>
        <w:t>Liu</w:t>
      </w:r>
      <w:proofErr w:type="spellEnd"/>
      <w:r w:rsidRPr="005277E2">
        <w:rPr>
          <w:rFonts w:ascii="Times New Roman" w:hAnsi="Times New Roman" w:cs="Times New Roman"/>
        </w:rPr>
        <w:t xml:space="preserve"> Y., </w:t>
      </w:r>
      <w:proofErr w:type="spellStart"/>
      <w:r w:rsidRPr="005277E2">
        <w:rPr>
          <w:rFonts w:ascii="Times New Roman" w:hAnsi="Times New Roman" w:cs="Times New Roman"/>
        </w:rPr>
        <w:t>Wang</w:t>
      </w:r>
      <w:proofErr w:type="spellEnd"/>
      <w:r w:rsidRPr="005277E2">
        <w:rPr>
          <w:rFonts w:ascii="Times New Roman" w:hAnsi="Times New Roman" w:cs="Times New Roman"/>
        </w:rPr>
        <w:t xml:space="preserve"> S. et al. </w:t>
      </w:r>
      <w:proofErr w:type="spellStart"/>
      <w:r w:rsidRPr="005277E2">
        <w:rPr>
          <w:rFonts w:ascii="Times New Roman" w:hAnsi="Times New Roman" w:cs="Times New Roman"/>
        </w:rPr>
        <w:t>Noble-metal-free</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high-entropy</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alloys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for</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efficient</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electrocatalytic</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hydrogen</w:t>
      </w:r>
      <w:proofErr w:type="spellEnd"/>
      <w:r w:rsidRPr="005277E2">
        <w:rPr>
          <w:rFonts w:ascii="Times New Roman" w:hAnsi="Times New Roman" w:cs="Times New Roman"/>
        </w:rPr>
        <w:t xml:space="preserve"> and </w:t>
      </w:r>
      <w:proofErr w:type="spellStart"/>
      <w:r w:rsidRPr="005277E2">
        <w:rPr>
          <w:rFonts w:ascii="Times New Roman" w:hAnsi="Times New Roman" w:cs="Times New Roman"/>
        </w:rPr>
        <w:t>oxygen</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evolution</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reactions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Energy</w:t>
      </w:r>
      <w:proofErr w:type="spellEnd"/>
      <w:r w:rsidRPr="005277E2">
        <w:rPr>
          <w:rFonts w:ascii="Times New Roman" w:hAnsi="Times New Roman" w:cs="Times New Roman"/>
        </w:rPr>
        <w:t xml:space="preserve"> &amp; </w:t>
      </w:r>
      <w:proofErr w:type="spellStart"/>
      <w:r w:rsidRPr="005277E2">
        <w:rPr>
          <w:rFonts w:ascii="Times New Roman" w:hAnsi="Times New Roman" w:cs="Times New Roman"/>
        </w:rPr>
        <w:t>Environmental</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Science</w:t>
      </w:r>
      <w:proofErr w:type="spellEnd"/>
      <w:r w:rsidRPr="005277E2">
        <w:rPr>
          <w:rFonts w:ascii="Times New Roman" w:hAnsi="Times New Roman" w:cs="Times New Roman"/>
        </w:rPr>
        <w:t xml:space="preserve">. 2025. </w:t>
      </w:r>
      <w:proofErr w:type="spellStart"/>
      <w:r w:rsidRPr="005277E2">
        <w:rPr>
          <w:rFonts w:ascii="Times New Roman" w:hAnsi="Times New Roman" w:cs="Times New Roman"/>
        </w:rPr>
        <w:t>Vol</w:t>
      </w:r>
      <w:proofErr w:type="spellEnd"/>
      <w:r w:rsidRPr="005277E2">
        <w:rPr>
          <w:rFonts w:ascii="Times New Roman" w:hAnsi="Times New Roman" w:cs="Times New Roman"/>
        </w:rPr>
        <w:t xml:space="preserve">. 18, № 4. P. 1123–1135. </w:t>
      </w:r>
      <w:hyperlink r:id="rId14" w:history="1">
        <w:r w:rsidR="00290FF1" w:rsidRPr="00B5199B">
          <w:rPr>
            <w:rStyle w:val="af"/>
            <w:rFonts w:ascii="Times New Roman" w:hAnsi="Times New Roman" w:cs="Times New Roman"/>
          </w:rPr>
          <w:t>https://doi.org/10.1021/acsmaterialslett.9b00414</w:t>
        </w:r>
      </w:hyperlink>
      <w:r w:rsidR="00290FF1">
        <w:rPr>
          <w:rFonts w:ascii="Times New Roman" w:hAnsi="Times New Roman" w:cs="Times New Roman"/>
          <w:lang w:val="cs-CZ"/>
        </w:rPr>
        <w:t xml:space="preserve">. </w:t>
      </w:r>
    </w:p>
    <w:p w14:paraId="2F483816" w14:textId="3E7EED53" w:rsidR="005277E2" w:rsidRPr="005277E2" w:rsidRDefault="005277E2" w:rsidP="005277E2">
      <w:pPr>
        <w:pStyle w:val="a9"/>
        <w:numPr>
          <w:ilvl w:val="0"/>
          <w:numId w:val="2"/>
        </w:numPr>
        <w:spacing w:after="0" w:line="360" w:lineRule="auto"/>
        <w:ind w:left="0" w:firstLine="709"/>
        <w:jc w:val="both"/>
        <w:rPr>
          <w:rFonts w:ascii="Times New Roman" w:hAnsi="Times New Roman" w:cs="Times New Roman"/>
        </w:rPr>
      </w:pPr>
      <w:proofErr w:type="spellStart"/>
      <w:r w:rsidRPr="005277E2">
        <w:rPr>
          <w:rFonts w:ascii="Times New Roman" w:hAnsi="Times New Roman" w:cs="Times New Roman"/>
        </w:rPr>
        <w:t>Wang</w:t>
      </w:r>
      <w:proofErr w:type="spellEnd"/>
      <w:r w:rsidRPr="005277E2">
        <w:rPr>
          <w:rFonts w:ascii="Times New Roman" w:hAnsi="Times New Roman" w:cs="Times New Roman"/>
        </w:rPr>
        <w:t xml:space="preserve"> J., </w:t>
      </w:r>
      <w:proofErr w:type="spellStart"/>
      <w:r w:rsidRPr="005277E2">
        <w:rPr>
          <w:rFonts w:ascii="Times New Roman" w:hAnsi="Times New Roman" w:cs="Times New Roman"/>
        </w:rPr>
        <w:t>Zhang</w:t>
      </w:r>
      <w:proofErr w:type="spellEnd"/>
      <w:r w:rsidRPr="005277E2">
        <w:rPr>
          <w:rFonts w:ascii="Times New Roman" w:hAnsi="Times New Roman" w:cs="Times New Roman"/>
        </w:rPr>
        <w:t xml:space="preserve"> Y., </w:t>
      </w:r>
      <w:proofErr w:type="spellStart"/>
      <w:r w:rsidRPr="005277E2">
        <w:rPr>
          <w:rFonts w:ascii="Times New Roman" w:hAnsi="Times New Roman" w:cs="Times New Roman"/>
        </w:rPr>
        <w:t>Li</w:t>
      </w:r>
      <w:proofErr w:type="spellEnd"/>
      <w:r w:rsidRPr="005277E2">
        <w:rPr>
          <w:rFonts w:ascii="Times New Roman" w:hAnsi="Times New Roman" w:cs="Times New Roman"/>
        </w:rPr>
        <w:t xml:space="preserve"> H. et al. </w:t>
      </w:r>
      <w:proofErr w:type="spellStart"/>
      <w:r w:rsidRPr="005277E2">
        <w:rPr>
          <w:rFonts w:ascii="Times New Roman" w:hAnsi="Times New Roman" w:cs="Times New Roman"/>
        </w:rPr>
        <w:t>Synergistic</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effects</w:t>
      </w:r>
      <w:proofErr w:type="spellEnd"/>
      <w:r w:rsidRPr="005277E2">
        <w:rPr>
          <w:rFonts w:ascii="Times New Roman" w:hAnsi="Times New Roman" w:cs="Times New Roman"/>
        </w:rPr>
        <w:t xml:space="preserve"> of </w:t>
      </w:r>
      <w:proofErr w:type="spellStart"/>
      <w:r w:rsidRPr="005277E2">
        <w:rPr>
          <w:rFonts w:ascii="Times New Roman" w:hAnsi="Times New Roman" w:cs="Times New Roman"/>
        </w:rPr>
        <w:t>non-ferrous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metals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in</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high-entropy</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alloy</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electrocatalysts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for</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alkaline</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water</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splitting</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Journal</w:t>
      </w:r>
      <w:proofErr w:type="spellEnd"/>
      <w:r w:rsidRPr="005277E2">
        <w:rPr>
          <w:rFonts w:ascii="Times New Roman" w:hAnsi="Times New Roman" w:cs="Times New Roman"/>
        </w:rPr>
        <w:t xml:space="preserve"> of </w:t>
      </w:r>
      <w:proofErr w:type="spellStart"/>
      <w:r w:rsidRPr="005277E2">
        <w:rPr>
          <w:rFonts w:ascii="Times New Roman" w:hAnsi="Times New Roman" w:cs="Times New Roman"/>
        </w:rPr>
        <w:t>Materials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Chemistry</w:t>
      </w:r>
      <w:proofErr w:type="spellEnd"/>
      <w:r w:rsidRPr="005277E2">
        <w:rPr>
          <w:rFonts w:ascii="Times New Roman" w:hAnsi="Times New Roman" w:cs="Times New Roman"/>
        </w:rPr>
        <w:t xml:space="preserve"> A. 2024. </w:t>
      </w:r>
      <w:proofErr w:type="spellStart"/>
      <w:r w:rsidRPr="005277E2">
        <w:rPr>
          <w:rFonts w:ascii="Times New Roman" w:hAnsi="Times New Roman" w:cs="Times New Roman"/>
        </w:rPr>
        <w:t>Vol</w:t>
      </w:r>
      <w:proofErr w:type="spellEnd"/>
      <w:r w:rsidRPr="005277E2">
        <w:rPr>
          <w:rFonts w:ascii="Times New Roman" w:hAnsi="Times New Roman" w:cs="Times New Roman"/>
        </w:rPr>
        <w:t xml:space="preserve">. 12, № 38. P. 18450–18462. </w:t>
      </w:r>
      <w:hyperlink r:id="rId15" w:history="1">
        <w:r w:rsidR="002626DF" w:rsidRPr="00B5199B">
          <w:rPr>
            <w:rStyle w:val="af"/>
            <w:rFonts w:ascii="Times New Roman" w:hAnsi="Times New Roman" w:cs="Times New Roman"/>
          </w:rPr>
          <w:t>https://doi.org/10.1007/s40843-022-2379-8</w:t>
        </w:r>
      </w:hyperlink>
      <w:r w:rsidR="004C4412">
        <w:rPr>
          <w:rFonts w:ascii="Times New Roman" w:hAnsi="Times New Roman" w:cs="Times New Roman"/>
          <w:lang w:val="cs-CZ"/>
        </w:rPr>
        <w:t xml:space="preserve">. </w:t>
      </w:r>
    </w:p>
    <w:p w14:paraId="0734F6E0" w14:textId="521D6174" w:rsidR="00EF623C" w:rsidRPr="005277E2" w:rsidRDefault="005277E2" w:rsidP="005277E2">
      <w:pPr>
        <w:pStyle w:val="a9"/>
        <w:numPr>
          <w:ilvl w:val="0"/>
          <w:numId w:val="2"/>
        </w:numPr>
        <w:spacing w:after="0" w:line="360" w:lineRule="auto"/>
        <w:ind w:left="0" w:firstLine="709"/>
        <w:jc w:val="both"/>
        <w:rPr>
          <w:rFonts w:ascii="Times New Roman" w:hAnsi="Times New Roman" w:cs="Times New Roman"/>
        </w:rPr>
      </w:pPr>
      <w:proofErr w:type="spellStart"/>
      <w:r w:rsidRPr="005277E2">
        <w:rPr>
          <w:rFonts w:ascii="Times New Roman" w:hAnsi="Times New Roman" w:cs="Times New Roman"/>
        </w:rPr>
        <w:t>International</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Energy</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Agency</w:t>
      </w:r>
      <w:proofErr w:type="spellEnd"/>
      <w:r w:rsidRPr="005277E2">
        <w:rPr>
          <w:rFonts w:ascii="Times New Roman" w:hAnsi="Times New Roman" w:cs="Times New Roman"/>
        </w:rPr>
        <w:t xml:space="preserve"> (IEA). </w:t>
      </w:r>
      <w:proofErr w:type="spellStart"/>
      <w:r w:rsidRPr="005277E2">
        <w:rPr>
          <w:rFonts w:ascii="Times New Roman" w:hAnsi="Times New Roman" w:cs="Times New Roman"/>
        </w:rPr>
        <w:t>The</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Future</w:t>
      </w:r>
      <w:proofErr w:type="spellEnd"/>
      <w:r w:rsidRPr="005277E2">
        <w:rPr>
          <w:rFonts w:ascii="Times New Roman" w:hAnsi="Times New Roman" w:cs="Times New Roman"/>
        </w:rPr>
        <w:t xml:space="preserve"> of </w:t>
      </w:r>
      <w:proofErr w:type="spellStart"/>
      <w:r w:rsidRPr="005277E2">
        <w:rPr>
          <w:rFonts w:ascii="Times New Roman" w:hAnsi="Times New Roman" w:cs="Times New Roman"/>
        </w:rPr>
        <w:t>Hydrogen</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Seizing</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today’s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opportunities</w:t>
      </w:r>
      <w:proofErr w:type="spellEnd"/>
      <w:r w:rsidRPr="005277E2">
        <w:rPr>
          <w:rFonts w:ascii="Times New Roman" w:hAnsi="Times New Roman" w:cs="Times New Roman"/>
        </w:rPr>
        <w:t xml:space="preserve">. </w:t>
      </w:r>
      <w:proofErr w:type="spellStart"/>
      <w:r w:rsidRPr="005277E2">
        <w:rPr>
          <w:rFonts w:ascii="Times New Roman" w:hAnsi="Times New Roman" w:cs="Times New Roman"/>
        </w:rPr>
        <w:t>Paris</w:t>
      </w:r>
      <w:proofErr w:type="spellEnd"/>
      <w:r w:rsidRPr="005277E2">
        <w:rPr>
          <w:rFonts w:ascii="Times New Roman" w:hAnsi="Times New Roman" w:cs="Times New Roman"/>
        </w:rPr>
        <w:t xml:space="preserve"> : IEA, 2025. 180 p. URL: </w:t>
      </w:r>
      <w:hyperlink r:id="rId16" w:history="1">
        <w:r w:rsidR="004C4412" w:rsidRPr="00B5199B">
          <w:rPr>
            <w:rStyle w:val="af"/>
            <w:rFonts w:ascii="Times New Roman" w:hAnsi="Times New Roman" w:cs="Times New Roman"/>
          </w:rPr>
          <w:t>https://www.</w:t>
        </w:r>
        <w:r w:rsidR="004C4412" w:rsidRPr="00B5199B">
          <w:rPr>
            <w:rStyle w:val="af"/>
            <w:rFonts w:ascii="Times New Roman" w:hAnsi="Times New Roman" w:cs="Times New Roman"/>
          </w:rPr>
          <w:t>i</w:t>
        </w:r>
        <w:r w:rsidR="004C4412" w:rsidRPr="00B5199B">
          <w:rPr>
            <w:rStyle w:val="af"/>
            <w:rFonts w:ascii="Times New Roman" w:hAnsi="Times New Roman" w:cs="Times New Roman"/>
          </w:rPr>
          <w:t>ea.org/reports/the-future-of-hydrogen</w:t>
        </w:r>
      </w:hyperlink>
      <w:r w:rsidR="004C4412">
        <w:rPr>
          <w:rFonts w:ascii="Times New Roman" w:hAnsi="Times New Roman" w:cs="Times New Roman"/>
          <w:lang w:val="cs-CZ"/>
        </w:rPr>
        <w:t xml:space="preserve"> </w:t>
      </w:r>
      <w:r w:rsidRPr="005277E2">
        <w:rPr>
          <w:rFonts w:ascii="Times New Roman" w:hAnsi="Times New Roman" w:cs="Times New Roman"/>
        </w:rPr>
        <w:t xml:space="preserve"> (дата звернення: 10.12.2025).</w:t>
      </w:r>
    </w:p>
    <w:sectPr w:rsidR="00EF623C" w:rsidRPr="005277E2" w:rsidSect="00FA21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518"/>
    <w:multiLevelType w:val="hybridMultilevel"/>
    <w:tmpl w:val="438E036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93E11AA"/>
    <w:multiLevelType w:val="multilevel"/>
    <w:tmpl w:val="8E86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388021">
    <w:abstractNumId w:val="1"/>
  </w:num>
  <w:num w:numId="2" w16cid:durableId="143879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CB"/>
    <w:rsid w:val="00014F81"/>
    <w:rsid w:val="000655A8"/>
    <w:rsid w:val="000966AD"/>
    <w:rsid w:val="000B5A23"/>
    <w:rsid w:val="000C0BF8"/>
    <w:rsid w:val="000D5E31"/>
    <w:rsid w:val="000F63EE"/>
    <w:rsid w:val="001B63CB"/>
    <w:rsid w:val="001F3B41"/>
    <w:rsid w:val="0025234D"/>
    <w:rsid w:val="002626DF"/>
    <w:rsid w:val="00290FF1"/>
    <w:rsid w:val="002D64FD"/>
    <w:rsid w:val="002F299C"/>
    <w:rsid w:val="00306DE2"/>
    <w:rsid w:val="0033166F"/>
    <w:rsid w:val="00393168"/>
    <w:rsid w:val="003D0354"/>
    <w:rsid w:val="003F2C2D"/>
    <w:rsid w:val="003F7171"/>
    <w:rsid w:val="00420B1E"/>
    <w:rsid w:val="004821FE"/>
    <w:rsid w:val="004A305D"/>
    <w:rsid w:val="004A46E3"/>
    <w:rsid w:val="004C4412"/>
    <w:rsid w:val="004F3F1E"/>
    <w:rsid w:val="00526B36"/>
    <w:rsid w:val="005277E2"/>
    <w:rsid w:val="00527CBC"/>
    <w:rsid w:val="005A443A"/>
    <w:rsid w:val="005E5C49"/>
    <w:rsid w:val="006472C4"/>
    <w:rsid w:val="00660AA8"/>
    <w:rsid w:val="00662E7F"/>
    <w:rsid w:val="006A41CF"/>
    <w:rsid w:val="006E1DC8"/>
    <w:rsid w:val="00721E42"/>
    <w:rsid w:val="00786A8F"/>
    <w:rsid w:val="0079116A"/>
    <w:rsid w:val="007C40E5"/>
    <w:rsid w:val="0085550C"/>
    <w:rsid w:val="00856218"/>
    <w:rsid w:val="008A377C"/>
    <w:rsid w:val="00920D4F"/>
    <w:rsid w:val="0093357D"/>
    <w:rsid w:val="009628C2"/>
    <w:rsid w:val="00AB3896"/>
    <w:rsid w:val="00B00CE8"/>
    <w:rsid w:val="00B3570A"/>
    <w:rsid w:val="00B36F3F"/>
    <w:rsid w:val="00BC55E4"/>
    <w:rsid w:val="00C420BA"/>
    <w:rsid w:val="00C70D9D"/>
    <w:rsid w:val="00DD638E"/>
    <w:rsid w:val="00E833A7"/>
    <w:rsid w:val="00EB3BA5"/>
    <w:rsid w:val="00EC3487"/>
    <w:rsid w:val="00EE485B"/>
    <w:rsid w:val="00EF623C"/>
    <w:rsid w:val="00F35D86"/>
    <w:rsid w:val="00F36FCB"/>
    <w:rsid w:val="00F5362B"/>
    <w:rsid w:val="00F848AD"/>
    <w:rsid w:val="00FA212E"/>
    <w:rsid w:val="00FD5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1112"/>
  <w15:chartTrackingRefBased/>
  <w15:docId w15:val="{080E05AF-2200-4CBA-807C-7B8415D2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qFormat/>
    <w:rsid w:val="0079116A"/>
    <w:pPr>
      <w:spacing w:after="0" w:line="360" w:lineRule="auto"/>
      <w:ind w:firstLine="709"/>
      <w:jc w:val="center"/>
      <w:outlineLvl w:val="0"/>
    </w:pPr>
    <w:rPr>
      <w:b/>
      <w:bCs/>
      <w:sz w:val="28"/>
      <w:szCs w:val="28"/>
      <w:lang w:eastAsia="ru-RU"/>
    </w:rPr>
  </w:style>
  <w:style w:type="paragraph" w:styleId="2">
    <w:name w:val="heading 2"/>
    <w:basedOn w:val="a"/>
    <w:next w:val="a"/>
    <w:link w:val="20"/>
    <w:uiPriority w:val="9"/>
    <w:semiHidden/>
    <w:unhideWhenUsed/>
    <w:qFormat/>
    <w:rsid w:val="00791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11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B63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B63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B63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63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63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63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16A"/>
    <w:rPr>
      <w:b/>
      <w:bCs/>
      <w:sz w:val="28"/>
      <w:szCs w:val="28"/>
      <w:lang w:eastAsia="ru-RU"/>
    </w:rPr>
  </w:style>
  <w:style w:type="paragraph" w:customStyle="1" w:styleId="21">
    <w:name w:val="2"/>
    <w:basedOn w:val="2"/>
    <w:link w:val="22"/>
    <w:qFormat/>
    <w:rsid w:val="0079116A"/>
    <w:pPr>
      <w:keepLines w:val="0"/>
      <w:spacing w:before="0" w:after="0" w:line="360" w:lineRule="auto"/>
      <w:ind w:firstLine="709"/>
      <w:jc w:val="both"/>
    </w:pPr>
    <w:rPr>
      <w:rFonts w:asciiTheme="minorHAnsi" w:eastAsia="Times New Roman" w:hAnsiTheme="minorHAnsi" w:cs="Times New Roman"/>
      <w:b/>
      <w:i/>
      <w:iCs/>
      <w:color w:val="auto"/>
      <w:sz w:val="28"/>
      <w:szCs w:val="28"/>
      <w:lang w:eastAsia="ru-RU"/>
    </w:rPr>
  </w:style>
  <w:style w:type="character" w:customStyle="1" w:styleId="22">
    <w:name w:val="2 Знак"/>
    <w:link w:val="21"/>
    <w:rsid w:val="0079116A"/>
    <w:rPr>
      <w:rFonts w:eastAsia="Times New Roman" w:cs="Times New Roman"/>
      <w:b/>
      <w:i/>
      <w:iCs/>
      <w:sz w:val="28"/>
      <w:szCs w:val="28"/>
      <w:lang w:eastAsia="ru-RU"/>
    </w:rPr>
  </w:style>
  <w:style w:type="character" w:customStyle="1" w:styleId="20">
    <w:name w:val="Заголовок 2 Знак"/>
    <w:basedOn w:val="a0"/>
    <w:link w:val="2"/>
    <w:uiPriority w:val="9"/>
    <w:semiHidden/>
    <w:rsid w:val="0079116A"/>
    <w:rPr>
      <w:rFonts w:asciiTheme="majorHAnsi" w:eastAsiaTheme="majorEastAsia" w:hAnsiTheme="majorHAnsi" w:cstheme="majorBidi"/>
      <w:color w:val="0F4761" w:themeColor="accent1" w:themeShade="BF"/>
      <w:sz w:val="32"/>
      <w:szCs w:val="32"/>
    </w:rPr>
  </w:style>
  <w:style w:type="paragraph" w:customStyle="1" w:styleId="11">
    <w:name w:val="1"/>
    <w:basedOn w:val="1"/>
    <w:link w:val="12"/>
    <w:qFormat/>
    <w:rsid w:val="0079116A"/>
    <w:rPr>
      <w:bCs w:val="0"/>
    </w:rPr>
  </w:style>
  <w:style w:type="character" w:customStyle="1" w:styleId="12">
    <w:name w:val="1 Знак"/>
    <w:link w:val="11"/>
    <w:rsid w:val="0079116A"/>
    <w:rPr>
      <w:b/>
      <w:sz w:val="28"/>
      <w:szCs w:val="28"/>
      <w:lang w:eastAsia="ru-RU"/>
    </w:rPr>
  </w:style>
  <w:style w:type="paragraph" w:customStyle="1" w:styleId="31">
    <w:name w:val="3"/>
    <w:basedOn w:val="3"/>
    <w:link w:val="32"/>
    <w:qFormat/>
    <w:rsid w:val="0079116A"/>
    <w:pPr>
      <w:keepLines w:val="0"/>
      <w:spacing w:before="0" w:after="0" w:line="360" w:lineRule="auto"/>
      <w:ind w:firstLine="709"/>
      <w:jc w:val="both"/>
    </w:pPr>
    <w:rPr>
      <w:b/>
      <w:bCs/>
      <w:i/>
      <w:color w:val="auto"/>
      <w:szCs w:val="26"/>
      <w:lang w:eastAsia="ru-RU"/>
    </w:rPr>
  </w:style>
  <w:style w:type="character" w:customStyle="1" w:styleId="32">
    <w:name w:val="3 Знак"/>
    <w:link w:val="31"/>
    <w:rsid w:val="0079116A"/>
    <w:rPr>
      <w:rFonts w:eastAsiaTheme="majorEastAsia" w:cstheme="majorBidi"/>
      <w:b/>
      <w:bCs/>
      <w:i/>
      <w:sz w:val="28"/>
      <w:szCs w:val="26"/>
      <w:lang w:eastAsia="ru-RU"/>
    </w:rPr>
  </w:style>
  <w:style w:type="character" w:customStyle="1" w:styleId="30">
    <w:name w:val="Заголовок 3 Знак"/>
    <w:basedOn w:val="a0"/>
    <w:link w:val="3"/>
    <w:uiPriority w:val="9"/>
    <w:semiHidden/>
    <w:rsid w:val="007911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B63CB"/>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1B63CB"/>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1B63CB"/>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1B63CB"/>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1B63CB"/>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1B63CB"/>
    <w:rPr>
      <w:rFonts w:eastAsiaTheme="majorEastAsia" w:cstheme="majorBidi"/>
      <w:color w:val="272727" w:themeColor="text1" w:themeTint="D8"/>
      <w:lang w:val="uk-UA"/>
    </w:rPr>
  </w:style>
  <w:style w:type="paragraph" w:styleId="a3">
    <w:name w:val="Title"/>
    <w:basedOn w:val="a"/>
    <w:next w:val="a"/>
    <w:link w:val="a4"/>
    <w:uiPriority w:val="10"/>
    <w:qFormat/>
    <w:rsid w:val="001B6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B63CB"/>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B63C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B63CB"/>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1B63CB"/>
    <w:pPr>
      <w:spacing w:before="160"/>
      <w:jc w:val="center"/>
    </w:pPr>
    <w:rPr>
      <w:i/>
      <w:iCs/>
      <w:color w:val="404040" w:themeColor="text1" w:themeTint="BF"/>
    </w:rPr>
  </w:style>
  <w:style w:type="character" w:customStyle="1" w:styleId="a8">
    <w:name w:val="Цитата Знак"/>
    <w:basedOn w:val="a0"/>
    <w:link w:val="a7"/>
    <w:uiPriority w:val="29"/>
    <w:rsid w:val="001B63CB"/>
    <w:rPr>
      <w:i/>
      <w:iCs/>
      <w:color w:val="404040" w:themeColor="text1" w:themeTint="BF"/>
      <w:lang w:val="uk-UA"/>
    </w:rPr>
  </w:style>
  <w:style w:type="paragraph" w:styleId="a9">
    <w:name w:val="List Paragraph"/>
    <w:basedOn w:val="a"/>
    <w:uiPriority w:val="34"/>
    <w:qFormat/>
    <w:rsid w:val="001B63CB"/>
    <w:pPr>
      <w:ind w:left="720"/>
      <w:contextualSpacing/>
    </w:pPr>
  </w:style>
  <w:style w:type="character" w:styleId="aa">
    <w:name w:val="Intense Emphasis"/>
    <w:basedOn w:val="a0"/>
    <w:uiPriority w:val="21"/>
    <w:qFormat/>
    <w:rsid w:val="001B63CB"/>
    <w:rPr>
      <w:i/>
      <w:iCs/>
      <w:color w:val="0F4761" w:themeColor="accent1" w:themeShade="BF"/>
    </w:rPr>
  </w:style>
  <w:style w:type="paragraph" w:styleId="ab">
    <w:name w:val="Intense Quote"/>
    <w:basedOn w:val="a"/>
    <w:next w:val="a"/>
    <w:link w:val="ac"/>
    <w:uiPriority w:val="30"/>
    <w:qFormat/>
    <w:rsid w:val="001B6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B63CB"/>
    <w:rPr>
      <w:i/>
      <w:iCs/>
      <w:color w:val="0F4761" w:themeColor="accent1" w:themeShade="BF"/>
      <w:lang w:val="uk-UA"/>
    </w:rPr>
  </w:style>
  <w:style w:type="character" w:styleId="ad">
    <w:name w:val="Intense Reference"/>
    <w:basedOn w:val="a0"/>
    <w:uiPriority w:val="32"/>
    <w:qFormat/>
    <w:rsid w:val="001B63CB"/>
    <w:rPr>
      <w:b/>
      <w:bCs/>
      <w:smallCaps/>
      <w:color w:val="0F4761" w:themeColor="accent1" w:themeShade="BF"/>
      <w:spacing w:val="5"/>
    </w:rPr>
  </w:style>
  <w:style w:type="table" w:styleId="ae">
    <w:name w:val="Table Grid"/>
    <w:basedOn w:val="a1"/>
    <w:uiPriority w:val="39"/>
    <w:rsid w:val="0025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Plain Table 1"/>
    <w:basedOn w:val="a1"/>
    <w:uiPriority w:val="41"/>
    <w:rsid w:val="002523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
    <w:name w:val="Hyperlink"/>
    <w:basedOn w:val="a0"/>
    <w:uiPriority w:val="99"/>
    <w:unhideWhenUsed/>
    <w:rsid w:val="005277E2"/>
    <w:rPr>
      <w:color w:val="467886" w:themeColor="hyperlink"/>
      <w:u w:val="single"/>
    </w:rPr>
  </w:style>
  <w:style w:type="character" w:styleId="af0">
    <w:name w:val="Unresolved Mention"/>
    <w:basedOn w:val="a0"/>
    <w:uiPriority w:val="99"/>
    <w:semiHidden/>
    <w:unhideWhenUsed/>
    <w:rsid w:val="005277E2"/>
    <w:rPr>
      <w:color w:val="605E5C"/>
      <w:shd w:val="clear" w:color="auto" w:fill="E1DFDD"/>
    </w:rPr>
  </w:style>
  <w:style w:type="character" w:styleId="af1">
    <w:name w:val="FollowedHyperlink"/>
    <w:basedOn w:val="a0"/>
    <w:uiPriority w:val="99"/>
    <w:semiHidden/>
    <w:unhideWhenUsed/>
    <w:rsid w:val="004C44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dem.200300583" TargetMode="External"/><Relationship Id="rId13" Type="http://schemas.openxmlformats.org/officeDocument/2006/relationships/hyperlink" Target="https://doi.org/10.1021/acs.energyfuels.4c033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007/s41918-022-0014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ea.org/reports/the-future-of-hydroge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38/nature17981" TargetMode="External"/><Relationship Id="rId5" Type="http://schemas.openxmlformats.org/officeDocument/2006/relationships/webSettings" Target="webSettings.xml"/><Relationship Id="rId15" Type="http://schemas.openxmlformats.org/officeDocument/2006/relationships/hyperlink" Target="https://doi.org/10.1007/s40843-022-2379-8" TargetMode="External"/><Relationship Id="rId10" Type="http://schemas.openxmlformats.org/officeDocument/2006/relationships/hyperlink" Target="https://doi.org/10.1038/nature17981" TargetMode="External"/><Relationship Id="rId4" Type="http://schemas.openxmlformats.org/officeDocument/2006/relationships/settings" Target="settings.xml"/><Relationship Id="rId9" Type="http://schemas.openxmlformats.org/officeDocument/2006/relationships/hyperlink" Target="https://doi.org/10.1002/adem.200300567?urlappend=%3Futm_source%3Dresearchgate.net%26utm_medium%3Darticle" TargetMode="External"/><Relationship Id="rId14" Type="http://schemas.openxmlformats.org/officeDocument/2006/relationships/hyperlink" Target="https://doi.org/10.1021/acsmaterialslett.9b004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D181-5E39-45DC-BCC8-40129E86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1650</Words>
  <Characters>9903</Characters>
  <Application>Microsoft Office Word</Application>
  <DocSecurity>0</DocSecurity>
  <Lines>825</Lines>
  <Paragraphs>888</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Сагулякин</dc:creator>
  <cp:keywords/>
  <dc:description/>
  <cp:lastModifiedBy>Александр Сагулякин</cp:lastModifiedBy>
  <cp:revision>61</cp:revision>
  <dcterms:created xsi:type="dcterms:W3CDTF">2025-12-10T08:25:00Z</dcterms:created>
  <dcterms:modified xsi:type="dcterms:W3CDTF">2025-12-10T09:38:00Z</dcterms:modified>
</cp:coreProperties>
</file>