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550A" w14:textId="77777777" w:rsidR="00AE56A1" w:rsidRDefault="009B0795" w:rsidP="00A475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Вдовіна Інеса Олексіївна</w:t>
      </w:r>
    </w:p>
    <w:p w14:paraId="69F037EF" w14:textId="13F22FA7" w:rsidR="009B0795" w:rsidRDefault="005654DD" w:rsidP="00A475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54D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B0795">
        <w:rPr>
          <w:rFonts w:ascii="Times New Roman" w:hAnsi="Times New Roman" w:cs="Times New Roman"/>
          <w:sz w:val="28"/>
          <w:szCs w:val="28"/>
          <w:lang w:val="uk-UA"/>
        </w:rPr>
        <w:t>тарший викладач</w:t>
      </w:r>
      <w:r w:rsidR="00AE56A1">
        <w:rPr>
          <w:rFonts w:ascii="Times New Roman" w:hAnsi="Times New Roman" w:cs="Times New Roman"/>
          <w:sz w:val="28"/>
          <w:szCs w:val="28"/>
          <w:lang w:val="uk-UA"/>
        </w:rPr>
        <w:t xml:space="preserve"> кафедри фінансів імені Віктора Федосова</w:t>
      </w:r>
    </w:p>
    <w:p w14:paraId="69E6416A" w14:textId="3D394BC8" w:rsidR="009B0795" w:rsidRPr="009E5C61" w:rsidRDefault="009B0795" w:rsidP="009B07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E5C61">
        <w:rPr>
          <w:rFonts w:ascii="Times New Roman" w:hAnsi="Times New Roman" w:cs="Times New Roman"/>
          <w:sz w:val="28"/>
          <w:szCs w:val="28"/>
          <w:lang w:val="ru-UA"/>
        </w:rPr>
        <w:t>Київський національний економічний університет імені Вадима Гетьмана</w:t>
      </w:r>
    </w:p>
    <w:p w14:paraId="7A00017B" w14:textId="512198BE" w:rsidR="00A4757B" w:rsidRPr="009B0795" w:rsidRDefault="00A4757B" w:rsidP="00A475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9B0795" w:rsidRPr="009B0795">
          <w:rPr>
            <w:rFonts w:ascii="Times New Roman" w:hAnsi="Times New Roman" w:cs="Times New Roman"/>
            <w:sz w:val="28"/>
            <w:szCs w:val="28"/>
            <w:lang w:val="en-US"/>
          </w:rPr>
          <w:t>ORCID</w:t>
        </w:r>
        <w:r w:rsidR="009B0795" w:rsidRPr="005654DD">
          <w:rPr>
            <w:rFonts w:ascii="Times New Roman" w:hAnsi="Times New Roman" w:cs="Times New Roman"/>
            <w:sz w:val="28"/>
            <w:szCs w:val="28"/>
          </w:rPr>
          <w:t xml:space="preserve">: </w:t>
        </w:r>
        <w:r w:rsidRPr="009B079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0009-0003-8720-6190</w:t>
        </w:r>
      </w:hyperlink>
    </w:p>
    <w:p w14:paraId="182FE446" w14:textId="77777777" w:rsidR="00AE56A1" w:rsidRDefault="009E5C61" w:rsidP="009E5C6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5C61">
        <w:rPr>
          <w:rFonts w:ascii="Times New Roman" w:hAnsi="Times New Roman" w:cs="Times New Roman"/>
          <w:b/>
          <w:bCs/>
          <w:sz w:val="28"/>
          <w:szCs w:val="28"/>
          <w:lang w:val="ru-UA"/>
        </w:rPr>
        <w:t>Славкова Алла Аркадіївна</w:t>
      </w:r>
    </w:p>
    <w:p w14:paraId="112AF3AA" w14:textId="43E63CF0" w:rsidR="009E5C61" w:rsidRPr="009E5C61" w:rsidRDefault="009E5C61" w:rsidP="009E5C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E5C61">
        <w:rPr>
          <w:rFonts w:ascii="Times New Roman" w:hAnsi="Times New Roman" w:cs="Times New Roman"/>
          <w:sz w:val="28"/>
          <w:szCs w:val="28"/>
          <w:lang w:val="ru-UA"/>
        </w:rPr>
        <w:t xml:space="preserve">к.е.н., доцент, </w:t>
      </w:r>
      <w:r w:rsidR="00AE56A1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 w:rsidR="00AE56A1">
        <w:rPr>
          <w:rFonts w:ascii="Times New Roman" w:hAnsi="Times New Roman" w:cs="Times New Roman"/>
          <w:sz w:val="28"/>
          <w:szCs w:val="28"/>
          <w:lang w:val="uk-UA"/>
        </w:rPr>
        <w:t>кафедри фінансів імені Віктора Федосова</w:t>
      </w:r>
    </w:p>
    <w:p w14:paraId="37D274AF" w14:textId="77777777" w:rsidR="009E5C61" w:rsidRPr="009E5C61" w:rsidRDefault="009E5C61" w:rsidP="009E5C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UA"/>
        </w:rPr>
      </w:pPr>
      <w:r w:rsidRPr="009E5C61">
        <w:rPr>
          <w:rFonts w:ascii="Times New Roman" w:hAnsi="Times New Roman" w:cs="Times New Roman"/>
          <w:sz w:val="28"/>
          <w:szCs w:val="28"/>
          <w:lang w:val="ru-UA"/>
        </w:rPr>
        <w:t>Київський національний економічний університет імені Вадима Гетьмана</w:t>
      </w:r>
    </w:p>
    <w:p w14:paraId="5DB33477" w14:textId="364A8234" w:rsidR="00A4757B" w:rsidRDefault="007E6965" w:rsidP="00A4757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8" w:history="1">
        <w:r w:rsidR="009B0795">
          <w:rPr>
            <w:rFonts w:ascii="Times New Roman" w:hAnsi="Times New Roman" w:cs="Times New Roman"/>
            <w:sz w:val="28"/>
            <w:szCs w:val="28"/>
            <w:lang w:val="en-US"/>
          </w:rPr>
          <w:t xml:space="preserve">ORCID: </w:t>
        </w:r>
        <w:r w:rsidRPr="009B079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0000-0002-8337-8679</w:t>
        </w:r>
      </w:hyperlink>
    </w:p>
    <w:p w14:paraId="575FC178" w14:textId="77777777" w:rsidR="00A4757B" w:rsidRDefault="00A4757B" w:rsidP="001919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128E59" w14:textId="62E5A6B4" w:rsidR="00191985" w:rsidRPr="001545BF" w:rsidRDefault="007E4109" w:rsidP="001919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45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ГАРМОНІЗАЦІЯ НЕПРЯМОГО ОПОДАТКУВАННЯ: </w:t>
      </w:r>
    </w:p>
    <w:p w14:paraId="6D34FEB1" w14:textId="23D51F2D" w:rsidR="0060128C" w:rsidRPr="001545BF" w:rsidRDefault="007E4109" w:rsidP="001919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45BF">
        <w:rPr>
          <w:rFonts w:ascii="Times New Roman" w:hAnsi="Times New Roman" w:cs="Times New Roman"/>
          <w:b/>
          <w:bCs/>
          <w:sz w:val="28"/>
          <w:szCs w:val="28"/>
          <w:lang w:val="uk-UA"/>
        </w:rPr>
        <w:t>ЄВРОПЕЙСЬКІ ОРІЄНТИРИ</w:t>
      </w:r>
    </w:p>
    <w:p w14:paraId="34989899" w14:textId="77777777" w:rsidR="0060128C" w:rsidRDefault="0060128C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E66250" w14:textId="498A0299" w:rsidR="0037559C" w:rsidRDefault="00482BB1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Гармонізація податкових систем країн-членів ЄС – це </w:t>
      </w:r>
      <w:r w:rsidR="00FD2C3A">
        <w:rPr>
          <w:rFonts w:ascii="Times New Roman" w:hAnsi="Times New Roman" w:cs="Times New Roman"/>
          <w:sz w:val="28"/>
          <w:szCs w:val="28"/>
          <w:lang w:val="uk-UA"/>
        </w:rPr>
        <w:t xml:space="preserve">вироблення і впровадження спільної стратегії у сфері податкових відносин, що передбачає координацію податкової політики, приведення у відповідність структури податкових систем та порядку стягнення основних видів податків у країнах-учасницях. </w:t>
      </w:r>
      <w:r w:rsidR="00E41D97">
        <w:rPr>
          <w:rFonts w:ascii="Times New Roman" w:hAnsi="Times New Roman" w:cs="Times New Roman"/>
          <w:sz w:val="28"/>
          <w:szCs w:val="28"/>
          <w:lang w:val="uk-UA"/>
        </w:rPr>
        <w:t>В процесі гармонізації податкових систем може відбуватися уніфікація окремих податків (наприклад</w:t>
      </w:r>
      <w:r w:rsidR="00AB1B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1D97">
        <w:rPr>
          <w:rFonts w:ascii="Times New Roman" w:hAnsi="Times New Roman" w:cs="Times New Roman"/>
          <w:sz w:val="28"/>
          <w:szCs w:val="28"/>
          <w:lang w:val="uk-UA"/>
        </w:rPr>
        <w:t xml:space="preserve"> мита), але метою</w:t>
      </w:r>
      <w:r w:rsidR="00FD2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D97">
        <w:rPr>
          <w:rFonts w:ascii="Times New Roman" w:hAnsi="Times New Roman" w:cs="Times New Roman"/>
          <w:sz w:val="28"/>
          <w:szCs w:val="28"/>
          <w:lang w:val="uk-UA"/>
        </w:rPr>
        <w:t xml:space="preserve">Євросоюзу було і залишається приведення податкової політики країн-членів в стан відповідності і злагодженості, а не створення єдиної </w:t>
      </w:r>
      <w:r w:rsidR="00C25C1F">
        <w:rPr>
          <w:rFonts w:ascii="Times New Roman" w:hAnsi="Times New Roman" w:cs="Times New Roman"/>
          <w:sz w:val="28"/>
          <w:szCs w:val="28"/>
          <w:lang w:val="uk-UA"/>
        </w:rPr>
        <w:t xml:space="preserve">уніфікованої податкової системи. Право стягувати податки та впроваджувати власну податкову політику є невід’ємним правом кожної країни, атрибутом державності та національного суверенітету. </w:t>
      </w:r>
      <w:r w:rsidR="0037559C" w:rsidRPr="0037559C">
        <w:rPr>
          <w:rFonts w:ascii="Times New Roman" w:hAnsi="Times New Roman" w:cs="Times New Roman"/>
          <w:sz w:val="28"/>
          <w:szCs w:val="28"/>
          <w:lang w:val="uk-UA"/>
        </w:rPr>
        <w:t xml:space="preserve">Тому Європейська Комісія </w:t>
      </w:r>
      <w:r w:rsidR="0037559C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37559C" w:rsidRPr="0037559C">
        <w:rPr>
          <w:rFonts w:ascii="Times New Roman" w:hAnsi="Times New Roman" w:cs="Times New Roman"/>
          <w:sz w:val="28"/>
          <w:szCs w:val="28"/>
          <w:lang w:val="uk-UA"/>
        </w:rPr>
        <w:t xml:space="preserve">координує та гармонізує </w:t>
      </w:r>
      <w:r w:rsidR="0037559C">
        <w:rPr>
          <w:rFonts w:ascii="Times New Roman" w:hAnsi="Times New Roman" w:cs="Times New Roman"/>
          <w:sz w:val="28"/>
          <w:szCs w:val="28"/>
          <w:lang w:val="uk-UA"/>
        </w:rPr>
        <w:t xml:space="preserve">податкову </w:t>
      </w:r>
      <w:r w:rsidR="0037559C" w:rsidRPr="0037559C">
        <w:rPr>
          <w:rFonts w:ascii="Times New Roman" w:hAnsi="Times New Roman" w:cs="Times New Roman"/>
          <w:sz w:val="28"/>
          <w:szCs w:val="28"/>
          <w:lang w:val="uk-UA"/>
        </w:rPr>
        <w:t>політику</w:t>
      </w:r>
      <w:r w:rsidR="0037559C">
        <w:rPr>
          <w:rFonts w:ascii="Times New Roman" w:hAnsi="Times New Roman" w:cs="Times New Roman"/>
          <w:sz w:val="28"/>
          <w:szCs w:val="28"/>
          <w:lang w:val="uk-UA"/>
        </w:rPr>
        <w:t xml:space="preserve">, що проводять суверенні </w:t>
      </w:r>
      <w:r w:rsidR="0037559C" w:rsidRPr="0037559C">
        <w:rPr>
          <w:rFonts w:ascii="Times New Roman" w:hAnsi="Times New Roman" w:cs="Times New Roman"/>
          <w:sz w:val="28"/>
          <w:szCs w:val="28"/>
          <w:lang w:val="uk-UA"/>
        </w:rPr>
        <w:t>держав</w:t>
      </w:r>
      <w:r w:rsidR="0037559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7559C" w:rsidRPr="0037559C">
        <w:rPr>
          <w:rFonts w:ascii="Times New Roman" w:hAnsi="Times New Roman" w:cs="Times New Roman"/>
          <w:sz w:val="28"/>
          <w:szCs w:val="28"/>
          <w:lang w:val="uk-UA"/>
        </w:rPr>
        <w:t>-член</w:t>
      </w:r>
      <w:r w:rsidR="0037559C">
        <w:rPr>
          <w:rFonts w:ascii="Times New Roman" w:hAnsi="Times New Roman" w:cs="Times New Roman"/>
          <w:sz w:val="28"/>
          <w:szCs w:val="28"/>
          <w:lang w:val="uk-UA"/>
        </w:rPr>
        <w:t xml:space="preserve">и на своїй території. </w:t>
      </w:r>
      <w:r w:rsidR="0037559C" w:rsidRPr="00375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E1111D" w14:textId="509ADBB4" w:rsidR="001A734B" w:rsidRDefault="0037559C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A734B">
        <w:rPr>
          <w:rFonts w:ascii="Times New Roman" w:hAnsi="Times New Roman" w:cs="Times New Roman"/>
          <w:sz w:val="28"/>
          <w:szCs w:val="28"/>
          <w:lang w:val="uk-UA"/>
        </w:rPr>
        <w:t xml:space="preserve">армонізація податкових систем, перш за все, має на меті </w:t>
      </w:r>
      <w:r w:rsidR="00E41D97" w:rsidRPr="00E41D9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1A734B">
        <w:rPr>
          <w:rFonts w:ascii="Times New Roman" w:hAnsi="Times New Roman" w:cs="Times New Roman"/>
          <w:sz w:val="28"/>
          <w:szCs w:val="28"/>
          <w:lang w:val="uk-UA"/>
        </w:rPr>
        <w:t xml:space="preserve">нейтральності податків та створення недискримінаційного оподаткування всіх учасників ринку.  З позиції </w:t>
      </w:r>
      <w:r w:rsidR="00E41D97" w:rsidRPr="00E41D97">
        <w:rPr>
          <w:rFonts w:ascii="Times New Roman" w:hAnsi="Times New Roman" w:cs="Times New Roman"/>
          <w:sz w:val="28"/>
          <w:szCs w:val="28"/>
          <w:lang w:val="uk-UA"/>
        </w:rPr>
        <w:t>функціонування єдиного внутрішнього ринку ЄС</w:t>
      </w:r>
      <w:r w:rsidR="001A734B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="00E41D97" w:rsidRPr="00E4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34B" w:rsidRPr="001A734B">
        <w:rPr>
          <w:rFonts w:ascii="Times New Roman" w:hAnsi="Times New Roman" w:cs="Times New Roman"/>
          <w:sz w:val="28"/>
          <w:szCs w:val="28"/>
          <w:lang w:val="uk-UA"/>
        </w:rPr>
        <w:t>території без внутрішніх кордонів</w:t>
      </w:r>
      <w:r w:rsidR="001A734B">
        <w:rPr>
          <w:rFonts w:ascii="Times New Roman" w:hAnsi="Times New Roman" w:cs="Times New Roman"/>
          <w:sz w:val="28"/>
          <w:szCs w:val="28"/>
          <w:lang w:val="uk-UA"/>
        </w:rPr>
        <w:t xml:space="preserve">, податкова політика має сприяти реалізації основоположних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свобод єдиного ринку, а саме </w:t>
      </w:r>
      <w:r w:rsidR="001A734B" w:rsidRPr="001A734B">
        <w:rPr>
          <w:rFonts w:ascii="Times New Roman" w:hAnsi="Times New Roman" w:cs="Times New Roman"/>
          <w:sz w:val="28"/>
          <w:szCs w:val="28"/>
          <w:lang w:val="uk-UA"/>
        </w:rPr>
        <w:t xml:space="preserve"> вільн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="001A734B" w:rsidRPr="001A734B">
        <w:rPr>
          <w:rFonts w:ascii="Times New Roman" w:hAnsi="Times New Roman" w:cs="Times New Roman"/>
          <w:sz w:val="28"/>
          <w:szCs w:val="28"/>
          <w:lang w:val="uk-UA"/>
        </w:rPr>
        <w:t>рух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734B" w:rsidRPr="001A734B">
        <w:rPr>
          <w:rFonts w:ascii="Times New Roman" w:hAnsi="Times New Roman" w:cs="Times New Roman"/>
          <w:sz w:val="28"/>
          <w:szCs w:val="28"/>
          <w:lang w:val="uk-UA"/>
        </w:rPr>
        <w:t xml:space="preserve"> товарів,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, осіб</w:t>
      </w:r>
      <w:r w:rsidR="001A734B" w:rsidRPr="001A734B">
        <w:rPr>
          <w:rFonts w:ascii="Times New Roman" w:hAnsi="Times New Roman" w:cs="Times New Roman"/>
          <w:sz w:val="28"/>
          <w:szCs w:val="28"/>
          <w:lang w:val="uk-UA"/>
        </w:rPr>
        <w:t xml:space="preserve"> та капіталу.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будь-яких перешкод</w:t>
      </w:r>
      <w:r w:rsidR="00AB1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7647C0">
        <w:rPr>
          <w:rFonts w:ascii="Times New Roman" w:hAnsi="Times New Roman" w:cs="Times New Roman"/>
          <w:sz w:val="28"/>
          <w:szCs w:val="28"/>
          <w:lang w:val="uk-UA"/>
        </w:rPr>
        <w:t xml:space="preserve">неконкурентних позицій (як </w:t>
      </w:r>
      <w:r w:rsidR="007647C0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обмежен</w:t>
      </w:r>
      <w:r w:rsidR="00853F8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B1B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47C0">
        <w:rPr>
          <w:rFonts w:ascii="Times New Roman" w:hAnsi="Times New Roman" w:cs="Times New Roman"/>
          <w:sz w:val="28"/>
          <w:szCs w:val="28"/>
          <w:lang w:val="uk-UA"/>
        </w:rPr>
        <w:t xml:space="preserve"> так і надання необґрунтованих преференцій </w:t>
      </w:r>
      <w:r w:rsidR="00597470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7647C0">
        <w:rPr>
          <w:rFonts w:ascii="Times New Roman" w:hAnsi="Times New Roman" w:cs="Times New Roman"/>
          <w:sz w:val="28"/>
          <w:szCs w:val="28"/>
          <w:lang w:val="uk-UA"/>
        </w:rPr>
        <w:t>оподаткуванні) не допускається.</w:t>
      </w:r>
    </w:p>
    <w:p w14:paraId="0AA4B21E" w14:textId="5704BB55" w:rsidR="00597470" w:rsidRDefault="00597470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По-друге, податкова гармонізація націлена на мінімізацію можливостей ухилення від сплати податків, рівно як і можливостей подвійного оподаткування доходів суб’єктів, що здійснюють діяльність одночасно в декількох країнах ЄС.</w:t>
      </w:r>
    </w:p>
    <w:p w14:paraId="61328EF5" w14:textId="6D36E40A" w:rsidR="00BD517A" w:rsidRDefault="005D2D41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третій орієнтир – це забезпечення гарантій достатнього обсягу податкових надходжень до бюджетів країн-членів ЄС </w:t>
      </w:r>
      <w:r w:rsidR="0026112B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="00D931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112B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="00AB1B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7C5552" w14:textId="5F02E8A1" w:rsidR="00595C0D" w:rsidRDefault="005D2D41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цьому контексті особливої уваги заслуговує гармонізація непрямих податків</w:t>
      </w:r>
      <w:r w:rsidR="00543D7D">
        <w:rPr>
          <w:rFonts w:ascii="Times New Roman" w:hAnsi="Times New Roman" w:cs="Times New Roman"/>
          <w:sz w:val="28"/>
          <w:szCs w:val="28"/>
          <w:lang w:val="uk-UA"/>
        </w:rPr>
        <w:t>. З одного боку</w:t>
      </w:r>
      <w:r w:rsidR="00AB1B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3D7D">
        <w:rPr>
          <w:rFonts w:ascii="Times New Roman" w:hAnsi="Times New Roman" w:cs="Times New Roman"/>
          <w:sz w:val="28"/>
          <w:szCs w:val="28"/>
          <w:lang w:val="uk-UA"/>
        </w:rPr>
        <w:t xml:space="preserve"> непрямі податки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найбільш фіскально-ефективни</w:t>
      </w:r>
      <w:r w:rsidR="00543D7D">
        <w:rPr>
          <w:rFonts w:ascii="Times New Roman" w:hAnsi="Times New Roman" w:cs="Times New Roman"/>
          <w:sz w:val="28"/>
          <w:szCs w:val="28"/>
          <w:lang w:val="uk-UA"/>
        </w:rPr>
        <w:t xml:space="preserve">ми, але з іншого – можуть </w:t>
      </w:r>
      <w:r w:rsidR="00543D7D" w:rsidRPr="00543D7D">
        <w:rPr>
          <w:rFonts w:ascii="Times New Roman" w:hAnsi="Times New Roman" w:cs="Times New Roman"/>
          <w:sz w:val="28"/>
          <w:szCs w:val="28"/>
          <w:lang w:val="uk-UA"/>
        </w:rPr>
        <w:t>створю</w:t>
      </w:r>
      <w:r w:rsidR="00543D7D">
        <w:rPr>
          <w:rFonts w:ascii="Times New Roman" w:hAnsi="Times New Roman" w:cs="Times New Roman"/>
          <w:sz w:val="28"/>
          <w:szCs w:val="28"/>
          <w:lang w:val="uk-UA"/>
        </w:rPr>
        <w:t xml:space="preserve">вати значні </w:t>
      </w:r>
      <w:r w:rsidR="00543D7D" w:rsidRPr="00543D7D">
        <w:rPr>
          <w:rFonts w:ascii="Times New Roman" w:hAnsi="Times New Roman" w:cs="Times New Roman"/>
          <w:sz w:val="28"/>
          <w:szCs w:val="28"/>
          <w:lang w:val="uk-UA"/>
        </w:rPr>
        <w:t xml:space="preserve"> перешкоди для руху товарів та послуг</w:t>
      </w:r>
      <w:r w:rsidR="00543D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3D7D" w:rsidRPr="00543D7D">
        <w:rPr>
          <w:rFonts w:ascii="Times New Roman" w:hAnsi="Times New Roman" w:cs="Times New Roman"/>
          <w:sz w:val="28"/>
          <w:szCs w:val="28"/>
          <w:lang w:val="uk-UA"/>
        </w:rPr>
        <w:t>викривл</w:t>
      </w:r>
      <w:r w:rsidR="00543D7D">
        <w:rPr>
          <w:rFonts w:ascii="Times New Roman" w:hAnsi="Times New Roman" w:cs="Times New Roman"/>
          <w:sz w:val="28"/>
          <w:szCs w:val="28"/>
          <w:lang w:val="uk-UA"/>
        </w:rPr>
        <w:t>яти</w:t>
      </w:r>
      <w:r w:rsidR="00543D7D" w:rsidRPr="00543D7D">
        <w:rPr>
          <w:rFonts w:ascii="Times New Roman" w:hAnsi="Times New Roman" w:cs="Times New Roman"/>
          <w:sz w:val="28"/>
          <w:szCs w:val="28"/>
          <w:lang w:val="uk-UA"/>
        </w:rPr>
        <w:t xml:space="preserve"> ринкові стимули</w:t>
      </w:r>
      <w:r w:rsidR="00543D7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43D7D" w:rsidRPr="00543D7D">
        <w:rPr>
          <w:rFonts w:ascii="Times New Roman" w:hAnsi="Times New Roman" w:cs="Times New Roman"/>
          <w:sz w:val="28"/>
          <w:szCs w:val="28"/>
          <w:lang w:val="uk-UA"/>
        </w:rPr>
        <w:t xml:space="preserve"> конкуренцію</w:t>
      </w:r>
      <w:r w:rsidR="00543D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3F85">
        <w:rPr>
          <w:rFonts w:ascii="Times New Roman" w:hAnsi="Times New Roman" w:cs="Times New Roman"/>
          <w:sz w:val="28"/>
          <w:szCs w:val="28"/>
          <w:lang w:val="uk-UA"/>
        </w:rPr>
        <w:t>Тому гармонізація непрямих податків</w:t>
      </w:r>
      <w:r w:rsidR="00C70B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3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B1B" w:rsidRPr="00C70B1B">
        <w:rPr>
          <w:rFonts w:ascii="Times New Roman" w:hAnsi="Times New Roman" w:cs="Times New Roman"/>
          <w:sz w:val="28"/>
          <w:szCs w:val="28"/>
          <w:lang w:val="uk-UA"/>
        </w:rPr>
        <w:t xml:space="preserve">а саме – податку на додану вартість (ПДВ) та </w:t>
      </w:r>
      <w:r w:rsidR="00AB1B1B">
        <w:rPr>
          <w:rFonts w:ascii="Times New Roman" w:hAnsi="Times New Roman" w:cs="Times New Roman"/>
          <w:sz w:val="28"/>
          <w:szCs w:val="28"/>
          <w:lang w:val="uk-UA"/>
        </w:rPr>
        <w:t>акцизного податку</w:t>
      </w:r>
      <w:r w:rsidR="00C70B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3F85">
        <w:rPr>
          <w:rFonts w:ascii="Times New Roman" w:hAnsi="Times New Roman" w:cs="Times New Roman"/>
          <w:sz w:val="28"/>
          <w:szCs w:val="28"/>
          <w:lang w:val="uk-UA"/>
        </w:rPr>
        <w:t xml:space="preserve">постійно перебуває у фокусі </w:t>
      </w:r>
      <w:r w:rsidR="00C70B1B">
        <w:rPr>
          <w:rFonts w:ascii="Times New Roman" w:hAnsi="Times New Roman" w:cs="Times New Roman"/>
          <w:sz w:val="28"/>
          <w:szCs w:val="28"/>
          <w:lang w:val="uk-UA"/>
        </w:rPr>
        <w:t xml:space="preserve">уваги </w:t>
      </w:r>
      <w:r w:rsidR="00853F85">
        <w:rPr>
          <w:rFonts w:ascii="Times New Roman" w:hAnsi="Times New Roman" w:cs="Times New Roman"/>
          <w:sz w:val="28"/>
          <w:szCs w:val="28"/>
          <w:lang w:val="uk-UA"/>
        </w:rPr>
        <w:t>Європейської комісії.</w:t>
      </w:r>
      <w:r w:rsidR="00C70B1B" w:rsidRPr="00C70B1B">
        <w:rPr>
          <w:rFonts w:ascii="Times New Roman" w:hAnsi="Times New Roman" w:cs="Times New Roman"/>
          <w:sz w:val="28"/>
          <w:szCs w:val="28"/>
          <w:lang w:val="uk-UA"/>
        </w:rPr>
        <w:t xml:space="preserve"> Основним інструментом </w:t>
      </w:r>
      <w:r w:rsidR="00C70B1B">
        <w:rPr>
          <w:rFonts w:ascii="Times New Roman" w:hAnsi="Times New Roman" w:cs="Times New Roman"/>
          <w:sz w:val="28"/>
          <w:szCs w:val="28"/>
          <w:lang w:val="uk-UA"/>
        </w:rPr>
        <w:t>такої гармонізації виступають</w:t>
      </w:r>
      <w:r w:rsidR="00C70B1B" w:rsidRPr="00C70B1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</w:t>
      </w:r>
      <w:r w:rsidR="00C70B1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70B1B" w:rsidRPr="00C70B1B">
        <w:rPr>
          <w:rFonts w:ascii="Times New Roman" w:hAnsi="Times New Roman" w:cs="Times New Roman"/>
          <w:sz w:val="28"/>
          <w:szCs w:val="28"/>
          <w:lang w:val="uk-UA"/>
        </w:rPr>
        <w:t>ирективи</w:t>
      </w:r>
      <w:r w:rsidR="00C70B1B">
        <w:rPr>
          <w:rFonts w:ascii="Times New Roman" w:hAnsi="Times New Roman" w:cs="Times New Roman"/>
          <w:sz w:val="28"/>
          <w:szCs w:val="28"/>
          <w:lang w:val="uk-UA"/>
        </w:rPr>
        <w:t xml:space="preserve"> ЄС</w:t>
      </w:r>
      <w:r w:rsidR="00C70B1B" w:rsidRPr="00C70B1B">
        <w:rPr>
          <w:rFonts w:ascii="Times New Roman" w:hAnsi="Times New Roman" w:cs="Times New Roman"/>
          <w:sz w:val="28"/>
          <w:szCs w:val="28"/>
          <w:lang w:val="uk-UA"/>
        </w:rPr>
        <w:t>, які встановлюють загальні принципи та рамки застосування непрямих податків</w:t>
      </w:r>
      <w:r w:rsidR="00C70B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A6FD60B" w14:textId="6B6227D3" w:rsidR="00C70B1B" w:rsidRDefault="00676EC5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Національне законодавство країн-членів у сфері оподаткування ПДВ базується на </w:t>
      </w:r>
      <w:r w:rsidRPr="00676EC5">
        <w:rPr>
          <w:rFonts w:ascii="Times New Roman" w:hAnsi="Times New Roman" w:cs="Times New Roman"/>
          <w:sz w:val="28"/>
          <w:szCs w:val="28"/>
          <w:lang w:val="uk-UA"/>
        </w:rPr>
        <w:t>Директив</w:t>
      </w:r>
      <w:r>
        <w:rPr>
          <w:rFonts w:ascii="Times New Roman" w:hAnsi="Times New Roman" w:cs="Times New Roman"/>
          <w:sz w:val="28"/>
          <w:szCs w:val="28"/>
          <w:lang w:val="uk-UA"/>
        </w:rPr>
        <w:t>і ЄС №</w:t>
      </w:r>
      <w:r w:rsidRPr="00676EC5">
        <w:rPr>
          <w:rFonts w:ascii="Times New Roman" w:hAnsi="Times New Roman" w:cs="Times New Roman"/>
          <w:sz w:val="28"/>
          <w:szCs w:val="28"/>
          <w:lang w:val="uk-UA"/>
        </w:rPr>
        <w:t xml:space="preserve"> 2006/112/ЄС від 28 листопада 2006 року «Про загальну систему податку на додану вартість»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зокрема  встановлює ставки, умови звільнення від ПДВ, відступи (</w:t>
      </w:r>
      <w:r>
        <w:rPr>
          <w:rFonts w:ascii="Times New Roman" w:hAnsi="Times New Roman" w:cs="Times New Roman"/>
          <w:sz w:val="28"/>
          <w:szCs w:val="28"/>
          <w:lang w:val="en-US"/>
        </w:rPr>
        <w:t>derogations</w:t>
      </w:r>
      <w:r w:rsidRPr="00676EC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70B1B" w:rsidRPr="00C70B1B">
        <w:rPr>
          <w:rFonts w:ascii="Times New Roman" w:hAnsi="Times New Roman" w:cs="Times New Roman"/>
          <w:sz w:val="28"/>
          <w:szCs w:val="28"/>
          <w:lang w:val="uk-UA"/>
        </w:rPr>
        <w:t>загальних рамок, дозволені державам-членам ЄС за відповідних обставин, та механізми узгодження таких  відступів.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Дана Директива також описує спеціальні схеми оподаткування ПДВ для малого бізнесу, фермерів, вживаних товарів</w:t>
      </w:r>
      <w:r w:rsidR="00AB1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14:paraId="576A0351" w14:textId="2F24178C" w:rsidR="00841E86" w:rsidRDefault="00161AB6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Гармонізація акцизного оподаткування регламентується Директивою Ради (ЄС) №2020/262 від 19 грудня 2019</w:t>
      </w:r>
      <w:r w:rsidR="00820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 «Про загальний режим акцизного податку».</w:t>
      </w:r>
      <w:r w:rsidR="00CE7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>Ця Директива встановлює загальний режим акцизних податків, якими прямо або опосередковано оподатковують споживання</w:t>
      </w:r>
      <w:r w:rsidR="00CE7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>енергетичн</w:t>
      </w:r>
      <w:r w:rsidR="00841E8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продукт</w:t>
      </w:r>
      <w:r w:rsidR="00841E8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електроенергі</w:t>
      </w:r>
      <w:r w:rsidR="00841E8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>, спирт</w:t>
      </w:r>
      <w:r w:rsidR="00841E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та алкогольн</w:t>
      </w:r>
      <w:r w:rsidR="00841E8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напої</w:t>
      </w:r>
      <w:r w:rsidR="00841E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E72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оброблен</w:t>
      </w:r>
      <w:r w:rsidR="00841E8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тютюн</w:t>
      </w:r>
      <w:r w:rsidR="00841E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72F8">
        <w:rPr>
          <w:rFonts w:ascii="Times New Roman" w:hAnsi="Times New Roman" w:cs="Times New Roman"/>
          <w:sz w:val="28"/>
          <w:szCs w:val="28"/>
          <w:lang w:val="uk-UA"/>
        </w:rPr>
        <w:t>. Специфічні положення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2F8">
        <w:rPr>
          <w:rFonts w:ascii="Times New Roman" w:hAnsi="Times New Roman" w:cs="Times New Roman"/>
          <w:sz w:val="28"/>
          <w:szCs w:val="28"/>
          <w:lang w:val="uk-UA"/>
        </w:rPr>
        <w:t xml:space="preserve">щодо гармонізації </w:t>
      </w:r>
      <w:r w:rsidR="00841E86">
        <w:rPr>
          <w:rFonts w:ascii="Times New Roman" w:hAnsi="Times New Roman" w:cs="Times New Roman"/>
          <w:sz w:val="28"/>
          <w:szCs w:val="28"/>
          <w:lang w:val="uk-UA"/>
        </w:rPr>
        <w:t>викладено в окремих Директивах для кожної групи товарів:</w:t>
      </w:r>
    </w:p>
    <w:p w14:paraId="3D93DAD0" w14:textId="406F570E" w:rsidR="00CE72F8" w:rsidRDefault="00841E86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72F8">
        <w:rPr>
          <w:rFonts w:ascii="Times New Roman" w:hAnsi="Times New Roman" w:cs="Times New Roman"/>
          <w:sz w:val="28"/>
          <w:szCs w:val="28"/>
          <w:lang w:val="uk-UA"/>
        </w:rPr>
        <w:t>енергетичн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електроенергі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- 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Директив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72F8" w:rsidRPr="00A94DC2">
        <w:rPr>
          <w:rFonts w:ascii="Times New Roman" w:hAnsi="Times New Roman" w:cs="Times New Roman"/>
          <w:sz w:val="28"/>
          <w:szCs w:val="28"/>
          <w:lang w:val="uk-UA"/>
        </w:rPr>
        <w:t>2003/96/ЄС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3E2F88" w14:textId="1938B145" w:rsidR="00CE72F8" w:rsidRDefault="00841E86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CE72F8">
        <w:rPr>
          <w:rFonts w:ascii="Times New Roman" w:hAnsi="Times New Roman" w:cs="Times New Roman"/>
          <w:sz w:val="28"/>
          <w:szCs w:val="28"/>
          <w:lang w:val="uk-UA"/>
        </w:rPr>
        <w:t>спирт та алкогольн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напої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bookmarkStart w:id="0" w:name="n15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>иректив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72F8" w:rsidRPr="00A94DC2">
        <w:rPr>
          <w:rFonts w:ascii="Times New Roman" w:hAnsi="Times New Roman" w:cs="Times New Roman"/>
          <w:sz w:val="28"/>
          <w:szCs w:val="28"/>
          <w:lang w:val="uk-UA"/>
        </w:rPr>
        <w:t>92/83/ЄЕС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> та </w:t>
      </w:r>
      <w:r w:rsidR="00CE72F8" w:rsidRPr="00A94DC2">
        <w:rPr>
          <w:rFonts w:ascii="Times New Roman" w:hAnsi="Times New Roman" w:cs="Times New Roman"/>
          <w:sz w:val="28"/>
          <w:szCs w:val="28"/>
          <w:lang w:val="uk-UA"/>
        </w:rPr>
        <w:t>92/84/ЄЕС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B269AC" w14:textId="0C128C59" w:rsidR="00CE72F8" w:rsidRDefault="00841E86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тютюнові вироби - </w:t>
      </w:r>
      <w:bookmarkStart w:id="1" w:name="n16"/>
      <w:bookmarkEnd w:id="1"/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>Директив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E72F8" w:rsidRPr="00CE72F8">
        <w:rPr>
          <w:rFonts w:ascii="Times New Roman" w:hAnsi="Times New Roman" w:cs="Times New Roman"/>
          <w:sz w:val="28"/>
          <w:szCs w:val="28"/>
          <w:lang w:val="uk-UA"/>
        </w:rPr>
        <w:t xml:space="preserve"> 2011/64/ЄС</w:t>
      </w:r>
      <w:r w:rsidR="00790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="00D9313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="00790A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4C026D" w14:textId="7662DDD0" w:rsidR="0082016F" w:rsidRPr="00CE72F8" w:rsidRDefault="0060128C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2016F">
        <w:rPr>
          <w:rFonts w:ascii="Times New Roman" w:hAnsi="Times New Roman" w:cs="Times New Roman"/>
          <w:sz w:val="28"/>
          <w:szCs w:val="28"/>
          <w:lang w:val="uk-UA"/>
        </w:rPr>
        <w:t>ержави-члени можуть самостійно запроваджувати</w:t>
      </w:r>
      <w:r w:rsidR="0050568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82016F">
        <w:rPr>
          <w:rFonts w:ascii="Times New Roman" w:hAnsi="Times New Roman" w:cs="Times New Roman"/>
          <w:sz w:val="28"/>
          <w:szCs w:val="28"/>
          <w:lang w:val="uk-UA"/>
        </w:rPr>
        <w:t xml:space="preserve"> негармонізовані акцизи на інші групи товарів, наприклад, на каву</w:t>
      </w:r>
      <w:r w:rsidR="00AB1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16F">
        <w:rPr>
          <w:rFonts w:ascii="Times New Roman" w:hAnsi="Times New Roman" w:cs="Times New Roman"/>
          <w:sz w:val="28"/>
          <w:szCs w:val="28"/>
          <w:lang w:val="uk-UA"/>
        </w:rPr>
        <w:t>або на тару для напоїв.</w:t>
      </w:r>
    </w:p>
    <w:p w14:paraId="2C30735B" w14:textId="523ED358" w:rsidR="005D2D41" w:rsidRPr="005D2D41" w:rsidRDefault="0082016F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 п</w:t>
      </w:r>
      <w:r w:rsidR="005D2D41" w:rsidRPr="005D2D41">
        <w:rPr>
          <w:rFonts w:ascii="Times New Roman" w:hAnsi="Times New Roman" w:cs="Times New Roman"/>
          <w:sz w:val="28"/>
          <w:szCs w:val="28"/>
          <w:lang w:val="uk-UA"/>
        </w:rPr>
        <w:t xml:space="preserve">рактична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="005D2D41" w:rsidRPr="005D2D41">
        <w:rPr>
          <w:rFonts w:ascii="Times New Roman" w:hAnsi="Times New Roman" w:cs="Times New Roman"/>
          <w:sz w:val="28"/>
          <w:szCs w:val="28"/>
          <w:lang w:val="uk-UA"/>
        </w:rPr>
        <w:t>непрямого оподаткування в рамках гармонізованих норм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</w:t>
      </w:r>
      <w:r w:rsidR="005D2D41" w:rsidRPr="005D2D41">
        <w:rPr>
          <w:rFonts w:ascii="Times New Roman" w:hAnsi="Times New Roman" w:cs="Times New Roman"/>
          <w:sz w:val="28"/>
          <w:szCs w:val="28"/>
          <w:lang w:val="uk-UA"/>
        </w:rPr>
        <w:t>адміністрування податків залишаються  повноваженням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D2D41" w:rsidRPr="005D2D41">
        <w:rPr>
          <w:rFonts w:ascii="Times New Roman" w:hAnsi="Times New Roman" w:cs="Times New Roman"/>
          <w:sz w:val="28"/>
          <w:szCs w:val="28"/>
          <w:lang w:val="uk-UA"/>
        </w:rPr>
        <w:t xml:space="preserve"> держав-членів ЄС.</w:t>
      </w:r>
    </w:p>
    <w:p w14:paraId="3299EC8B" w14:textId="64CDE91B" w:rsidR="0050568C" w:rsidRPr="007E40A2" w:rsidRDefault="0050568C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поточний момент проводиться реформування є</w:t>
      </w:r>
      <w:r w:rsidRPr="007E40A2">
        <w:rPr>
          <w:rFonts w:ascii="Times New Roman" w:hAnsi="Times New Roman" w:cs="Times New Roman"/>
          <w:sz w:val="28"/>
          <w:szCs w:val="28"/>
          <w:lang w:val="uk-UA"/>
        </w:rPr>
        <w:t>вропейськ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E40A2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E4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непрямого оподаткування (зокрема оподаткування </w:t>
      </w:r>
      <w:r w:rsidRPr="007E40A2">
        <w:rPr>
          <w:rFonts w:ascii="Times New Roman" w:hAnsi="Times New Roman" w:cs="Times New Roman"/>
          <w:sz w:val="28"/>
          <w:szCs w:val="28"/>
          <w:lang w:val="uk-UA"/>
        </w:rPr>
        <w:t>ПДВ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E40A2">
        <w:rPr>
          <w:rFonts w:ascii="Times New Roman" w:hAnsi="Times New Roman" w:cs="Times New Roman"/>
          <w:sz w:val="28"/>
          <w:szCs w:val="28"/>
          <w:lang w:val="uk-UA"/>
        </w:rPr>
        <w:t>, метою якого є адаптація до цифрової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Об’єктивне зростання </w:t>
      </w:r>
      <w:r w:rsidRPr="007E40A2">
        <w:rPr>
          <w:rFonts w:ascii="Times New Roman" w:hAnsi="Times New Roman" w:cs="Times New Roman"/>
          <w:sz w:val="28"/>
          <w:szCs w:val="28"/>
          <w:lang w:val="uk-UA"/>
        </w:rPr>
        <w:t>ролі цифрових платформ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обсягів цифрових послуг спонукають Європейський Союз до запровадження новітніх технологій </w:t>
      </w:r>
      <w:r w:rsidR="00117C21">
        <w:rPr>
          <w:rFonts w:ascii="Times New Roman" w:hAnsi="Times New Roman" w:cs="Times New Roman"/>
          <w:sz w:val="28"/>
          <w:szCs w:val="28"/>
          <w:lang w:val="uk-UA"/>
        </w:rPr>
        <w:t xml:space="preserve">податкового контролю та  адміністрування податків. </w:t>
      </w:r>
    </w:p>
    <w:p w14:paraId="6C02C832" w14:textId="56B4E46F" w:rsidR="00AD4BF1" w:rsidRDefault="0050568C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0A2">
        <w:rPr>
          <w:rFonts w:ascii="Times New Roman" w:hAnsi="Times New Roman" w:cs="Times New Roman"/>
          <w:sz w:val="28"/>
          <w:szCs w:val="28"/>
          <w:lang w:val="uk-UA"/>
        </w:rPr>
        <w:t xml:space="preserve">Однією із ключових змін є запровадження гармонізованих вимог цифрового звітування </w:t>
      </w:r>
      <w:r w:rsidR="00117C21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7E40A2">
        <w:rPr>
          <w:rFonts w:ascii="Times New Roman" w:hAnsi="Times New Roman" w:cs="Times New Roman"/>
          <w:sz w:val="28"/>
          <w:szCs w:val="28"/>
          <w:lang w:val="uk-UA"/>
        </w:rPr>
        <w:t>транзакці</w:t>
      </w:r>
      <w:r w:rsidR="00117C21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Pr="007E40A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E40A2">
        <w:rPr>
          <w:rFonts w:ascii="Times New Roman" w:hAnsi="Times New Roman" w:cs="Times New Roman"/>
          <w:i/>
          <w:iCs/>
          <w:sz w:val="28"/>
          <w:szCs w:val="28"/>
          <w:lang w:val="uk-UA"/>
        </w:rPr>
        <w:t>DRRs) </w:t>
      </w:r>
      <w:r w:rsidRPr="007E40A2">
        <w:rPr>
          <w:rFonts w:ascii="Times New Roman" w:hAnsi="Times New Roman" w:cs="Times New Roman"/>
          <w:sz w:val="28"/>
          <w:szCs w:val="28"/>
          <w:lang w:val="uk-UA"/>
        </w:rPr>
        <w:t>та стандартизованих  електронних інвойсів</w:t>
      </w:r>
      <w:r w:rsidRPr="007E40A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7E40A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931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C21" w:rsidRPr="0050568C">
        <w:rPr>
          <w:rFonts w:ascii="Times New Roman" w:hAnsi="Times New Roman" w:cs="Times New Roman"/>
          <w:sz w:val="28"/>
          <w:szCs w:val="28"/>
          <w:lang w:val="uk-UA"/>
        </w:rPr>
        <w:t>Проєкт "</w:t>
      </w:r>
      <w:r w:rsidR="00117C21" w:rsidRPr="0050568C">
        <w:rPr>
          <w:rFonts w:ascii="Times New Roman" w:hAnsi="Times New Roman" w:cs="Times New Roman"/>
          <w:sz w:val="28"/>
          <w:szCs w:val="28"/>
        </w:rPr>
        <w:t>DRR</w:t>
      </w:r>
      <w:r w:rsidR="00117C21" w:rsidRPr="0050568C">
        <w:rPr>
          <w:rFonts w:ascii="Times New Roman" w:hAnsi="Times New Roman" w:cs="Times New Roman"/>
          <w:sz w:val="28"/>
          <w:szCs w:val="28"/>
          <w:lang w:val="uk-UA"/>
        </w:rPr>
        <w:t xml:space="preserve">" передбачає перетворення змісту нормативних вимог регулятора в машиночитаний формат (код), який надсилається піднаглядним суб’єктам через спеціальну платформу та дозволяє автоматично сформувати й отримати </w:t>
      </w:r>
      <w:r w:rsidR="00117C21">
        <w:rPr>
          <w:rFonts w:ascii="Times New Roman" w:hAnsi="Times New Roman" w:cs="Times New Roman"/>
          <w:sz w:val="28"/>
          <w:szCs w:val="28"/>
          <w:lang w:val="uk-UA"/>
        </w:rPr>
        <w:t xml:space="preserve"> звіти</w:t>
      </w:r>
      <w:r w:rsidR="00601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C21" w:rsidRPr="0050568C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="0060128C">
        <w:rPr>
          <w:rFonts w:ascii="Times New Roman" w:hAnsi="Times New Roman" w:cs="Times New Roman"/>
          <w:sz w:val="28"/>
          <w:szCs w:val="28"/>
          <w:lang w:val="uk-UA"/>
        </w:rPr>
        <w:t>но до</w:t>
      </w:r>
      <w:r w:rsidR="00117C21" w:rsidRPr="0050568C">
        <w:rPr>
          <w:rFonts w:ascii="Times New Roman" w:hAnsi="Times New Roman" w:cs="Times New Roman"/>
          <w:sz w:val="28"/>
          <w:szCs w:val="28"/>
          <w:lang w:val="uk-UA"/>
        </w:rPr>
        <w:t xml:space="preserve"> вимог.</w:t>
      </w:r>
      <w:r w:rsidR="00117C21">
        <w:rPr>
          <w:rFonts w:ascii="Times New Roman" w:hAnsi="Times New Roman" w:cs="Times New Roman"/>
          <w:sz w:val="28"/>
          <w:szCs w:val="28"/>
          <w:lang w:val="uk-UA"/>
        </w:rPr>
        <w:t xml:space="preserve"> Широке запровадження такого цифрового звітування </w:t>
      </w:r>
      <w:r w:rsidR="00117C21" w:rsidRPr="00117C21">
        <w:rPr>
          <w:rFonts w:ascii="Times New Roman" w:hAnsi="Times New Roman" w:cs="Times New Roman"/>
          <w:sz w:val="28"/>
          <w:szCs w:val="28"/>
          <w:lang w:val="uk-UA"/>
        </w:rPr>
        <w:t>дозволяє однозначно й правильно інтерпрет</w:t>
      </w:r>
      <w:r w:rsidR="0060128C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117C21" w:rsidRPr="00117C21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</w:t>
      </w:r>
      <w:r w:rsidR="006012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17C21" w:rsidRPr="00117C21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60128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17C21" w:rsidRPr="00117C21">
        <w:rPr>
          <w:rFonts w:ascii="Times New Roman" w:hAnsi="Times New Roman" w:cs="Times New Roman"/>
          <w:sz w:val="28"/>
          <w:szCs w:val="28"/>
          <w:lang w:val="uk-UA"/>
        </w:rPr>
        <w:t>, знизити кількість пояснень та консультацій</w:t>
      </w:r>
      <w:r w:rsidR="0060128C">
        <w:rPr>
          <w:rFonts w:ascii="Times New Roman" w:hAnsi="Times New Roman" w:cs="Times New Roman"/>
          <w:sz w:val="28"/>
          <w:szCs w:val="28"/>
          <w:lang w:val="uk-UA"/>
        </w:rPr>
        <w:t xml:space="preserve"> щодо них</w:t>
      </w:r>
      <w:r w:rsidR="00117C21" w:rsidRPr="00117C21">
        <w:rPr>
          <w:rFonts w:ascii="Times New Roman" w:hAnsi="Times New Roman" w:cs="Times New Roman"/>
          <w:sz w:val="28"/>
          <w:szCs w:val="28"/>
          <w:lang w:val="uk-UA"/>
        </w:rPr>
        <w:t>, а також знизити складність регул</w:t>
      </w:r>
      <w:r w:rsidR="00025E1B">
        <w:rPr>
          <w:rFonts w:ascii="Times New Roman" w:hAnsi="Times New Roman" w:cs="Times New Roman"/>
          <w:sz w:val="28"/>
          <w:szCs w:val="28"/>
          <w:lang w:val="uk-UA"/>
        </w:rPr>
        <w:t>івних впливів</w:t>
      </w:r>
      <w:r w:rsidR="00117C21" w:rsidRPr="00117C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7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750300" w14:textId="1A94AF4A" w:rsidR="002A2C49" w:rsidRDefault="00AD4BF1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Обіг стандартизованих електронних інвойсів регламентується </w:t>
      </w:r>
      <w:r w:rsidRPr="00AD4BF1">
        <w:rPr>
          <w:rFonts w:ascii="Times New Roman" w:hAnsi="Times New Roman" w:cs="Times New Roman"/>
          <w:sz w:val="28"/>
          <w:szCs w:val="28"/>
          <w:lang w:val="uk-UA"/>
        </w:rPr>
        <w:t>Директив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AD4BF1">
        <w:rPr>
          <w:rFonts w:ascii="Times New Roman" w:hAnsi="Times New Roman" w:cs="Times New Roman"/>
          <w:sz w:val="28"/>
          <w:szCs w:val="28"/>
          <w:lang w:val="uk-UA"/>
        </w:rPr>
        <w:t xml:space="preserve"> 2014/55/ЄC Європейського Парламенту та Ради від 16 квітня 2014 р. «Щодо електронного виставлення рахунків за державні закупівлі»</w:t>
      </w:r>
      <w:r w:rsidR="00443290">
        <w:rPr>
          <w:rFonts w:ascii="Times New Roman" w:hAnsi="Times New Roman" w:cs="Times New Roman"/>
          <w:sz w:val="28"/>
          <w:szCs w:val="28"/>
          <w:lang w:val="uk-UA"/>
        </w:rPr>
        <w:t xml:space="preserve">. Численні формати електронних рахунків, що використовувалися різними країнами-членами, значно ускладнювали рух товарів і послуг, створювали додаткові проблеми в адмініструванні податків та призводили до значного зростання витрат підприємств та державних установ.  </w:t>
      </w:r>
      <w:r w:rsidRPr="00AD4BF1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="00443290">
        <w:rPr>
          <w:rFonts w:ascii="Times New Roman" w:hAnsi="Times New Roman" w:cs="Times New Roman"/>
          <w:sz w:val="28"/>
          <w:szCs w:val="28"/>
          <w:lang w:val="uk-UA"/>
        </w:rPr>
        <w:t xml:space="preserve">за підрахунками Єврокомісії,  </w:t>
      </w:r>
      <w:r w:rsidRPr="00AD4BF1">
        <w:rPr>
          <w:rFonts w:ascii="Times New Roman" w:hAnsi="Times New Roman" w:cs="Times New Roman"/>
          <w:sz w:val="28"/>
          <w:szCs w:val="28"/>
          <w:lang w:val="uk-UA"/>
        </w:rPr>
        <w:t>перехід на уніфікований та стандартизований електронний інвойс дозвол</w:t>
      </w:r>
      <w:r w:rsidR="00025E1B">
        <w:rPr>
          <w:rFonts w:ascii="Times New Roman" w:hAnsi="Times New Roman" w:cs="Times New Roman"/>
          <w:sz w:val="28"/>
          <w:szCs w:val="28"/>
          <w:lang w:val="uk-UA"/>
        </w:rPr>
        <w:t xml:space="preserve">яє </w:t>
      </w:r>
      <w:r w:rsidRPr="00AD4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B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економити до 40 млрд. євро щорічно. </w:t>
      </w:r>
      <w:r w:rsidR="00D777EC">
        <w:rPr>
          <w:rFonts w:ascii="Times New Roman" w:hAnsi="Times New Roman" w:cs="Times New Roman"/>
          <w:sz w:val="28"/>
          <w:szCs w:val="28"/>
          <w:lang w:val="uk-UA"/>
        </w:rPr>
        <w:t xml:space="preserve">Наразі продовжується процес імплементації Директиви </w:t>
      </w:r>
      <w:r w:rsidRPr="00AD4BF1">
        <w:rPr>
          <w:rFonts w:ascii="Times New Roman" w:hAnsi="Times New Roman" w:cs="Times New Roman"/>
          <w:sz w:val="28"/>
          <w:szCs w:val="28"/>
          <w:lang w:val="uk-UA"/>
        </w:rPr>
        <w:t xml:space="preserve">до національного законодавства країн – членів ЄС </w:t>
      </w:r>
      <w:r w:rsidR="00D777EC">
        <w:rPr>
          <w:rFonts w:ascii="Times New Roman" w:hAnsi="Times New Roman" w:cs="Times New Roman"/>
          <w:sz w:val="28"/>
          <w:szCs w:val="28"/>
          <w:lang w:val="uk-UA"/>
        </w:rPr>
        <w:t xml:space="preserve">з розширенням меж її застосування. </w:t>
      </w:r>
    </w:p>
    <w:p w14:paraId="55157C87" w14:textId="1A44A5AD" w:rsidR="00A00F8B" w:rsidRDefault="00A00F8B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Реформа проводиться в два етапи</w:t>
      </w:r>
      <w:r w:rsidR="00DE70BD">
        <w:rPr>
          <w:rFonts w:ascii="Times New Roman" w:hAnsi="Times New Roman" w:cs="Times New Roman"/>
          <w:sz w:val="28"/>
          <w:szCs w:val="28"/>
          <w:lang w:val="uk-UA"/>
        </w:rPr>
        <w:t>. На першому етапі – до 2028 року – будуть розроблені стандартизовані вимоги до цифрового звітування по тран</w:t>
      </w:r>
      <w:r w:rsidR="00BD517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E70BD">
        <w:rPr>
          <w:rFonts w:ascii="Times New Roman" w:hAnsi="Times New Roman" w:cs="Times New Roman"/>
          <w:sz w:val="28"/>
          <w:szCs w:val="28"/>
          <w:lang w:val="uk-UA"/>
        </w:rPr>
        <w:t>акціях, але без попередньої авторизації тран</w:t>
      </w:r>
      <w:r w:rsidR="00BD517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E70BD">
        <w:rPr>
          <w:rFonts w:ascii="Times New Roman" w:hAnsi="Times New Roman" w:cs="Times New Roman"/>
          <w:sz w:val="28"/>
          <w:szCs w:val="28"/>
          <w:lang w:val="uk-UA"/>
        </w:rPr>
        <w:t>акцій податковими органами. Також будуть введені стандартизовані електронні інвойси для операцій В2В та В2</w:t>
      </w:r>
      <w:r w:rsidR="00DE70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E70BD">
        <w:rPr>
          <w:rFonts w:ascii="Times New Roman" w:hAnsi="Times New Roman" w:cs="Times New Roman"/>
          <w:sz w:val="28"/>
          <w:szCs w:val="28"/>
          <w:lang w:val="uk-UA"/>
        </w:rPr>
        <w:t xml:space="preserve"> між країнами в рамках єдиного ринку ЄС. На цьому етапі прийняття електронних інвойсів отримувачами не є обов’язковим.</w:t>
      </w:r>
    </w:p>
    <w:p w14:paraId="384D2702" w14:textId="71832C9A" w:rsidR="00DE70BD" w:rsidRPr="00DE70BD" w:rsidRDefault="00DE70BD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другому етапі – з 2028 року – обов’язкове цифрове звітування по тран</w:t>
      </w:r>
      <w:r w:rsidR="00BD517A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акціях та обов’язкове використання стандартизованих електронних інвойсів</w:t>
      </w:r>
      <w:r w:rsidR="00790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12B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="00D9313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6112B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="00790A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77CA31" w14:textId="11AEAB62" w:rsidR="00A00F8B" w:rsidRDefault="002A2C49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Наступною </w:t>
      </w:r>
      <w:r w:rsidR="0050568C" w:rsidRPr="007E40A2">
        <w:rPr>
          <w:rFonts w:ascii="Times New Roman" w:hAnsi="Times New Roman" w:cs="Times New Roman"/>
          <w:sz w:val="28"/>
          <w:szCs w:val="28"/>
          <w:lang w:val="uk-UA"/>
        </w:rPr>
        <w:t>важливою зміною є розширення механізмів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Єдиного вікна (</w:t>
      </w:r>
      <w:r w:rsidRPr="00867311">
        <w:rPr>
          <w:rFonts w:ascii="Times New Roman" w:hAnsi="Times New Roman" w:cs="Times New Roman"/>
          <w:sz w:val="28"/>
          <w:szCs w:val="28"/>
          <w:lang w:val="uk-UA"/>
        </w:rPr>
        <w:t xml:space="preserve">One Stop Shop, </w:t>
      </w:r>
      <w:r w:rsidR="00867311" w:rsidRPr="00867311">
        <w:rPr>
          <w:rFonts w:ascii="Times New Roman" w:hAnsi="Times New Roman" w:cs="Times New Roman"/>
          <w:sz w:val="28"/>
          <w:szCs w:val="28"/>
          <w:lang w:val="en-US"/>
        </w:rPr>
        <w:t>OSS</w:t>
      </w:r>
      <w:r w:rsidR="00867311" w:rsidRPr="0086731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67311">
        <w:rPr>
          <w:rFonts w:ascii="Times New Roman" w:hAnsi="Times New Roman" w:cs="Times New Roman"/>
          <w:sz w:val="28"/>
          <w:szCs w:val="28"/>
          <w:lang w:val="uk-UA"/>
        </w:rPr>
        <w:t xml:space="preserve">. Запроваджене в липні 2021 року, воно </w:t>
      </w:r>
      <w:r w:rsidR="0050568C" w:rsidRPr="007E40A2">
        <w:rPr>
          <w:rFonts w:ascii="Times New Roman" w:hAnsi="Times New Roman" w:cs="Times New Roman"/>
          <w:sz w:val="28"/>
          <w:szCs w:val="28"/>
          <w:lang w:val="uk-UA"/>
        </w:rPr>
        <w:t>дозволя</w:t>
      </w:r>
      <w:r w:rsidR="0086731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0568C" w:rsidRPr="007E40A2">
        <w:rPr>
          <w:rFonts w:ascii="Times New Roman" w:hAnsi="Times New Roman" w:cs="Times New Roman"/>
          <w:sz w:val="28"/>
          <w:szCs w:val="28"/>
          <w:lang w:val="uk-UA"/>
        </w:rPr>
        <w:t xml:space="preserve"> платникам ПДВ, що постачають товари та послуги в більш ніж одн</w:t>
      </w:r>
      <w:r w:rsidR="008673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0568C" w:rsidRPr="007E4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311">
        <w:rPr>
          <w:rFonts w:ascii="Times New Roman" w:hAnsi="Times New Roman" w:cs="Times New Roman"/>
          <w:sz w:val="28"/>
          <w:szCs w:val="28"/>
          <w:lang w:val="uk-UA"/>
        </w:rPr>
        <w:t>країну-учасницю</w:t>
      </w:r>
      <w:r w:rsidR="0050568C" w:rsidRPr="007E40A2">
        <w:rPr>
          <w:rFonts w:ascii="Times New Roman" w:hAnsi="Times New Roman" w:cs="Times New Roman"/>
          <w:sz w:val="28"/>
          <w:szCs w:val="28"/>
          <w:lang w:val="uk-UA"/>
        </w:rPr>
        <w:t>, реєструватися платником ПДВ лише один раз, через Єдине вікно</w:t>
      </w:r>
      <w:r w:rsidR="0050568C" w:rsidRPr="007E40A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50568C" w:rsidRPr="007E40A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67311">
        <w:rPr>
          <w:rFonts w:ascii="Times New Roman" w:hAnsi="Times New Roman" w:cs="Times New Roman"/>
          <w:sz w:val="28"/>
          <w:szCs w:val="28"/>
          <w:lang w:val="uk-UA"/>
        </w:rPr>
        <w:t>Найближчими роками механізм Єдиного вікна буде розширено на постачання товарів із подальш</w:t>
      </w:r>
      <w:r w:rsidR="005C5452">
        <w:rPr>
          <w:rFonts w:ascii="Times New Roman" w:hAnsi="Times New Roman" w:cs="Times New Roman"/>
          <w:sz w:val="28"/>
          <w:szCs w:val="28"/>
          <w:lang w:val="uk-UA"/>
        </w:rPr>
        <w:t xml:space="preserve">ою збіркою та </w:t>
      </w:r>
      <w:r w:rsidR="00867311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встановленням вживаних товарів, енергоносіїв та внутрішніх товарів. </w:t>
      </w:r>
      <w:r w:rsidR="0050568C" w:rsidRPr="007E40A2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867311">
        <w:rPr>
          <w:rFonts w:ascii="Times New Roman" w:hAnsi="Times New Roman" w:cs="Times New Roman"/>
          <w:sz w:val="28"/>
          <w:szCs w:val="28"/>
          <w:lang w:val="uk-UA"/>
        </w:rPr>
        <w:t>такий механізм розшириться для послуг, що надають постачальники</w:t>
      </w:r>
      <w:r w:rsidR="00A00F8B">
        <w:rPr>
          <w:rFonts w:ascii="Times New Roman" w:hAnsi="Times New Roman" w:cs="Times New Roman"/>
          <w:sz w:val="28"/>
          <w:szCs w:val="28"/>
          <w:lang w:val="uk-UA"/>
        </w:rPr>
        <w:t xml:space="preserve"> - нерезиденти ЄС для всіх  осіб, що не є платниками ПДВ.</w:t>
      </w:r>
    </w:p>
    <w:p w14:paraId="56145C79" w14:textId="106C9C04" w:rsidR="0050568C" w:rsidRDefault="005C5452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однією важливою зміною системи оподаткування ПДВ є перехід на так звану </w:t>
      </w:r>
      <w:r w:rsidR="00A00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13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definitive </w:t>
      </w:r>
      <w:r w:rsidRPr="00D93138">
        <w:rPr>
          <w:rFonts w:ascii="Times New Roman" w:hAnsi="Times New Roman" w:cs="Times New Roman"/>
          <w:i/>
          <w:iCs/>
          <w:sz w:val="28"/>
          <w:szCs w:val="28"/>
          <w:lang w:val="en-US"/>
        </w:rPr>
        <w:t>system</w:t>
      </w:r>
      <w:r w:rsidR="00BD517A">
        <w:rPr>
          <w:rFonts w:ascii="Times New Roman" w:hAnsi="Times New Roman" w:cs="Times New Roman"/>
          <w:sz w:val="28"/>
          <w:szCs w:val="28"/>
          <w:lang w:val="uk-UA"/>
        </w:rPr>
        <w:t xml:space="preserve">, коли </w:t>
      </w:r>
      <w:r w:rsidR="0050568C" w:rsidRPr="007E40A2">
        <w:rPr>
          <w:rFonts w:ascii="Times New Roman" w:hAnsi="Times New Roman" w:cs="Times New Roman"/>
          <w:sz w:val="28"/>
          <w:szCs w:val="28"/>
          <w:lang w:val="uk-UA"/>
        </w:rPr>
        <w:t>всі операції оподатковуються за місцем постачання.</w:t>
      </w:r>
    </w:p>
    <w:p w14:paraId="662C6ED6" w14:textId="4CCE5E7A" w:rsidR="0050568C" w:rsidRDefault="00BD517A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України на шляху до членства в ЄС дуже важливо </w:t>
      </w:r>
      <w:r w:rsidR="00960032">
        <w:rPr>
          <w:rFonts w:ascii="Times New Roman" w:hAnsi="Times New Roman" w:cs="Times New Roman"/>
          <w:sz w:val="28"/>
          <w:szCs w:val="28"/>
          <w:lang w:val="uk-UA"/>
        </w:rPr>
        <w:t xml:space="preserve">якісно </w:t>
      </w:r>
      <w:r w:rsidR="00A1530E">
        <w:rPr>
          <w:rFonts w:ascii="Times New Roman" w:hAnsi="Times New Roman" w:cs="Times New Roman"/>
          <w:sz w:val="28"/>
          <w:szCs w:val="28"/>
          <w:lang w:val="uk-UA"/>
        </w:rPr>
        <w:t xml:space="preserve">запроваджувати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нор</w:t>
      </w:r>
      <w:r w:rsidR="0096003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 європейського законодавства</w:t>
      </w:r>
      <w:r w:rsidR="00960032">
        <w:rPr>
          <w:rFonts w:ascii="Times New Roman" w:hAnsi="Times New Roman" w:cs="Times New Roman"/>
          <w:sz w:val="28"/>
          <w:szCs w:val="28"/>
          <w:lang w:val="uk-UA"/>
        </w:rPr>
        <w:t xml:space="preserve"> в національну практику непрямого оподаткування. </w:t>
      </w:r>
      <w:r w:rsidR="00A1530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93138">
        <w:rPr>
          <w:rFonts w:ascii="Times New Roman" w:hAnsi="Times New Roman" w:cs="Times New Roman"/>
          <w:sz w:val="28"/>
          <w:szCs w:val="28"/>
          <w:lang w:val="uk-UA"/>
        </w:rPr>
        <w:t>найближчій</w:t>
      </w:r>
      <w:r w:rsidR="00A1530E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перспективі в українське законодавство слід імплементувати норми Директив ЄС щодо звільнення від сплати ПДВ, щодо </w:t>
      </w:r>
      <w:r w:rsidR="00D93138">
        <w:rPr>
          <w:rFonts w:ascii="Times New Roman" w:hAnsi="Times New Roman" w:cs="Times New Roman"/>
          <w:sz w:val="28"/>
          <w:szCs w:val="28"/>
          <w:lang w:val="uk-UA"/>
        </w:rPr>
        <w:t>відшкодування</w:t>
      </w:r>
      <w:r w:rsidR="00A1530E">
        <w:rPr>
          <w:rFonts w:ascii="Times New Roman" w:hAnsi="Times New Roman" w:cs="Times New Roman"/>
          <w:sz w:val="28"/>
          <w:szCs w:val="28"/>
          <w:lang w:val="uk-UA"/>
        </w:rPr>
        <w:t xml:space="preserve"> ПДВ; Директив ЄС щодо акцизного податку та оподаткування </w:t>
      </w:r>
      <w:r w:rsidR="00D93138">
        <w:rPr>
          <w:rFonts w:ascii="Times New Roman" w:hAnsi="Times New Roman" w:cs="Times New Roman"/>
          <w:sz w:val="28"/>
          <w:szCs w:val="28"/>
          <w:lang w:val="uk-UA"/>
        </w:rPr>
        <w:t>підакцизних</w:t>
      </w:r>
      <w:r w:rsidR="00A1530E">
        <w:rPr>
          <w:rFonts w:ascii="Times New Roman" w:hAnsi="Times New Roman" w:cs="Times New Roman"/>
          <w:sz w:val="28"/>
          <w:szCs w:val="28"/>
          <w:lang w:val="uk-UA"/>
        </w:rPr>
        <w:t xml:space="preserve"> товарів; Директиви ЄС щодо непрямих податків з метою залучення капіталовкладень. Слід продовжувати імплементацію </w:t>
      </w:r>
      <w:r w:rsidR="00A153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Директиви ЄС 112 </w:t>
      </w:r>
      <w:r w:rsidR="003040C9">
        <w:rPr>
          <w:rFonts w:ascii="Times New Roman" w:hAnsi="Times New Roman" w:cs="Times New Roman"/>
          <w:sz w:val="28"/>
          <w:szCs w:val="28"/>
          <w:lang w:val="uk-UA"/>
        </w:rPr>
        <w:t xml:space="preserve">«Про загальну систему  </w:t>
      </w:r>
      <w:r w:rsidR="00A1530E">
        <w:rPr>
          <w:rFonts w:ascii="Times New Roman" w:hAnsi="Times New Roman" w:cs="Times New Roman"/>
          <w:sz w:val="28"/>
          <w:szCs w:val="28"/>
          <w:lang w:val="uk-UA"/>
        </w:rPr>
        <w:t>податк</w:t>
      </w:r>
      <w:r w:rsidR="003040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1530E">
        <w:rPr>
          <w:rFonts w:ascii="Times New Roman" w:hAnsi="Times New Roman" w:cs="Times New Roman"/>
          <w:sz w:val="28"/>
          <w:szCs w:val="28"/>
          <w:lang w:val="uk-UA"/>
        </w:rPr>
        <w:t xml:space="preserve"> на додану вартість</w:t>
      </w:r>
      <w:r w:rsidR="003040C9">
        <w:rPr>
          <w:rFonts w:ascii="Times New Roman" w:hAnsi="Times New Roman" w:cs="Times New Roman"/>
          <w:sz w:val="28"/>
          <w:szCs w:val="28"/>
          <w:lang w:val="uk-UA"/>
        </w:rPr>
        <w:t>» в частині ризиків подвійного  оподаткування або не</w:t>
      </w:r>
      <w:r w:rsidR="00A94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0C9">
        <w:rPr>
          <w:rFonts w:ascii="Times New Roman" w:hAnsi="Times New Roman" w:cs="Times New Roman"/>
          <w:sz w:val="28"/>
          <w:szCs w:val="28"/>
          <w:lang w:val="uk-UA"/>
        </w:rPr>
        <w:t>оподаткування.</w:t>
      </w:r>
    </w:p>
    <w:p w14:paraId="40E0ED9A" w14:textId="1AD673A0" w:rsidR="00E41D97" w:rsidRDefault="003040C9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Важливим завданням для України також є удосконалення адміністрування непрямих податків. Для цього важливо гармонізувати українське законодавство з такими нормативно-правовим</w:t>
      </w:r>
      <w:r w:rsidR="00F93400">
        <w:rPr>
          <w:rFonts w:ascii="Times New Roman" w:hAnsi="Times New Roman" w:cs="Times New Roman"/>
          <w:sz w:val="28"/>
          <w:szCs w:val="28"/>
          <w:lang w:val="uk-UA"/>
        </w:rPr>
        <w:t>и актами</w:t>
      </w:r>
      <w:r>
        <w:rPr>
          <w:rFonts w:ascii="Times New Roman" w:hAnsi="Times New Roman" w:cs="Times New Roman"/>
          <w:sz w:val="28"/>
          <w:szCs w:val="28"/>
          <w:lang w:val="uk-UA"/>
        </w:rPr>
        <w:t>, як Директив</w:t>
      </w:r>
      <w:r w:rsidR="00F9340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ЄС про збір податків, про адміністративну співпрацю, </w:t>
      </w:r>
      <w:r w:rsidR="00F9340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Регламенти ЄС про адміністративну співпрацю з питань ПДВ та з питань акцизних зборів.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93400">
        <w:rPr>
          <w:rFonts w:ascii="Times New Roman" w:hAnsi="Times New Roman" w:cs="Times New Roman"/>
          <w:sz w:val="28"/>
          <w:szCs w:val="28"/>
          <w:lang w:val="uk-UA"/>
        </w:rPr>
        <w:t xml:space="preserve">ержавна податкова служба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приєднатися </w:t>
      </w:r>
      <w:r w:rsidR="00F93400">
        <w:rPr>
          <w:rFonts w:ascii="Times New Roman" w:hAnsi="Times New Roman" w:cs="Times New Roman"/>
          <w:sz w:val="28"/>
          <w:szCs w:val="28"/>
          <w:lang w:val="uk-UA"/>
        </w:rPr>
        <w:t xml:space="preserve">та активно працювати в таких операційно-інформаційних  системах, як </w:t>
      </w:r>
      <w:r w:rsidR="00F93400">
        <w:rPr>
          <w:rFonts w:ascii="Times New Roman" w:hAnsi="Times New Roman" w:cs="Times New Roman"/>
          <w:sz w:val="28"/>
          <w:szCs w:val="28"/>
          <w:lang w:val="en-US"/>
        </w:rPr>
        <w:t>CCN</w:t>
      </w:r>
      <w:r w:rsidR="00F93400" w:rsidRPr="00F9340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93400">
        <w:rPr>
          <w:rFonts w:ascii="Times New Roman" w:hAnsi="Times New Roman" w:cs="Times New Roman"/>
          <w:sz w:val="28"/>
          <w:szCs w:val="28"/>
          <w:lang w:val="en-US"/>
        </w:rPr>
        <w:t>CSI</w:t>
      </w:r>
      <w:r w:rsidR="00F93400" w:rsidRPr="00F9340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93400">
        <w:rPr>
          <w:rFonts w:ascii="Times New Roman" w:hAnsi="Times New Roman" w:cs="Times New Roman"/>
          <w:sz w:val="28"/>
          <w:szCs w:val="28"/>
          <w:lang w:val="uk-UA"/>
        </w:rPr>
        <w:t xml:space="preserve">ІТ-платформа для обміну податковою інформацією компетентними органами ЄС), </w:t>
      </w:r>
      <w:r w:rsidR="00F93400" w:rsidRPr="00F93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400">
        <w:rPr>
          <w:rFonts w:ascii="Times New Roman" w:hAnsi="Times New Roman" w:cs="Times New Roman"/>
          <w:sz w:val="28"/>
          <w:szCs w:val="28"/>
          <w:lang w:val="en-US"/>
        </w:rPr>
        <w:t>VIES</w:t>
      </w:r>
      <w:r w:rsidR="00F93400" w:rsidRPr="00F93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400">
        <w:rPr>
          <w:rFonts w:ascii="Times New Roman" w:hAnsi="Times New Roman" w:cs="Times New Roman"/>
          <w:sz w:val="28"/>
          <w:szCs w:val="28"/>
          <w:lang w:val="uk-UA"/>
        </w:rPr>
        <w:t xml:space="preserve">(система обміну інформацією про ПДВ), </w:t>
      </w:r>
      <w:r w:rsidR="00F93400">
        <w:rPr>
          <w:rFonts w:ascii="Times New Roman" w:hAnsi="Times New Roman" w:cs="Times New Roman"/>
          <w:sz w:val="28"/>
          <w:szCs w:val="28"/>
          <w:lang w:val="en-US"/>
        </w:rPr>
        <w:t>EMCS</w:t>
      </w:r>
      <w:r w:rsidR="00F93400">
        <w:rPr>
          <w:rFonts w:ascii="Times New Roman" w:hAnsi="Times New Roman" w:cs="Times New Roman"/>
          <w:sz w:val="28"/>
          <w:szCs w:val="28"/>
          <w:lang w:val="uk-UA"/>
        </w:rPr>
        <w:t xml:space="preserve"> (система контролю за переміщенням підакцизних товарів алкоголю, тютюну та енергоносіїв),</w:t>
      </w:r>
      <w:r w:rsidR="00F93400" w:rsidRPr="00F934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3400" w:rsidRPr="00D931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93400" w:rsidRPr="00D931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93400" w:rsidRPr="00D93138"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="00F93400" w:rsidRPr="00F934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340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93400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F93400" w:rsidRPr="00F93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400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F93400" w:rsidRPr="00F93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400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="00F93400" w:rsidRPr="00F9340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93400">
        <w:rPr>
          <w:rFonts w:ascii="Times New Roman" w:hAnsi="Times New Roman" w:cs="Times New Roman"/>
          <w:sz w:val="28"/>
          <w:szCs w:val="28"/>
          <w:lang w:val="en-US"/>
        </w:rPr>
        <w:t>OSS</w:t>
      </w:r>
      <w:r w:rsidR="00F93400" w:rsidRPr="00F9340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D0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B9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="00D9313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0B9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="00E01F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6B7AE9" w14:textId="73A49354" w:rsidR="005D0B94" w:rsidRDefault="005D0B94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Перспективним також вбачається перехід на стандартизовані електронні інвойси замість актів виконаних робіт та податкових накладних.</w:t>
      </w:r>
    </w:p>
    <w:p w14:paraId="54CAB883" w14:textId="35AC8C79" w:rsidR="002921DF" w:rsidRDefault="005D0B94" w:rsidP="00601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Українському бізнесу слід позбутися ілюзій, що в ЄС система оподаткування легше, контроль податкових органів слабше, а ставки оподаткування нижче. Слід бути готовим до </w:t>
      </w:r>
      <w:r w:rsidR="0026112B">
        <w:rPr>
          <w:rFonts w:ascii="Times New Roman" w:hAnsi="Times New Roman" w:cs="Times New Roman"/>
          <w:sz w:val="28"/>
          <w:szCs w:val="28"/>
          <w:lang w:val="uk-UA"/>
        </w:rPr>
        <w:t xml:space="preserve">сумлінного, </w:t>
      </w:r>
      <w:r>
        <w:rPr>
          <w:rFonts w:ascii="Times New Roman" w:hAnsi="Times New Roman" w:cs="Times New Roman"/>
          <w:sz w:val="28"/>
          <w:szCs w:val="28"/>
          <w:lang w:val="uk-UA"/>
        </w:rPr>
        <w:t>прозорого</w:t>
      </w:r>
      <w:r w:rsidR="0026112B">
        <w:rPr>
          <w:rFonts w:ascii="Times New Roman" w:hAnsi="Times New Roman" w:cs="Times New Roman"/>
          <w:sz w:val="28"/>
          <w:szCs w:val="28"/>
          <w:lang w:val="uk-UA"/>
        </w:rPr>
        <w:t xml:space="preserve"> та технологічного ведення бізнесу з широким використанням інформаційних систем у сфері оподаткування. </w:t>
      </w:r>
    </w:p>
    <w:p w14:paraId="4EB8F574" w14:textId="6EEE804A" w:rsidR="00961B4F" w:rsidRPr="007E4109" w:rsidRDefault="00961B4F" w:rsidP="007E41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4109"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14:paraId="770145C1" w14:textId="317E1D4B" w:rsidR="00D93138" w:rsidRPr="007E4109" w:rsidRDefault="00D93138" w:rsidP="00D93138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39278060"/>
      <w:r w:rsidRPr="007E4109">
        <w:rPr>
          <w:rFonts w:ascii="Times New Roman" w:hAnsi="Times New Roman" w:cs="Times New Roman"/>
          <w:sz w:val="24"/>
          <w:szCs w:val="24"/>
          <w:lang w:val="uk-UA"/>
        </w:rPr>
        <w:t xml:space="preserve">Гармонізація та уніфікація податкової політики в межах Європейського Союзу. </w:t>
      </w:r>
      <w:r w:rsidRPr="007E41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URL</w:t>
      </w:r>
      <w:r w:rsidRPr="007E410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>:</w:t>
      </w:r>
      <w:r w:rsidRPr="007E4109">
        <w:rPr>
          <w:rFonts w:ascii="Times New Roman" w:hAnsi="Times New Roman" w:cs="Times New Roman"/>
          <w:sz w:val="24"/>
          <w:szCs w:val="24"/>
          <w:lang w:val="uk-UA"/>
        </w:rPr>
        <w:t xml:space="preserve"> https://pidru4niki.com/18860313/finansi/garmonizatsiya_</w:t>
      </w:r>
      <w:r w:rsidR="005654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4109">
        <w:rPr>
          <w:rFonts w:ascii="Times New Roman" w:hAnsi="Times New Roman" w:cs="Times New Roman"/>
          <w:sz w:val="24"/>
          <w:szCs w:val="24"/>
          <w:lang w:val="uk-UA"/>
        </w:rPr>
        <w:t>unifikatsiya_podatkovoyi_politiki_mezhah_yevropeyskogo_soyuzu</w:t>
      </w:r>
    </w:p>
    <w:p w14:paraId="6BE6101A" w14:textId="77777777" w:rsidR="00D93138" w:rsidRPr="007E4109" w:rsidRDefault="00D93138" w:rsidP="00D93138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4109">
        <w:rPr>
          <w:rFonts w:ascii="Times New Roman" w:hAnsi="Times New Roman" w:cs="Times New Roman"/>
          <w:sz w:val="24"/>
          <w:szCs w:val="24"/>
          <w:lang w:val="uk-UA"/>
        </w:rPr>
        <w:t xml:space="preserve">Директива Ради (ЄС) 2020/262 від 19 грудня 2019 року про загальний режим акцизного податку (нова редакція). </w:t>
      </w:r>
      <w:r w:rsidRPr="007E41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URL:</w:t>
      </w:r>
      <w:r w:rsidRPr="007E4109">
        <w:rPr>
          <w:rFonts w:ascii="Times New Roman" w:hAnsi="Times New Roman" w:cs="Times New Roman"/>
          <w:sz w:val="24"/>
          <w:szCs w:val="24"/>
          <w:lang w:val="uk-UA"/>
        </w:rPr>
        <w:t xml:space="preserve"> https://zakon.rada.gov.ua/laws/show/984_028-20#Text</w:t>
      </w:r>
    </w:p>
    <w:p w14:paraId="4EBC8062" w14:textId="2810AA90" w:rsidR="00961B4F" w:rsidRPr="007E4109" w:rsidRDefault="00961B4F" w:rsidP="0060128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7E4109">
        <w:rPr>
          <w:rFonts w:ascii="Times New Roman" w:hAnsi="Times New Roman" w:cs="Times New Roman"/>
          <w:sz w:val="24"/>
          <w:szCs w:val="24"/>
          <w:lang w:val="uk-UA"/>
        </w:rPr>
        <w:t>Гайдай Ю. Гармонізація податкової політики з ЄС. Рамки та можливості для України.</w:t>
      </w:r>
      <w:r w:rsidR="0026112B" w:rsidRPr="007E4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F78" w:rsidRPr="007E410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URL: </w:t>
      </w:r>
      <w:r w:rsidRPr="007E4109">
        <w:rPr>
          <w:rFonts w:ascii="Times New Roman" w:hAnsi="Times New Roman" w:cs="Times New Roman"/>
          <w:sz w:val="24"/>
          <w:szCs w:val="24"/>
          <w:lang w:val="uk-UA"/>
        </w:rPr>
        <w:t>https://ces.org.ua/harmonizing-taxes-with-the-eu-brief/</w:t>
      </w:r>
    </w:p>
    <w:p w14:paraId="09FDA646" w14:textId="3CEF17D6" w:rsidR="00C27FCE" w:rsidRPr="007E4109" w:rsidRDefault="00C27FCE" w:rsidP="0060128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4109">
        <w:rPr>
          <w:rFonts w:ascii="Times New Roman" w:hAnsi="Times New Roman" w:cs="Times New Roman"/>
          <w:sz w:val="24"/>
          <w:szCs w:val="24"/>
          <w:lang w:val="uk-UA"/>
        </w:rPr>
        <w:t>Присяжна Л. Податкові зміни, що необхідні Україні для вступу в ЄС</w:t>
      </w:r>
      <w:r w:rsidR="0026112B" w:rsidRPr="007E4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F78" w:rsidRPr="007E41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URL:</w:t>
      </w:r>
      <w:r w:rsidRPr="007E410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D2C3A" w:rsidRPr="007E4109">
        <w:rPr>
          <w:rFonts w:ascii="Times New Roman" w:hAnsi="Times New Roman" w:cs="Times New Roman"/>
          <w:sz w:val="24"/>
          <w:szCs w:val="24"/>
          <w:lang w:val="uk-UA"/>
        </w:rPr>
        <w:t>https://biz.ligazakon.net/news/212565_podatkov-zmni-shcho-neobkhdn-ukran-dlya-vstupu-v-s</w:t>
      </w:r>
    </w:p>
    <w:bookmarkEnd w:id="2"/>
    <w:p w14:paraId="3E9EE822" w14:textId="77777777" w:rsidR="00D93138" w:rsidRPr="007E4109" w:rsidRDefault="00D93138" w:rsidP="00D9313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93138" w:rsidRPr="007E4109" w:rsidSect="007E4109">
      <w:head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F926" w14:textId="77777777" w:rsidR="00C1788A" w:rsidRDefault="00C1788A" w:rsidP="007E4109">
      <w:pPr>
        <w:spacing w:after="0" w:line="240" w:lineRule="auto"/>
      </w:pPr>
      <w:r>
        <w:separator/>
      </w:r>
    </w:p>
  </w:endnote>
  <w:endnote w:type="continuationSeparator" w:id="0">
    <w:p w14:paraId="3D3D4C64" w14:textId="77777777" w:rsidR="00C1788A" w:rsidRDefault="00C1788A" w:rsidP="007E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ABE6" w14:textId="77777777" w:rsidR="00C1788A" w:rsidRDefault="00C1788A" w:rsidP="007E4109">
      <w:pPr>
        <w:spacing w:after="0" w:line="240" w:lineRule="auto"/>
      </w:pPr>
      <w:r>
        <w:separator/>
      </w:r>
    </w:p>
  </w:footnote>
  <w:footnote w:type="continuationSeparator" w:id="0">
    <w:p w14:paraId="256F0AE8" w14:textId="77777777" w:rsidR="00C1788A" w:rsidRDefault="00C1788A" w:rsidP="007E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487159"/>
      <w:docPartObj>
        <w:docPartGallery w:val="Page Numbers (Top of Page)"/>
        <w:docPartUnique/>
      </w:docPartObj>
    </w:sdtPr>
    <w:sdtContent>
      <w:p w14:paraId="60163091" w14:textId="3F04E547" w:rsidR="007E4109" w:rsidRDefault="007E41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E4535A3" w14:textId="77777777" w:rsidR="007E4109" w:rsidRDefault="007E41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B464" w14:textId="00BE1389" w:rsidR="007E4109" w:rsidRDefault="007E4109" w:rsidP="007E4109">
    <w:pPr>
      <w:pStyle w:val="a6"/>
      <w:jc w:val="right"/>
    </w:pPr>
  </w:p>
  <w:p w14:paraId="473E2A45" w14:textId="77777777" w:rsidR="007E4109" w:rsidRDefault="007E41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6DD1"/>
    <w:multiLevelType w:val="multilevel"/>
    <w:tmpl w:val="962C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15821"/>
    <w:multiLevelType w:val="multilevel"/>
    <w:tmpl w:val="7BF2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D5B18"/>
    <w:multiLevelType w:val="hybridMultilevel"/>
    <w:tmpl w:val="991AEE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B4E0D"/>
    <w:multiLevelType w:val="multilevel"/>
    <w:tmpl w:val="366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32325"/>
    <w:multiLevelType w:val="multilevel"/>
    <w:tmpl w:val="0F1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52DAF"/>
    <w:multiLevelType w:val="hybridMultilevel"/>
    <w:tmpl w:val="CDF25C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C1189"/>
    <w:multiLevelType w:val="multilevel"/>
    <w:tmpl w:val="C67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71CAC"/>
    <w:multiLevelType w:val="multilevel"/>
    <w:tmpl w:val="70F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765F5"/>
    <w:multiLevelType w:val="multilevel"/>
    <w:tmpl w:val="534E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A2"/>
    <w:rsid w:val="00025E1B"/>
    <w:rsid w:val="000A1160"/>
    <w:rsid w:val="00117C21"/>
    <w:rsid w:val="001308C1"/>
    <w:rsid w:val="001440CF"/>
    <w:rsid w:val="001545BF"/>
    <w:rsid w:val="00161AB6"/>
    <w:rsid w:val="00191985"/>
    <w:rsid w:val="001A734B"/>
    <w:rsid w:val="001E3258"/>
    <w:rsid w:val="0026112B"/>
    <w:rsid w:val="002A2C49"/>
    <w:rsid w:val="002C04FF"/>
    <w:rsid w:val="003040C9"/>
    <w:rsid w:val="0037559C"/>
    <w:rsid w:val="004117CE"/>
    <w:rsid w:val="00443290"/>
    <w:rsid w:val="00482BB1"/>
    <w:rsid w:val="0050568C"/>
    <w:rsid w:val="00543D7D"/>
    <w:rsid w:val="005654DD"/>
    <w:rsid w:val="00595C0D"/>
    <w:rsid w:val="00597470"/>
    <w:rsid w:val="005C5452"/>
    <w:rsid w:val="005D0B94"/>
    <w:rsid w:val="005D2D41"/>
    <w:rsid w:val="0060128C"/>
    <w:rsid w:val="00676EC5"/>
    <w:rsid w:val="00725656"/>
    <w:rsid w:val="007647C0"/>
    <w:rsid w:val="00790AD0"/>
    <w:rsid w:val="007D176B"/>
    <w:rsid w:val="007E40A2"/>
    <w:rsid w:val="007E4109"/>
    <w:rsid w:val="007E6965"/>
    <w:rsid w:val="0082016F"/>
    <w:rsid w:val="00837F20"/>
    <w:rsid w:val="00841E86"/>
    <w:rsid w:val="00853F85"/>
    <w:rsid w:val="00867311"/>
    <w:rsid w:val="00873E9E"/>
    <w:rsid w:val="00904C49"/>
    <w:rsid w:val="00960032"/>
    <w:rsid w:val="00961B4F"/>
    <w:rsid w:val="009B0795"/>
    <w:rsid w:val="009E5C61"/>
    <w:rsid w:val="00A00F8B"/>
    <w:rsid w:val="00A121EE"/>
    <w:rsid w:val="00A1530E"/>
    <w:rsid w:val="00A4757B"/>
    <w:rsid w:val="00A94DC2"/>
    <w:rsid w:val="00AA37AF"/>
    <w:rsid w:val="00AB1B1B"/>
    <w:rsid w:val="00AD4BF1"/>
    <w:rsid w:val="00AE56A1"/>
    <w:rsid w:val="00BD517A"/>
    <w:rsid w:val="00C1788A"/>
    <w:rsid w:val="00C25C1F"/>
    <w:rsid w:val="00C27FCE"/>
    <w:rsid w:val="00C70B1B"/>
    <w:rsid w:val="00CE72F8"/>
    <w:rsid w:val="00D25D87"/>
    <w:rsid w:val="00D777EC"/>
    <w:rsid w:val="00D93138"/>
    <w:rsid w:val="00DE70BD"/>
    <w:rsid w:val="00DF0A2F"/>
    <w:rsid w:val="00E01F78"/>
    <w:rsid w:val="00E40086"/>
    <w:rsid w:val="00E41D97"/>
    <w:rsid w:val="00F93400"/>
    <w:rsid w:val="00FD2C3A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3FC1"/>
  <w15:chartTrackingRefBased/>
  <w15:docId w15:val="{EBE51D52-9830-4C02-82BE-989B34A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1B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61B4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E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E4109"/>
  </w:style>
  <w:style w:type="paragraph" w:styleId="a8">
    <w:name w:val="footer"/>
    <w:basedOn w:val="a"/>
    <w:link w:val="a9"/>
    <w:uiPriority w:val="99"/>
    <w:unhideWhenUsed/>
    <w:rsid w:val="007E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E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337-8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9-0003-8720-61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</dc:creator>
  <cp:keywords/>
  <dc:description/>
  <cp:lastModifiedBy>Inesa</cp:lastModifiedBy>
  <cp:revision>4</cp:revision>
  <dcterms:created xsi:type="dcterms:W3CDTF">2023-07-04T06:01:00Z</dcterms:created>
  <dcterms:modified xsi:type="dcterms:W3CDTF">2023-07-04T07:25:00Z</dcterms:modified>
</cp:coreProperties>
</file>