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D34D" w14:textId="5E3609A5" w:rsidR="006C1EA4" w:rsidRPr="007E319E" w:rsidRDefault="00C94A40" w:rsidP="00353568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E319E">
        <w:rPr>
          <w:rFonts w:ascii="Times New Roman" w:hAnsi="Times New Roman" w:cs="Times New Roman"/>
          <w:b/>
          <w:sz w:val="28"/>
          <w:lang w:val="uk-UA"/>
        </w:rPr>
        <w:t>Теор</w:t>
      </w:r>
      <w:r>
        <w:rPr>
          <w:rFonts w:ascii="Times New Roman" w:hAnsi="Times New Roman" w:cs="Times New Roman"/>
          <w:b/>
          <w:sz w:val="28"/>
          <w:lang w:val="uk-UA"/>
        </w:rPr>
        <w:t>е</w:t>
      </w:r>
      <w:r w:rsidRPr="007E319E">
        <w:rPr>
          <w:rFonts w:ascii="Times New Roman" w:hAnsi="Times New Roman" w:cs="Times New Roman"/>
          <w:b/>
          <w:sz w:val="28"/>
          <w:lang w:val="uk-UA"/>
        </w:rPr>
        <w:t xml:space="preserve">тичний </w:t>
      </w:r>
      <w:r>
        <w:rPr>
          <w:rFonts w:ascii="Times New Roman" w:hAnsi="Times New Roman" w:cs="Times New Roman"/>
          <w:b/>
          <w:sz w:val="28"/>
          <w:lang w:val="uk-UA"/>
        </w:rPr>
        <w:t>а</w:t>
      </w:r>
      <w:r w:rsidRPr="007E319E">
        <w:rPr>
          <w:rFonts w:ascii="Times New Roman" w:hAnsi="Times New Roman" w:cs="Times New Roman"/>
          <w:b/>
          <w:sz w:val="28"/>
          <w:lang w:val="uk-UA"/>
        </w:rPr>
        <w:t xml:space="preserve">наліз </w:t>
      </w:r>
      <w:r>
        <w:rPr>
          <w:rFonts w:ascii="Times New Roman" w:hAnsi="Times New Roman" w:cs="Times New Roman"/>
          <w:b/>
          <w:sz w:val="28"/>
          <w:lang w:val="uk-UA"/>
        </w:rPr>
        <w:t>с</w:t>
      </w:r>
      <w:proofErr w:type="spellStart"/>
      <w:r w:rsidRPr="007E319E">
        <w:rPr>
          <w:rFonts w:ascii="Times New Roman" w:hAnsi="Times New Roman" w:cs="Times New Roman"/>
          <w:b/>
          <w:sz w:val="28"/>
        </w:rPr>
        <w:t>истем</w:t>
      </w:r>
      <w:proofErr w:type="spellEnd"/>
      <w:r w:rsidRPr="007E319E">
        <w:rPr>
          <w:rFonts w:ascii="Times New Roman" w:hAnsi="Times New Roman" w:cs="Times New Roman"/>
          <w:b/>
          <w:sz w:val="28"/>
          <w:lang w:val="uk-UA"/>
        </w:rPr>
        <w:t>и</w:t>
      </w:r>
      <w:r w:rsidRPr="007E319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uk-UA"/>
        </w:rPr>
        <w:t>о</w:t>
      </w:r>
      <w:r w:rsidRPr="007E319E">
        <w:rPr>
          <w:rFonts w:ascii="Times New Roman" w:hAnsi="Times New Roman" w:cs="Times New Roman"/>
          <w:b/>
          <w:sz w:val="28"/>
        </w:rPr>
        <w:t xml:space="preserve">плати </w:t>
      </w:r>
      <w:r>
        <w:rPr>
          <w:rFonts w:ascii="Times New Roman" w:hAnsi="Times New Roman" w:cs="Times New Roman"/>
          <w:b/>
          <w:sz w:val="28"/>
          <w:lang w:val="uk-UA"/>
        </w:rPr>
        <w:t>п</w:t>
      </w:r>
      <w:proofErr w:type="spellStart"/>
      <w:r w:rsidRPr="007E319E">
        <w:rPr>
          <w:rFonts w:ascii="Times New Roman" w:hAnsi="Times New Roman" w:cs="Times New Roman"/>
          <w:b/>
          <w:sz w:val="28"/>
        </w:rPr>
        <w:t>раці</w:t>
      </w:r>
      <w:proofErr w:type="spellEnd"/>
      <w:r w:rsidRPr="007E319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uk-UA"/>
        </w:rPr>
        <w:t>ф</w:t>
      </w:r>
      <w:proofErr w:type="spellStart"/>
      <w:r w:rsidRPr="007E319E">
        <w:rPr>
          <w:rFonts w:ascii="Times New Roman" w:hAnsi="Times New Roman" w:cs="Times New Roman"/>
          <w:b/>
          <w:sz w:val="28"/>
        </w:rPr>
        <w:t>ахівців</w:t>
      </w:r>
      <w:proofErr w:type="spellEnd"/>
      <w:r w:rsidRPr="007E319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uk-UA"/>
        </w:rPr>
        <w:t>п</w:t>
      </w:r>
      <w:proofErr w:type="spellStart"/>
      <w:r w:rsidRPr="007E319E">
        <w:rPr>
          <w:rFonts w:ascii="Times New Roman" w:hAnsi="Times New Roman" w:cs="Times New Roman"/>
          <w:b/>
          <w:sz w:val="28"/>
        </w:rPr>
        <w:t>ідприємства</w:t>
      </w:r>
      <w:proofErr w:type="spellEnd"/>
      <w:r w:rsidRPr="007E319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uk-UA"/>
        </w:rPr>
        <w:t>в</w:t>
      </w:r>
      <w:r w:rsidRPr="007E319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uk-UA"/>
        </w:rPr>
        <w:t>у</w:t>
      </w:r>
      <w:r w:rsidRPr="007E319E">
        <w:rPr>
          <w:rFonts w:ascii="Times New Roman" w:hAnsi="Times New Roman" w:cs="Times New Roman"/>
          <w:b/>
          <w:sz w:val="28"/>
        </w:rPr>
        <w:t xml:space="preserve">мовах </w:t>
      </w:r>
      <w:r>
        <w:rPr>
          <w:rFonts w:ascii="Times New Roman" w:hAnsi="Times New Roman" w:cs="Times New Roman"/>
          <w:b/>
          <w:sz w:val="28"/>
          <w:lang w:val="uk-UA"/>
        </w:rPr>
        <w:t>в</w:t>
      </w:r>
      <w:proofErr w:type="spellStart"/>
      <w:r w:rsidRPr="007E319E">
        <w:rPr>
          <w:rFonts w:ascii="Times New Roman" w:hAnsi="Times New Roman" w:cs="Times New Roman"/>
          <w:b/>
          <w:sz w:val="28"/>
        </w:rPr>
        <w:t>оєнного</w:t>
      </w:r>
      <w:proofErr w:type="spellEnd"/>
      <w:r w:rsidRPr="007E319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uk-UA"/>
        </w:rPr>
        <w:t>п</w:t>
      </w:r>
      <w:proofErr w:type="spellStart"/>
      <w:r w:rsidRPr="007E319E">
        <w:rPr>
          <w:rFonts w:ascii="Times New Roman" w:hAnsi="Times New Roman" w:cs="Times New Roman"/>
          <w:b/>
          <w:sz w:val="28"/>
        </w:rPr>
        <w:t>еріоду</w:t>
      </w:r>
      <w:proofErr w:type="spellEnd"/>
    </w:p>
    <w:p w14:paraId="26A05CC2" w14:textId="38B21196" w:rsidR="00353568" w:rsidRDefault="00412DD2" w:rsidP="00A6115F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Тригуб Анна Олександрівна, </w:t>
      </w:r>
      <w:proofErr w:type="spellStart"/>
      <w:r w:rsidR="00353568">
        <w:rPr>
          <w:rFonts w:ascii="Times New Roman" w:hAnsi="Times New Roman" w:cs="Times New Roman"/>
          <w:sz w:val="28"/>
          <w:lang w:val="uk-UA"/>
        </w:rPr>
        <w:t>здобувачка</w:t>
      </w:r>
      <w:proofErr w:type="spellEnd"/>
      <w:r w:rsidR="0035356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53568">
        <w:rPr>
          <w:rFonts w:ascii="Times New Roman" w:hAnsi="Times New Roman" w:cs="Times New Roman"/>
          <w:sz w:val="28"/>
          <w:lang w:val="uk-UA"/>
        </w:rPr>
        <w:t>2</w:t>
      </w:r>
      <w:r w:rsidR="005B4462">
        <w:rPr>
          <w:rFonts w:ascii="Times New Roman" w:hAnsi="Times New Roman" w:cs="Times New Roman"/>
          <w:sz w:val="28"/>
          <w:lang w:val="uk-UA"/>
        </w:rPr>
        <w:t>М</w:t>
      </w:r>
      <w:proofErr w:type="spellEnd"/>
      <w:r w:rsidR="005B4462">
        <w:rPr>
          <w:rFonts w:ascii="Times New Roman" w:hAnsi="Times New Roman" w:cs="Times New Roman"/>
          <w:sz w:val="28"/>
          <w:lang w:val="uk-UA"/>
        </w:rPr>
        <w:t xml:space="preserve"> рівня вищої освіти</w:t>
      </w:r>
      <w:r w:rsidR="00D857C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53568">
        <w:rPr>
          <w:rFonts w:ascii="Times New Roman" w:hAnsi="Times New Roman" w:cs="Times New Roman"/>
          <w:sz w:val="28"/>
          <w:lang w:val="uk-UA"/>
        </w:rPr>
        <w:t>ННІ</w:t>
      </w:r>
      <w:proofErr w:type="spellEnd"/>
      <w:r w:rsidR="00353568">
        <w:rPr>
          <w:rFonts w:ascii="Times New Roman" w:hAnsi="Times New Roman" w:cs="Times New Roman"/>
          <w:sz w:val="28"/>
          <w:lang w:val="uk-UA"/>
        </w:rPr>
        <w:t xml:space="preserve"> Менеджменту і маркетингу</w:t>
      </w:r>
    </w:p>
    <w:p w14:paraId="71134BBA" w14:textId="0A3E533B" w:rsidR="00353568" w:rsidRDefault="00353568" w:rsidP="00A6115F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20043A">
        <w:rPr>
          <w:rFonts w:ascii="Times New Roman" w:hAnsi="Times New Roman" w:cs="Times New Roman"/>
          <w:sz w:val="28"/>
          <w:lang w:val="uk-UA"/>
        </w:rPr>
        <w:t>Харківськ</w:t>
      </w:r>
      <w:r w:rsidR="00D857C0">
        <w:rPr>
          <w:rFonts w:ascii="Times New Roman" w:hAnsi="Times New Roman" w:cs="Times New Roman"/>
          <w:sz w:val="28"/>
          <w:lang w:val="uk-UA"/>
        </w:rPr>
        <w:t>ого</w:t>
      </w:r>
      <w:r w:rsidRPr="0020043A">
        <w:rPr>
          <w:rFonts w:ascii="Times New Roman" w:hAnsi="Times New Roman" w:cs="Times New Roman"/>
          <w:sz w:val="28"/>
          <w:lang w:val="uk-UA"/>
        </w:rPr>
        <w:t xml:space="preserve"> національн</w:t>
      </w:r>
      <w:r w:rsidR="00D857C0">
        <w:rPr>
          <w:rFonts w:ascii="Times New Roman" w:hAnsi="Times New Roman" w:cs="Times New Roman"/>
          <w:sz w:val="28"/>
          <w:lang w:val="uk-UA"/>
        </w:rPr>
        <w:t>ого</w:t>
      </w:r>
      <w:r w:rsidRPr="0020043A">
        <w:rPr>
          <w:rFonts w:ascii="Times New Roman" w:hAnsi="Times New Roman" w:cs="Times New Roman"/>
          <w:sz w:val="28"/>
          <w:lang w:val="uk-UA"/>
        </w:rPr>
        <w:t xml:space="preserve"> економічн</w:t>
      </w:r>
      <w:r w:rsidR="00D857C0">
        <w:rPr>
          <w:rFonts w:ascii="Times New Roman" w:hAnsi="Times New Roman" w:cs="Times New Roman"/>
          <w:sz w:val="28"/>
          <w:lang w:val="uk-UA"/>
        </w:rPr>
        <w:t>ого</w:t>
      </w:r>
      <w:r w:rsidRPr="0020043A">
        <w:rPr>
          <w:rFonts w:ascii="Times New Roman" w:hAnsi="Times New Roman" w:cs="Times New Roman"/>
          <w:sz w:val="28"/>
          <w:lang w:val="uk-UA"/>
        </w:rPr>
        <w:t xml:space="preserve"> університет</w:t>
      </w:r>
      <w:r w:rsidR="00D857C0">
        <w:rPr>
          <w:rFonts w:ascii="Times New Roman" w:hAnsi="Times New Roman" w:cs="Times New Roman"/>
          <w:sz w:val="28"/>
          <w:lang w:val="uk-UA"/>
        </w:rPr>
        <w:t>у</w:t>
      </w:r>
      <w:r w:rsidRPr="0020043A">
        <w:rPr>
          <w:rFonts w:ascii="Times New Roman" w:hAnsi="Times New Roman" w:cs="Times New Roman"/>
          <w:sz w:val="28"/>
          <w:lang w:val="uk-UA"/>
        </w:rPr>
        <w:t xml:space="preserve"> імені Семена </w:t>
      </w:r>
      <w:proofErr w:type="spellStart"/>
      <w:r w:rsidRPr="0020043A">
        <w:rPr>
          <w:rFonts w:ascii="Times New Roman" w:hAnsi="Times New Roman" w:cs="Times New Roman"/>
          <w:sz w:val="28"/>
          <w:lang w:val="uk-UA"/>
        </w:rPr>
        <w:t>Кузнеця</w:t>
      </w:r>
      <w:proofErr w:type="spellEnd"/>
    </w:p>
    <w:p w14:paraId="1E285B2A" w14:textId="02D2EF3F" w:rsidR="00866B7A" w:rsidRPr="000975C8" w:rsidRDefault="006169D8" w:rsidP="00A6115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975C8">
        <w:rPr>
          <w:rStyle w:val="s2"/>
          <w:rFonts w:ascii="Times New Roman" w:hAnsi="Times New Roman" w:cs="Times New Roman"/>
          <w:color w:val="000000"/>
          <w:sz w:val="28"/>
          <w:szCs w:val="28"/>
        </w:rPr>
        <w:t>e-mail:</w:t>
      </w:r>
      <w:r w:rsidRPr="000975C8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975C8">
        <w:rPr>
          <w:rStyle w:val="s2"/>
          <w:rFonts w:ascii="Times New Roman" w:hAnsi="Times New Roman" w:cs="Times New Roman"/>
          <w:color w:val="000000"/>
          <w:sz w:val="28"/>
          <w:szCs w:val="28"/>
        </w:rPr>
        <w:t>annatrigub2712@gmail.com</w:t>
      </w:r>
    </w:p>
    <w:p w14:paraId="7F74384A" w14:textId="77777777" w:rsidR="00B02072" w:rsidRDefault="00B02072" w:rsidP="00B020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E347B55" w14:textId="77777777" w:rsidR="005D7348" w:rsidRDefault="00B02072" w:rsidP="00B020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Система оплати праці фахівців є ключовим елементом організації трудових відносин та однією з базових умов забезпечення фін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ансової стійкості підприємства</w:t>
      </w:r>
      <w:r w:rsidR="005D73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28A070BC" w14:textId="61F6310D" w:rsidR="00B02072" w:rsidRPr="00B02072" w:rsidRDefault="005D7348" w:rsidP="00B020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B02072"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умовах воєнного</w:t>
      </w:r>
      <w:r w:rsid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періоду</w:t>
      </w:r>
      <w:r w:rsidR="00B02072"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значення оплати праці як економічної та соціал</w:t>
      </w:r>
      <w:r w:rsid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ьної категорії істотно зростає </w:t>
      </w:r>
      <w:r w:rsidR="00B02072"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 роботодавця</w:t>
      </w:r>
      <w:r w:rsidR="00814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В</w:t>
      </w:r>
      <w:r w:rsidR="00B02072"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он</w:t>
      </w:r>
      <w:r w:rsidR="00814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="00B02072"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перетворюється на інструмент утримання критично важ</w:t>
      </w:r>
      <w:r w:rsid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ливих кадрів, а для працівника</w:t>
      </w:r>
      <w:r w:rsidR="00814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</w:t>
      </w:r>
      <w:r w:rsidR="00B02072"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чинник економічної безпеки та виживання. Воєнні ризики, нестабільність ринку праці, міграційні процеси, мобілізація та руйнування інфраструктури формують нові реалії, у яких підприємства вимушені переглядати механізми організації, планування та оплати праці.</w:t>
      </w:r>
    </w:p>
    <w:p w14:paraId="2E11ADE5" w14:textId="77777777" w:rsidR="00B02072" w:rsidRPr="00B02072" w:rsidRDefault="00B02072" w:rsidP="00B020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радиційні підходи до формування системи оплати праці виявляються недостатньо гнучкими в умовах кризових змін, тоді як підприємства потребують механізмів адаптації, здатних забезпечити конкурентоспроможність, стабільність та кадрову безпеку.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науковій літературі існує широкий спектр трактувань сутності заробітної плати та оплати праці, що пов’язано з міждисципл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інарною природою цієї категорії,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Закон України «Про оплату праці» визначає заробітну плату як грошову винагороду за виконану роботу на підставі трудового договору, встановлюючи держав</w:t>
      </w:r>
      <w:r w:rsidR="003576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ні гарантії, норми та вимоги [7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].</w:t>
      </w:r>
    </w:p>
    <w:p w14:paraId="7748FC9C" w14:textId="7F5379D2" w:rsidR="00B02072" w:rsidRPr="00B02072" w:rsidRDefault="00B02072" w:rsidP="00B020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економічної точки зору заробітна плата </w:t>
      </w:r>
      <w:r w:rsidR="007333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одночасно 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розглядається як:</w:t>
      </w:r>
    </w:p>
    <w:p w14:paraId="460FE562" w14:textId="2D7E6219" w:rsidR="00B02072" w:rsidRPr="00733353" w:rsidRDefault="00B02072" w:rsidP="00733353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333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ціна робочої сили</w:t>
      </w:r>
      <w:r w:rsidRPr="007333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що визначається співвідношенням попиту та пропозиції на ринку праці;</w:t>
      </w:r>
    </w:p>
    <w:p w14:paraId="6ADFAC0D" w14:textId="5292EBED" w:rsidR="00B02072" w:rsidRPr="00773A03" w:rsidRDefault="00B02072" w:rsidP="00773A03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A0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lastRenderedPageBreak/>
        <w:t>елемент відтворювального процесу</w:t>
      </w:r>
      <w:r w:rsidRPr="00773A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що забезпечує життєвий рівень працівника;</w:t>
      </w:r>
    </w:p>
    <w:p w14:paraId="21D86B8E" w14:textId="57CBD7C8" w:rsidR="00B02072" w:rsidRPr="00773A03" w:rsidRDefault="00B02072" w:rsidP="00773A03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A0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інструмент стимулювання</w:t>
      </w:r>
      <w:r w:rsidRPr="00773A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який визначає продуктивність і результативність праці;</w:t>
      </w:r>
    </w:p>
    <w:p w14:paraId="06A2F198" w14:textId="2EE3DA3B" w:rsidR="00B02072" w:rsidRPr="00773A03" w:rsidRDefault="00B02072" w:rsidP="00773A03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A0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регулятор зайнятості</w:t>
      </w:r>
      <w:r w:rsidRPr="00773A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що впливає на професійну мобільність та структуру трудових ресурсів.</w:t>
      </w:r>
    </w:p>
    <w:p w14:paraId="341B00E1" w14:textId="77777777" w:rsidR="00B02072" w:rsidRPr="00B02072" w:rsidRDefault="00B02072" w:rsidP="00B020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воєнний період значення цих характеристик посилюється, оскільки виникають ризики втрати робочих місць, доходів та стабільності підприємств.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Узагальнення поглядів провідних вітчизняних дослідників і положень чинного законодавства наведено в табл.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0AFD751C" w14:textId="77777777" w:rsidR="00B02072" w:rsidRPr="00B02072" w:rsidRDefault="00B02072" w:rsidP="00B020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8825D95" w14:textId="77777777" w:rsidR="00B02072" w:rsidRPr="00B02072" w:rsidRDefault="00B02072" w:rsidP="00B0207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B0207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аблиця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1</w:t>
      </w:r>
    </w:p>
    <w:p w14:paraId="7C4CEF9F" w14:textId="77777777" w:rsidR="00A635B6" w:rsidRDefault="00B02072" w:rsidP="00B0207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B020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Підходи</w:t>
      </w:r>
      <w:proofErr w:type="spellEnd"/>
      <w:r w:rsidRPr="00B020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 </w:t>
      </w:r>
      <w:proofErr w:type="spellStart"/>
      <w:r w:rsidRPr="00B020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визначення</w:t>
      </w:r>
      <w:proofErr w:type="spellEnd"/>
      <w:r w:rsidRPr="00B020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020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сутності</w:t>
      </w:r>
      <w:proofErr w:type="spellEnd"/>
      <w:r w:rsidRPr="00B020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оплати </w:t>
      </w:r>
      <w:proofErr w:type="spellStart"/>
      <w:r w:rsidRPr="00B020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праці</w:t>
      </w:r>
      <w:proofErr w:type="spellEnd"/>
      <w:r w:rsidRPr="00B020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E91A671" w14:textId="77777777" w:rsidR="00B02072" w:rsidRPr="00B02072" w:rsidRDefault="00B02072" w:rsidP="00B0207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B0207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(</w:t>
      </w:r>
      <w:proofErr w:type="spellStart"/>
      <w:r w:rsidRPr="00B020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узагальнено</w:t>
      </w:r>
      <w:proofErr w:type="spellEnd"/>
      <w:r w:rsidRPr="00B020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автором за [</w:t>
      </w:r>
      <w:r w:rsidR="00A635B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1</w:t>
      </w:r>
      <w:r w:rsidRPr="00B020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  <w:r w:rsidR="00A635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635B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4-7</w:t>
      </w:r>
      <w:r w:rsidRPr="00B020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]</w:t>
      </w:r>
      <w:r w:rsidRPr="00B0207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6547"/>
        <w:gridCol w:w="1153"/>
      </w:tblGrid>
      <w:tr w:rsidR="00B02072" w:rsidRPr="00B02072" w14:paraId="13651BC5" w14:textId="77777777" w:rsidTr="005D0EEE">
        <w:trPr>
          <w:trHeight w:val="20"/>
        </w:trPr>
        <w:tc>
          <w:tcPr>
            <w:tcW w:w="1093" w:type="pct"/>
            <w:vAlign w:val="center"/>
            <w:hideMark/>
          </w:tcPr>
          <w:p w14:paraId="24AB044F" w14:textId="77777777" w:rsidR="00B02072" w:rsidRPr="00B02072" w:rsidRDefault="00B02072" w:rsidP="00B0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B020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Автор</w:t>
            </w:r>
          </w:p>
        </w:tc>
        <w:tc>
          <w:tcPr>
            <w:tcW w:w="3322" w:type="pct"/>
            <w:vAlign w:val="center"/>
            <w:hideMark/>
          </w:tcPr>
          <w:p w14:paraId="4FD11A92" w14:textId="77777777" w:rsidR="00B02072" w:rsidRPr="00B02072" w:rsidRDefault="00B02072" w:rsidP="00B0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B020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Поняття</w:t>
            </w:r>
          </w:p>
        </w:tc>
        <w:tc>
          <w:tcPr>
            <w:tcW w:w="585" w:type="pct"/>
            <w:vAlign w:val="center"/>
            <w:hideMark/>
          </w:tcPr>
          <w:p w14:paraId="23F54502" w14:textId="77777777" w:rsidR="00B02072" w:rsidRPr="00B02072" w:rsidRDefault="00B02072" w:rsidP="00B0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B020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Джерело</w:t>
            </w:r>
          </w:p>
        </w:tc>
      </w:tr>
      <w:tr w:rsidR="00B02072" w:rsidRPr="00B02072" w14:paraId="66D9E52D" w14:textId="77777777" w:rsidTr="005D0EEE">
        <w:trPr>
          <w:trHeight w:val="20"/>
        </w:trPr>
        <w:tc>
          <w:tcPr>
            <w:tcW w:w="1093" w:type="pct"/>
            <w:vAlign w:val="center"/>
            <w:hideMark/>
          </w:tcPr>
          <w:p w14:paraId="28E71754" w14:textId="77777777" w:rsidR="00B02072" w:rsidRPr="00B02072" w:rsidRDefault="00B02072" w:rsidP="00B0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B020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Закон України «Про оплату праці»</w:t>
            </w:r>
          </w:p>
        </w:tc>
        <w:tc>
          <w:tcPr>
            <w:tcW w:w="3322" w:type="pct"/>
            <w:vAlign w:val="center"/>
            <w:hideMark/>
          </w:tcPr>
          <w:p w14:paraId="4476C549" w14:textId="77777777" w:rsidR="00B02072" w:rsidRPr="00B02072" w:rsidRDefault="00B02072" w:rsidP="00B0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B020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Заробітна плата – це винагорода, переважно у грошовій формі, яку роботодавець виплачує працівникові за виконану роботу відповідно до трудового договору; встановлює структуру, державні гарантії та мінімальні стандарти оплати праці.</w:t>
            </w:r>
          </w:p>
        </w:tc>
        <w:tc>
          <w:tcPr>
            <w:tcW w:w="585" w:type="pct"/>
            <w:vAlign w:val="center"/>
            <w:hideMark/>
          </w:tcPr>
          <w:p w14:paraId="1B7B5E35" w14:textId="77777777" w:rsidR="00B02072" w:rsidRPr="00B02072" w:rsidRDefault="00357610" w:rsidP="0035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[7</w:t>
            </w:r>
            <w:r w:rsidR="00B02072" w:rsidRPr="00B020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]</w:t>
            </w:r>
          </w:p>
        </w:tc>
      </w:tr>
      <w:tr w:rsidR="00B02072" w:rsidRPr="00B02072" w14:paraId="20FA3A1A" w14:textId="77777777" w:rsidTr="005D0EEE">
        <w:trPr>
          <w:trHeight w:val="20"/>
        </w:trPr>
        <w:tc>
          <w:tcPr>
            <w:tcW w:w="1093" w:type="pct"/>
            <w:vAlign w:val="center"/>
            <w:hideMark/>
          </w:tcPr>
          <w:p w14:paraId="5039EBF4" w14:textId="77777777" w:rsidR="00B02072" w:rsidRDefault="00B02072" w:rsidP="00B0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B020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Н. Болотіна, </w:t>
            </w:r>
          </w:p>
          <w:p w14:paraId="591DCC1A" w14:textId="77777777" w:rsidR="00B02072" w:rsidRPr="00B02072" w:rsidRDefault="00B02072" w:rsidP="00B0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B020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Г. Чанишева</w:t>
            </w:r>
          </w:p>
        </w:tc>
        <w:tc>
          <w:tcPr>
            <w:tcW w:w="3322" w:type="pct"/>
            <w:vAlign w:val="center"/>
            <w:hideMark/>
          </w:tcPr>
          <w:p w14:paraId="672BE0D4" w14:textId="77777777" w:rsidR="00B02072" w:rsidRPr="00B02072" w:rsidRDefault="00B02072" w:rsidP="00B0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B020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Оплата праці – ширша категорія, що охоплює систему правових норм, організаційних механізмів та гарантій, пов’язаних із нарахуванням і виплатою заробітної плати; заробітна плата розглядається як суб’єктивне право працівника на грошову винагороду.</w:t>
            </w:r>
          </w:p>
        </w:tc>
        <w:tc>
          <w:tcPr>
            <w:tcW w:w="585" w:type="pct"/>
            <w:vAlign w:val="center"/>
            <w:hideMark/>
          </w:tcPr>
          <w:p w14:paraId="195D07A0" w14:textId="77777777" w:rsidR="00B02072" w:rsidRPr="00B02072" w:rsidRDefault="00357610" w:rsidP="0035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[1</w:t>
            </w:r>
            <w:r w:rsidR="00B02072" w:rsidRPr="00B020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]</w:t>
            </w:r>
          </w:p>
        </w:tc>
      </w:tr>
      <w:tr w:rsidR="00B02072" w:rsidRPr="00B02072" w14:paraId="613CADB4" w14:textId="77777777" w:rsidTr="005D0EEE">
        <w:trPr>
          <w:trHeight w:val="20"/>
        </w:trPr>
        <w:tc>
          <w:tcPr>
            <w:tcW w:w="1093" w:type="pct"/>
            <w:vAlign w:val="center"/>
            <w:hideMark/>
          </w:tcPr>
          <w:p w14:paraId="3A93BB08" w14:textId="77777777" w:rsidR="00B02072" w:rsidRPr="00B02072" w:rsidRDefault="00B02072" w:rsidP="00B0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B020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В. Лукашевич, </w:t>
            </w:r>
          </w:p>
          <w:p w14:paraId="507AF59A" w14:textId="77777777" w:rsidR="00B02072" w:rsidRPr="00B02072" w:rsidRDefault="00B02072" w:rsidP="00B0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B020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С. Хомич</w:t>
            </w:r>
          </w:p>
        </w:tc>
        <w:tc>
          <w:tcPr>
            <w:tcW w:w="3322" w:type="pct"/>
            <w:vAlign w:val="center"/>
            <w:hideMark/>
          </w:tcPr>
          <w:p w14:paraId="182CEAAB" w14:textId="77777777" w:rsidR="00B02072" w:rsidRPr="00B02072" w:rsidRDefault="00B02072" w:rsidP="00B0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B020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Заробітна плата – основна форма трудового доходу працівника, яка формується за рахунок фонду оплати праці; оплата праці включає також інші види винагород і заохочувальних виплат, що можуть фінансуватися з додаткових джерел.</w:t>
            </w:r>
          </w:p>
        </w:tc>
        <w:tc>
          <w:tcPr>
            <w:tcW w:w="585" w:type="pct"/>
            <w:vAlign w:val="center"/>
            <w:hideMark/>
          </w:tcPr>
          <w:p w14:paraId="0E334DCF" w14:textId="77777777" w:rsidR="00B02072" w:rsidRPr="00B02072" w:rsidRDefault="00357610" w:rsidP="0035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[5</w:t>
            </w:r>
            <w:r w:rsidR="00B02072" w:rsidRPr="00B020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]</w:t>
            </w:r>
          </w:p>
        </w:tc>
      </w:tr>
      <w:tr w:rsidR="00B02072" w:rsidRPr="00B02072" w14:paraId="53316161" w14:textId="77777777" w:rsidTr="005D0EEE">
        <w:trPr>
          <w:trHeight w:val="20"/>
        </w:trPr>
        <w:tc>
          <w:tcPr>
            <w:tcW w:w="1093" w:type="pct"/>
            <w:vAlign w:val="center"/>
            <w:hideMark/>
          </w:tcPr>
          <w:p w14:paraId="6FE0B25F" w14:textId="77777777" w:rsidR="00B02072" w:rsidRPr="00B02072" w:rsidRDefault="00B02072" w:rsidP="00B0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B020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М. Пижова</w:t>
            </w:r>
          </w:p>
        </w:tc>
        <w:tc>
          <w:tcPr>
            <w:tcW w:w="3322" w:type="pct"/>
            <w:vAlign w:val="center"/>
            <w:hideMark/>
          </w:tcPr>
          <w:p w14:paraId="1A27DA81" w14:textId="77777777" w:rsidR="00B02072" w:rsidRPr="00B02072" w:rsidRDefault="00B02072" w:rsidP="00B0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B020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Справедлива оплата праці – це така система винагороди, яка відповідає внеску працівника, забезпечує дотримання принципів рівності, недискримінації та соціальної справедливості, а також враховує економічні можливості роботодавця.</w:t>
            </w:r>
          </w:p>
        </w:tc>
        <w:tc>
          <w:tcPr>
            <w:tcW w:w="585" w:type="pct"/>
            <w:vAlign w:val="center"/>
            <w:hideMark/>
          </w:tcPr>
          <w:p w14:paraId="05F6413C" w14:textId="77777777" w:rsidR="00B02072" w:rsidRPr="00B02072" w:rsidRDefault="00357610" w:rsidP="0035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[6</w:t>
            </w:r>
            <w:r w:rsidR="00B02072" w:rsidRPr="00B020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]</w:t>
            </w:r>
          </w:p>
        </w:tc>
      </w:tr>
      <w:tr w:rsidR="00B02072" w:rsidRPr="00B02072" w14:paraId="7809E6F0" w14:textId="77777777" w:rsidTr="005D0EEE">
        <w:trPr>
          <w:trHeight w:val="20"/>
        </w:trPr>
        <w:tc>
          <w:tcPr>
            <w:tcW w:w="1093" w:type="pct"/>
            <w:vAlign w:val="center"/>
            <w:hideMark/>
          </w:tcPr>
          <w:p w14:paraId="2871A420" w14:textId="77777777" w:rsidR="00B02072" w:rsidRPr="00B02072" w:rsidRDefault="00B02072" w:rsidP="00B0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B020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О. Кравченко</w:t>
            </w:r>
          </w:p>
        </w:tc>
        <w:tc>
          <w:tcPr>
            <w:tcW w:w="3322" w:type="pct"/>
            <w:vAlign w:val="center"/>
            <w:hideMark/>
          </w:tcPr>
          <w:p w14:paraId="2AB229F5" w14:textId="77777777" w:rsidR="00B02072" w:rsidRPr="00B02072" w:rsidRDefault="00B02072" w:rsidP="00B0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B020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Оплата праці – ключовий елемент кадрової безпеки підприємства, що забезпечує відтворення трудового потенціалу, зниження плинності кадрів та зміцнення лояльності персоналу.</w:t>
            </w:r>
          </w:p>
        </w:tc>
        <w:tc>
          <w:tcPr>
            <w:tcW w:w="585" w:type="pct"/>
            <w:vAlign w:val="center"/>
            <w:hideMark/>
          </w:tcPr>
          <w:p w14:paraId="100056AD" w14:textId="77777777" w:rsidR="00B02072" w:rsidRPr="00B02072" w:rsidRDefault="00357610" w:rsidP="0035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[4</w:t>
            </w:r>
            <w:r w:rsidR="00B02072" w:rsidRPr="00B020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]</w:t>
            </w:r>
          </w:p>
        </w:tc>
      </w:tr>
    </w:tbl>
    <w:p w14:paraId="2EED78F4" w14:textId="77777777" w:rsidR="00B02072" w:rsidRDefault="00B02072" w:rsidP="00B020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745F48A" w14:textId="58F1EE5B" w:rsidR="00B02072" w:rsidRPr="00B02072" w:rsidRDefault="00B02072" w:rsidP="00B020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Аналіз табл.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 свідчить, що з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аконодавець акцентує увагу на </w:t>
      </w:r>
      <w:r w:rsidRPr="00B0207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правових гарантіях та стандартах</w:t>
      </w:r>
      <w:r w:rsidR="00773A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Е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кономісти наголошують на </w:t>
      </w:r>
      <w:r w:rsidRPr="00B0207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структурі фонду оплати праці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його ролі у відтворенні трудового потенціалу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забезпеченні продуктивності, с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оціально-п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равові дослідники 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виокремлюють </w:t>
      </w:r>
      <w:r w:rsidRPr="00B0207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принципи справедливості та рівності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які у воєнний час набувають особливої актуальності.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Виходячи з узагальнення наукових підходів, можна 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формувати комплексне визначення </w:t>
      </w:r>
      <w:r w:rsidR="00E45C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B0207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плата п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раці фахівців у воєнний період</w:t>
      </w:r>
      <w:r w:rsidR="00D652C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» -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B0207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економіко-правов</w:t>
      </w:r>
      <w:r w:rsidR="00E45CB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а </w:t>
      </w:r>
      <w:r w:rsidRPr="00B0207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система організаційно оформлених та фінансово забезпечених відносин між роботодавцем і працівником, спрямована на нарахування і виплату винагороди за працю з урахуванням підвищених ризиків, нестабільності зовнішнього середовища, обмежених ресурсів та необхідності збереження кадрової безпеки підприємства</w:t>
      </w:r>
      <w:r w:rsidR="0035761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357610" w:rsidRPr="0035761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[1-3]</w:t>
      </w:r>
      <w:r w:rsidRPr="00B0207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14:paraId="01C3526A" w14:textId="77777777" w:rsidR="00B02072" w:rsidRPr="00B02072" w:rsidRDefault="00B02072" w:rsidP="00B020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Система оплати праці включає:</w:t>
      </w:r>
    </w:p>
    <w:p w14:paraId="3D3D5EC9" w14:textId="03A92CB0" w:rsidR="00B02072" w:rsidRPr="00D652C5" w:rsidRDefault="00B02072" w:rsidP="00D652C5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652C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форми і системи оплати</w:t>
      </w:r>
      <w:r w:rsidRPr="00D652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(тарифні, безтарифні, грейдингові, змішані);</w:t>
      </w:r>
    </w:p>
    <w:p w14:paraId="766A1A4A" w14:textId="37C64AAC" w:rsidR="00B02072" w:rsidRPr="00D652C5" w:rsidRDefault="00B02072" w:rsidP="00D652C5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652C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структуру фонду оплати праці</w:t>
      </w:r>
      <w:r w:rsidRPr="00D652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(базова зарплата, надбавки, премії, компенсаційні виплати);</w:t>
      </w:r>
    </w:p>
    <w:p w14:paraId="5F7F6E7C" w14:textId="53A2A155" w:rsidR="00B02072" w:rsidRPr="00D652C5" w:rsidRDefault="00B02072" w:rsidP="00D652C5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652C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соціальні гарантії</w:t>
      </w:r>
      <w:r w:rsidRPr="00D652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(медичне страхування, підтримка в кризових ситуаціях, допомога при релокації);</w:t>
      </w:r>
    </w:p>
    <w:p w14:paraId="36BE7093" w14:textId="6C111E43" w:rsidR="00B02072" w:rsidRPr="00D652C5" w:rsidRDefault="00B02072" w:rsidP="00D652C5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652C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внутрішні регламенти та положення</w:t>
      </w:r>
      <w:r w:rsidRPr="00D652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42F195F6" w14:textId="7A00FB86" w:rsidR="00B02072" w:rsidRPr="00D652C5" w:rsidRDefault="00B02072" w:rsidP="00D652C5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652C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критерії оцінки результативності праці (KPI, OKR)</w:t>
      </w:r>
      <w:r w:rsidRPr="00D652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74506BAA" w14:textId="4B6F00AF" w:rsidR="00B02072" w:rsidRDefault="00B02072" w:rsidP="004733F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B0207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 воєнний період структура фонду оплати п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раці фахівців часто зазнає змін</w:t>
      </w:r>
      <w:r w:rsidR="00DD67D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</w:t>
      </w:r>
      <w:r w:rsidRPr="00B0207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підприємства змушені переглядати преміальні програми, тимчасово скорочувати або заморожувати бонуси, водночас посилюючи окремі елементи соціальної підтримки (допомога з евакуацією, компенсація житла, одноразові виплати у разі поранення чи загибелі працівника, благодійна </w:t>
      </w:r>
      <w:r w:rsidR="007E319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допомога тощо) [2; 3</w:t>
      </w:r>
      <w:r w:rsidRPr="00B0207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], вимагає гнучкого підходу до планування фонду оплати праці та пріоритезації витрат на утримання критично важливих фахівців. У контексті управління персоналом система оплати праці виконує низку взаємопов’яза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них функцій наведених в табл. </w:t>
      </w:r>
      <w:r w:rsidRPr="00B0207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2.</w:t>
      </w:r>
    </w:p>
    <w:p w14:paraId="7133A798" w14:textId="77777777" w:rsidR="004733FF" w:rsidRPr="004733FF" w:rsidRDefault="004733FF" w:rsidP="004733F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4C3F3E96" w14:textId="77777777" w:rsidR="00B02072" w:rsidRDefault="00B02072" w:rsidP="00B02072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lastRenderedPageBreak/>
        <w:t>Таблиця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2</w:t>
      </w:r>
    </w:p>
    <w:p w14:paraId="3150D4A3" w14:textId="77777777" w:rsidR="00B02072" w:rsidRDefault="00B02072" w:rsidP="00B02072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F83475">
        <w:rPr>
          <w:rFonts w:ascii="Times New Roman" w:hAnsi="Times New Roman"/>
          <w:bCs/>
          <w:sz w:val="28"/>
          <w:szCs w:val="28"/>
        </w:rPr>
        <w:t>Функції</w:t>
      </w:r>
      <w:proofErr w:type="spellEnd"/>
      <w:r w:rsidRPr="00F834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83475">
        <w:rPr>
          <w:rFonts w:ascii="Times New Roman" w:hAnsi="Times New Roman"/>
          <w:bCs/>
          <w:sz w:val="28"/>
          <w:szCs w:val="28"/>
        </w:rPr>
        <w:t>системи</w:t>
      </w:r>
      <w:proofErr w:type="spellEnd"/>
      <w:r w:rsidRPr="00F83475">
        <w:rPr>
          <w:rFonts w:ascii="Times New Roman" w:hAnsi="Times New Roman"/>
          <w:bCs/>
          <w:sz w:val="28"/>
          <w:szCs w:val="28"/>
        </w:rPr>
        <w:t xml:space="preserve"> оплати </w:t>
      </w:r>
      <w:proofErr w:type="spellStart"/>
      <w:r w:rsidRPr="00F83475">
        <w:rPr>
          <w:rFonts w:ascii="Times New Roman" w:hAnsi="Times New Roman"/>
          <w:bCs/>
          <w:sz w:val="28"/>
          <w:szCs w:val="28"/>
        </w:rPr>
        <w:t>праці</w:t>
      </w:r>
      <w:proofErr w:type="spellEnd"/>
      <w:r w:rsidRPr="00F834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83475">
        <w:rPr>
          <w:rFonts w:ascii="Times New Roman" w:hAnsi="Times New Roman"/>
          <w:bCs/>
          <w:sz w:val="28"/>
          <w:szCs w:val="28"/>
        </w:rPr>
        <w:t>фахівців</w:t>
      </w:r>
      <w:proofErr w:type="spellEnd"/>
      <w:r w:rsidRPr="00F834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83475">
        <w:rPr>
          <w:rFonts w:ascii="Times New Roman" w:hAnsi="Times New Roman"/>
          <w:bCs/>
          <w:sz w:val="28"/>
          <w:szCs w:val="28"/>
        </w:rPr>
        <w:t>підприємства</w:t>
      </w:r>
      <w:proofErr w:type="spellEnd"/>
      <w:r w:rsidRPr="00F83475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F83475">
        <w:rPr>
          <w:rFonts w:ascii="Times New Roman" w:hAnsi="Times New Roman"/>
          <w:bCs/>
          <w:sz w:val="28"/>
          <w:szCs w:val="28"/>
        </w:rPr>
        <w:t>їх</w:t>
      </w:r>
      <w:proofErr w:type="spellEnd"/>
      <w:r w:rsidRPr="00F83475">
        <w:rPr>
          <w:rFonts w:ascii="Times New Roman" w:hAnsi="Times New Roman"/>
          <w:bCs/>
          <w:sz w:val="28"/>
          <w:szCs w:val="28"/>
        </w:rPr>
        <w:t xml:space="preserve"> прояви в </w:t>
      </w:r>
      <w:proofErr w:type="spellStart"/>
      <w:r w:rsidRPr="00F83475">
        <w:rPr>
          <w:rFonts w:ascii="Times New Roman" w:hAnsi="Times New Roman"/>
          <w:bCs/>
          <w:sz w:val="28"/>
          <w:szCs w:val="28"/>
        </w:rPr>
        <w:t>умовах</w:t>
      </w:r>
      <w:proofErr w:type="spellEnd"/>
      <w:r w:rsidRPr="00F834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83475">
        <w:rPr>
          <w:rFonts w:ascii="Times New Roman" w:hAnsi="Times New Roman"/>
          <w:bCs/>
          <w:sz w:val="28"/>
          <w:szCs w:val="28"/>
        </w:rPr>
        <w:t>воєнного</w:t>
      </w:r>
      <w:proofErr w:type="spellEnd"/>
      <w:r w:rsidRPr="00F834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83475">
        <w:rPr>
          <w:rFonts w:ascii="Times New Roman" w:hAnsi="Times New Roman"/>
          <w:bCs/>
          <w:sz w:val="28"/>
          <w:szCs w:val="28"/>
        </w:rPr>
        <w:t>періоду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(у</w:t>
      </w:r>
      <w:r w:rsidRPr="00F83475">
        <w:rPr>
          <w:rFonts w:ascii="Times New Roman" w:hAnsi="Times New Roman"/>
          <w:bCs/>
          <w:sz w:val="28"/>
          <w:szCs w:val="28"/>
          <w:lang w:val="uk-UA"/>
        </w:rPr>
        <w:t>загальнено автором за [</w:t>
      </w:r>
      <w:r w:rsidR="007E319E">
        <w:rPr>
          <w:rFonts w:ascii="Times New Roman" w:hAnsi="Times New Roman"/>
          <w:bCs/>
          <w:sz w:val="28"/>
          <w:szCs w:val="28"/>
          <w:lang w:val="uk-UA"/>
        </w:rPr>
        <w:t>2; 3; 4; 8</w:t>
      </w:r>
      <w:r w:rsidRPr="00F83475">
        <w:rPr>
          <w:rFonts w:ascii="Times New Roman" w:hAnsi="Times New Roman"/>
          <w:bCs/>
          <w:sz w:val="28"/>
          <w:szCs w:val="28"/>
          <w:lang w:val="uk-UA"/>
        </w:rPr>
        <w:t>]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627"/>
        <w:gridCol w:w="5219"/>
      </w:tblGrid>
      <w:tr w:rsidR="00B02072" w:rsidRPr="00F83475" w14:paraId="608ED10C" w14:textId="77777777" w:rsidTr="005D0EEE">
        <w:trPr>
          <w:trHeight w:val="20"/>
        </w:trPr>
        <w:tc>
          <w:tcPr>
            <w:tcW w:w="1019" w:type="pct"/>
            <w:hideMark/>
          </w:tcPr>
          <w:p w14:paraId="04FA4A62" w14:textId="77777777" w:rsidR="00B02072" w:rsidRPr="00F83475" w:rsidRDefault="00B02072" w:rsidP="005D0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8347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Функція оплати праці</w:t>
            </w:r>
          </w:p>
        </w:tc>
        <w:tc>
          <w:tcPr>
            <w:tcW w:w="1333" w:type="pct"/>
            <w:hideMark/>
          </w:tcPr>
          <w:p w14:paraId="11044AED" w14:textId="77777777" w:rsidR="00B02072" w:rsidRPr="00F83475" w:rsidRDefault="00B02072" w:rsidP="005D0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8347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Сутність функції в нормальних умовах</w:t>
            </w:r>
          </w:p>
        </w:tc>
        <w:tc>
          <w:tcPr>
            <w:tcW w:w="2648" w:type="pct"/>
            <w:hideMark/>
          </w:tcPr>
          <w:p w14:paraId="6CBB17D9" w14:textId="77777777" w:rsidR="00B02072" w:rsidRPr="00F83475" w:rsidRDefault="00B02072" w:rsidP="005D0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8347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Особливості реалізації в умовах воєнного періоду</w:t>
            </w:r>
          </w:p>
        </w:tc>
      </w:tr>
      <w:tr w:rsidR="00B02072" w:rsidRPr="00B02072" w14:paraId="2460E373" w14:textId="77777777" w:rsidTr="005D0EEE">
        <w:trPr>
          <w:trHeight w:val="20"/>
        </w:trPr>
        <w:tc>
          <w:tcPr>
            <w:tcW w:w="1019" w:type="pct"/>
            <w:hideMark/>
          </w:tcPr>
          <w:p w14:paraId="61F6A4E1" w14:textId="77777777" w:rsidR="00B02072" w:rsidRPr="00F83475" w:rsidRDefault="00B02072" w:rsidP="005D0E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8347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Відтворювальна</w:t>
            </w:r>
          </w:p>
        </w:tc>
        <w:tc>
          <w:tcPr>
            <w:tcW w:w="1333" w:type="pct"/>
            <w:hideMark/>
          </w:tcPr>
          <w:p w14:paraId="4E203EAE" w14:textId="77777777" w:rsidR="00B02072" w:rsidRPr="00F83475" w:rsidRDefault="00B02072" w:rsidP="005D0E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F83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Забезпечує відновлення фізичних, інтелектуальних і професійних ресурсів працівника, підтримує життєвий рівень.</w:t>
            </w:r>
          </w:p>
        </w:tc>
        <w:tc>
          <w:tcPr>
            <w:tcW w:w="2648" w:type="pct"/>
            <w:hideMark/>
          </w:tcPr>
          <w:p w14:paraId="4611651D" w14:textId="77777777" w:rsidR="00B02072" w:rsidRPr="00F83475" w:rsidRDefault="00B02072" w:rsidP="005D0E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F83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Підвищується значення стабільності виплат; зарплата стає ключовим чинником базової економічної безпеки працівника й його сім’ї. Часто потрібні додаткові соціальні виплати (гуманітарна, адресна підтримка).</w:t>
            </w:r>
          </w:p>
        </w:tc>
      </w:tr>
      <w:tr w:rsidR="00B02072" w:rsidRPr="00F83475" w14:paraId="718A6770" w14:textId="77777777" w:rsidTr="005D0EEE">
        <w:trPr>
          <w:trHeight w:val="20"/>
        </w:trPr>
        <w:tc>
          <w:tcPr>
            <w:tcW w:w="1019" w:type="pct"/>
            <w:hideMark/>
          </w:tcPr>
          <w:p w14:paraId="34028B6B" w14:textId="77777777" w:rsidR="00B02072" w:rsidRPr="00F83475" w:rsidRDefault="00B02072" w:rsidP="005D0E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8347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Стимулююча</w:t>
            </w:r>
          </w:p>
        </w:tc>
        <w:tc>
          <w:tcPr>
            <w:tcW w:w="1333" w:type="pct"/>
            <w:hideMark/>
          </w:tcPr>
          <w:p w14:paraId="60AB5D23" w14:textId="77777777" w:rsidR="00B02072" w:rsidRPr="00F83475" w:rsidRDefault="00B02072" w:rsidP="005D0E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F83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Формує зацікавленість у зростанні продуктивності праці, якості виконання робіт; прив’язана до KPI, премій.</w:t>
            </w:r>
          </w:p>
        </w:tc>
        <w:tc>
          <w:tcPr>
            <w:tcW w:w="2648" w:type="pct"/>
            <w:hideMark/>
          </w:tcPr>
          <w:p w14:paraId="2920FCAE" w14:textId="77777777" w:rsidR="00B02072" w:rsidRPr="00F83475" w:rsidRDefault="00B02072" w:rsidP="005D0E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F83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Преміальні фонди можуть скорочуватися; стимулювання зміщується в бік нематеріальних форм (гнучкий графік, </w:t>
            </w:r>
            <w:proofErr w:type="spellStart"/>
            <w:r w:rsidRPr="00F83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дистанційність</w:t>
            </w:r>
            <w:proofErr w:type="spellEnd"/>
            <w:r w:rsidRPr="00F83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, стабільність робочого місця). Важливо утримувати ключових фахівців.</w:t>
            </w:r>
          </w:p>
        </w:tc>
      </w:tr>
      <w:tr w:rsidR="00B02072" w:rsidRPr="00F83475" w14:paraId="41D6137D" w14:textId="77777777" w:rsidTr="005D0EEE">
        <w:trPr>
          <w:trHeight w:val="20"/>
        </w:trPr>
        <w:tc>
          <w:tcPr>
            <w:tcW w:w="1019" w:type="pct"/>
            <w:hideMark/>
          </w:tcPr>
          <w:p w14:paraId="65AF37C9" w14:textId="77777777" w:rsidR="00B02072" w:rsidRPr="00F83475" w:rsidRDefault="00B02072" w:rsidP="005D0E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8347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Регулююча</w:t>
            </w:r>
          </w:p>
        </w:tc>
        <w:tc>
          <w:tcPr>
            <w:tcW w:w="1333" w:type="pct"/>
            <w:hideMark/>
          </w:tcPr>
          <w:p w14:paraId="0DFBFCDA" w14:textId="77777777" w:rsidR="00B02072" w:rsidRPr="00F83475" w:rsidRDefault="00B02072" w:rsidP="005D0E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F83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Впливає на розподіл кадрів між галузями, мобільність робочої сили та структуру зайнятості.</w:t>
            </w:r>
          </w:p>
        </w:tc>
        <w:tc>
          <w:tcPr>
            <w:tcW w:w="2648" w:type="pct"/>
            <w:hideMark/>
          </w:tcPr>
          <w:p w14:paraId="17200114" w14:textId="77777777" w:rsidR="00B02072" w:rsidRPr="00F83475" w:rsidRDefault="00B02072" w:rsidP="005D0E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F83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Зростає дефіцит фахівців через міграцію, мобілізацію, окупацію територій. Оплата праці використовується для утримання кадрів у критично важливих сферах.</w:t>
            </w:r>
          </w:p>
        </w:tc>
      </w:tr>
      <w:tr w:rsidR="00B02072" w:rsidRPr="00B02072" w14:paraId="7296AB43" w14:textId="77777777" w:rsidTr="005D0EEE">
        <w:trPr>
          <w:trHeight w:val="20"/>
        </w:trPr>
        <w:tc>
          <w:tcPr>
            <w:tcW w:w="1019" w:type="pct"/>
            <w:hideMark/>
          </w:tcPr>
          <w:p w14:paraId="4CB6773B" w14:textId="77777777" w:rsidR="00B02072" w:rsidRPr="00F83475" w:rsidRDefault="00B02072" w:rsidP="005D0E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8347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Соціальна</w:t>
            </w:r>
          </w:p>
        </w:tc>
        <w:tc>
          <w:tcPr>
            <w:tcW w:w="1333" w:type="pct"/>
            <w:hideMark/>
          </w:tcPr>
          <w:p w14:paraId="0F08DD97" w14:textId="77777777" w:rsidR="00B02072" w:rsidRPr="00F83475" w:rsidRDefault="00B02072" w:rsidP="005D0E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F83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Забезпечує соціальну справедливість, знижує напругу в колективі, підтримує рівність та безконфліктність.</w:t>
            </w:r>
          </w:p>
        </w:tc>
        <w:tc>
          <w:tcPr>
            <w:tcW w:w="2648" w:type="pct"/>
            <w:hideMark/>
          </w:tcPr>
          <w:p w14:paraId="6229A473" w14:textId="77777777" w:rsidR="00B02072" w:rsidRPr="00F83475" w:rsidRDefault="00B02072" w:rsidP="005D0E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F83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Соціальна роль зростає: нерівномірність доходів, психологічна напруга, ризики втрати роботи потребують додаткових гарантій, прозорості виплат і антикризової комунікації.</w:t>
            </w:r>
          </w:p>
        </w:tc>
      </w:tr>
      <w:tr w:rsidR="00B02072" w:rsidRPr="00F83475" w14:paraId="3025DCCF" w14:textId="77777777" w:rsidTr="005D0EEE">
        <w:trPr>
          <w:trHeight w:val="20"/>
        </w:trPr>
        <w:tc>
          <w:tcPr>
            <w:tcW w:w="1019" w:type="pct"/>
            <w:hideMark/>
          </w:tcPr>
          <w:p w14:paraId="1935213A" w14:textId="77777777" w:rsidR="00B02072" w:rsidRPr="00F83475" w:rsidRDefault="00B02072" w:rsidP="005D0E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8347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Обліково-контрольна</w:t>
            </w:r>
          </w:p>
        </w:tc>
        <w:tc>
          <w:tcPr>
            <w:tcW w:w="1333" w:type="pct"/>
            <w:hideMark/>
          </w:tcPr>
          <w:p w14:paraId="26487986" w14:textId="77777777" w:rsidR="00B02072" w:rsidRPr="00F83475" w:rsidRDefault="00B02072" w:rsidP="005D0E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F83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Формує інформаційну базу для аналізу витрат, ефективності праці, планування фонду оплати праці.</w:t>
            </w:r>
          </w:p>
        </w:tc>
        <w:tc>
          <w:tcPr>
            <w:tcW w:w="2648" w:type="pct"/>
            <w:hideMark/>
          </w:tcPr>
          <w:p w14:paraId="456AE026" w14:textId="77777777" w:rsidR="00B02072" w:rsidRPr="00F83475" w:rsidRDefault="00B02072" w:rsidP="005D0E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F83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Ускладнюється через: призупинення трудових договорів, простій, евакуацію працівників, неопрацьовані години, нові правила документування (</w:t>
            </w:r>
            <w:proofErr w:type="spellStart"/>
            <w:r w:rsidRPr="00F83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Гуренко</w:t>
            </w:r>
            <w:proofErr w:type="spellEnd"/>
            <w:r w:rsidRPr="00F83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F83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Склярук</w:t>
            </w:r>
            <w:proofErr w:type="spellEnd"/>
            <w:r w:rsidRPr="00F83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). Потрібні нові методики обліку.</w:t>
            </w:r>
          </w:p>
        </w:tc>
      </w:tr>
      <w:tr w:rsidR="00B02072" w:rsidRPr="00B02072" w14:paraId="4FD28058" w14:textId="77777777" w:rsidTr="005D0EEE">
        <w:trPr>
          <w:trHeight w:val="20"/>
        </w:trPr>
        <w:tc>
          <w:tcPr>
            <w:tcW w:w="1019" w:type="pct"/>
            <w:hideMark/>
          </w:tcPr>
          <w:p w14:paraId="3794C438" w14:textId="77777777" w:rsidR="00B02072" w:rsidRPr="00F83475" w:rsidRDefault="00B02072" w:rsidP="005D0E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8347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Відтворення кадрової безпеки</w:t>
            </w:r>
          </w:p>
        </w:tc>
        <w:tc>
          <w:tcPr>
            <w:tcW w:w="1333" w:type="pct"/>
            <w:hideMark/>
          </w:tcPr>
          <w:p w14:paraId="61387C12" w14:textId="77777777" w:rsidR="00B02072" w:rsidRPr="00F83475" w:rsidRDefault="00B02072" w:rsidP="005D0E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F83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Забезпечує стабільність ключових кадрів, мінімізує ризики втрати фахівців.</w:t>
            </w:r>
          </w:p>
        </w:tc>
        <w:tc>
          <w:tcPr>
            <w:tcW w:w="2648" w:type="pct"/>
            <w:hideMark/>
          </w:tcPr>
          <w:p w14:paraId="4EFCB5AD" w14:textId="77777777" w:rsidR="00B02072" w:rsidRPr="00F83475" w:rsidRDefault="00B02072" w:rsidP="005D0E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F83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У воєнний час — одна з головних функцій: підприємства розробляють додаткові гарантії, компенсації, гнучкі форми зайнятості, щоб не втратити стратегічних працівників.</w:t>
            </w:r>
          </w:p>
        </w:tc>
      </w:tr>
    </w:tbl>
    <w:p w14:paraId="59928948" w14:textId="77777777" w:rsidR="00B02072" w:rsidRDefault="00B02072" w:rsidP="00B02072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65A97CC6" w14:textId="77777777" w:rsidR="00B02072" w:rsidRPr="00B02072" w:rsidRDefault="00B02072" w:rsidP="00B020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Система оплати праці у воєнний період виконує посилені функції, серед яких:</w:t>
      </w:r>
    </w:p>
    <w:p w14:paraId="3224AE2B" w14:textId="00B56977" w:rsidR="00B02072" w:rsidRPr="00DD67D7" w:rsidRDefault="00B02072" w:rsidP="00DD67D7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67D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відтворювальна</w:t>
      </w:r>
      <w:r w:rsidR="00DD67D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-</w:t>
      </w:r>
      <w:r w:rsidRPr="00DD67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підтримання життєвого рівня працівників;</w:t>
      </w:r>
    </w:p>
    <w:p w14:paraId="443A7339" w14:textId="21753D27" w:rsidR="00B02072" w:rsidRPr="00DD67D7" w:rsidRDefault="00B02072" w:rsidP="00DD67D7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67D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стимулююча</w:t>
      </w:r>
      <w:r w:rsidR="00DD67D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-</w:t>
      </w:r>
      <w:r w:rsidRPr="00DD67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збереження мотивації та продуктивності в умовах нестабільності;</w:t>
      </w:r>
    </w:p>
    <w:p w14:paraId="1163361D" w14:textId="489709DC" w:rsidR="00B02072" w:rsidRPr="00D63FC7" w:rsidRDefault="00B02072" w:rsidP="00D63FC7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63FC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соціальна</w:t>
      </w:r>
      <w:r w:rsidR="00D63FC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-</w:t>
      </w:r>
      <w:r w:rsidRPr="00D63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зниження напруги, забезпечення справедливості;</w:t>
      </w:r>
    </w:p>
    <w:p w14:paraId="261FB94C" w14:textId="78E37EE2" w:rsidR="00B02072" w:rsidRPr="00D63FC7" w:rsidRDefault="00B02072" w:rsidP="00D63FC7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63FC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lastRenderedPageBreak/>
        <w:t>регулююча</w:t>
      </w:r>
      <w:r w:rsidR="00D63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</w:t>
      </w:r>
      <w:r w:rsidRPr="00D63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утримання дефіцитних кадрів на підприємстві;</w:t>
      </w:r>
    </w:p>
    <w:p w14:paraId="2A146C62" w14:textId="3FD8F481" w:rsidR="00B02072" w:rsidRPr="00D63FC7" w:rsidRDefault="00B02072" w:rsidP="00D63FC7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63FC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кадрової безпеки</w:t>
      </w:r>
      <w:r w:rsidR="00D63FC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-</w:t>
      </w:r>
      <w:r w:rsidRPr="00D63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забезпечення безперервності ключових функцій.</w:t>
      </w:r>
    </w:p>
    <w:p w14:paraId="6C8EA1EC" w14:textId="77777777" w:rsidR="00B02072" w:rsidRPr="00B02072" w:rsidRDefault="00B02072" w:rsidP="00B020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кризових умовах особливо важливими стають прозорість, надійність та адаптивність системи оплати праці.</w:t>
      </w:r>
    </w:p>
    <w:p w14:paraId="36E6CF06" w14:textId="0128CAD7" w:rsidR="00B02072" w:rsidRPr="00B02072" w:rsidRDefault="00B02072" w:rsidP="007E31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сні підприємства використовують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</w:t>
      </w:r>
      <w:r w:rsidRPr="00B0207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рейдингові</w:t>
      </w:r>
      <w:proofErr w:type="spellEnd"/>
      <w:r w:rsidRPr="00B0207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системи</w:t>
      </w:r>
      <w:r w:rsidR="00D63FC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які 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дозволяють оцінювати посади за критеріями склад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ності, відповідальності, впливу, 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забезпечують внутрішню справедливість та конкурентоспроможність оплати.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0207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Безтарифні моделі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орієнтовані на результат, 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гнучкі, але потребують високої довіри.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0207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KPI/OKR-орієнтовані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забезпечують прямий зв’язо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 між результатом і винагородою, 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актуальні для менеджерів, ІТ-фахівців, економістів тощо.</w:t>
      </w:r>
      <w:r w:rsidR="007E31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0207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Комбіновані моделі з довгостроковими стимулами</w:t>
      </w:r>
      <w:r w:rsidR="007E319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премії, бонуси, участь у прибутках, соціальні пакети</w:t>
      </w:r>
      <w:r w:rsidR="00357610" w:rsidRPr="00357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[4]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4FA0EF6C" w14:textId="772E921A" w:rsidR="007E319E" w:rsidRPr="00F83475" w:rsidRDefault="007E319E" w:rsidP="007E319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83475">
        <w:rPr>
          <w:rFonts w:ascii="Times New Roman" w:hAnsi="Times New Roman"/>
          <w:bCs/>
          <w:sz w:val="28"/>
          <w:szCs w:val="28"/>
          <w:lang w:val="uk-UA"/>
        </w:rPr>
        <w:t>В умовах воєнного періоду переваг набувають саме гнучкі та комбіновані системи оплати праці фахівців, які дозволяють:</w:t>
      </w:r>
    </w:p>
    <w:p w14:paraId="6C0DDEB2" w14:textId="49EE678D" w:rsidR="007E319E" w:rsidRPr="00F777BE" w:rsidRDefault="007E319E" w:rsidP="00F777BE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77BE">
        <w:rPr>
          <w:rFonts w:ascii="Times New Roman" w:hAnsi="Times New Roman"/>
          <w:bCs/>
          <w:sz w:val="28"/>
          <w:szCs w:val="28"/>
          <w:lang w:val="uk-UA"/>
        </w:rPr>
        <w:t>адаптувати структуру винагороди до фінансових можливостей підприємства;</w:t>
      </w:r>
    </w:p>
    <w:p w14:paraId="6B25320C" w14:textId="010B7334" w:rsidR="007E319E" w:rsidRPr="00F777BE" w:rsidRDefault="007E319E" w:rsidP="00F777BE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77BE">
        <w:rPr>
          <w:rFonts w:ascii="Times New Roman" w:hAnsi="Times New Roman"/>
          <w:bCs/>
          <w:sz w:val="28"/>
          <w:szCs w:val="28"/>
          <w:lang w:val="uk-UA"/>
        </w:rPr>
        <w:t>підтримувати ключових працівників не лише через заробітну плату, а й через соціальні та нематеріальні стимули;</w:t>
      </w:r>
    </w:p>
    <w:p w14:paraId="0CFDD90B" w14:textId="483F9F5D" w:rsidR="007E319E" w:rsidRPr="00F777BE" w:rsidRDefault="007E319E" w:rsidP="00F777BE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77BE">
        <w:rPr>
          <w:rFonts w:ascii="Times New Roman" w:hAnsi="Times New Roman"/>
          <w:bCs/>
          <w:sz w:val="28"/>
          <w:szCs w:val="28"/>
          <w:lang w:val="uk-UA"/>
        </w:rPr>
        <w:t>диференціювати підходи до оплати залежно від рівня ризику й відповідальності за виконання критичних функцій (логістика, забезпечення безперервності ІТ-систем, фінансовий менеджмент тощо).</w:t>
      </w:r>
    </w:p>
    <w:p w14:paraId="017C3705" w14:textId="77777777" w:rsidR="007E319E" w:rsidRPr="007E319E" w:rsidRDefault="007E319E" w:rsidP="007E31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E319E">
        <w:rPr>
          <w:rFonts w:ascii="Times New Roman" w:hAnsi="Times New Roman" w:cs="Times New Roman"/>
          <w:bCs/>
          <w:sz w:val="28"/>
          <w:szCs w:val="28"/>
          <w:lang w:val="uk-UA"/>
        </w:rPr>
        <w:t>На основі узагальнення цих підходів побудовано</w:t>
      </w:r>
      <w:r w:rsidRPr="007E319E">
        <w:rPr>
          <w:rFonts w:ascii="Calibri" w:eastAsia="Calibri" w:hAnsi="Calibri" w:cs="Times New Roman"/>
        </w:rPr>
        <w:t xml:space="preserve"> </w:t>
      </w:r>
      <w:r w:rsidRPr="007E319E">
        <w:rPr>
          <w:rFonts w:ascii="Times New Roman" w:eastAsia="Calibri" w:hAnsi="Times New Roman" w:cs="Times New Roman"/>
          <w:sz w:val="28"/>
          <w:lang w:val="uk-UA"/>
        </w:rPr>
        <w:t>м</w:t>
      </w:r>
      <w:r w:rsidRPr="007E319E">
        <w:rPr>
          <w:rFonts w:ascii="Times New Roman" w:hAnsi="Times New Roman" w:cs="Times New Roman"/>
          <w:bCs/>
          <w:sz w:val="28"/>
          <w:szCs w:val="28"/>
          <w:lang w:val="uk-UA"/>
        </w:rPr>
        <w:t>ісце системи оплати праці в системі управління персоналом підприємства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(рис. 1</w:t>
      </w:r>
      <w:r w:rsidRPr="007E319E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15575AE3" w14:textId="77777777" w:rsidR="007E319E" w:rsidRPr="007E319E" w:rsidRDefault="007E319E" w:rsidP="007E31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346866A" w14:textId="77777777" w:rsidR="007E319E" w:rsidRPr="007E319E" w:rsidRDefault="007E319E" w:rsidP="007E319E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E319E">
        <w:rPr>
          <w:rFonts w:ascii="Times New Roman" w:hAnsi="Times New Roman" w:cs="Times New Roman"/>
          <w:bCs/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18F1C699" wp14:editId="0E5C9A3A">
            <wp:extent cx="6050280" cy="3200400"/>
            <wp:effectExtent l="0" t="0" r="0" b="1270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39F6E94" w14:textId="7E70E0DA" w:rsidR="007E319E" w:rsidRDefault="007E319E" w:rsidP="007E31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E3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Рис.</w:t>
      </w:r>
      <w:r w:rsidR="004733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733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E319E">
        <w:rPr>
          <w:rFonts w:ascii="Times New Roman" w:hAnsi="Times New Roman" w:cs="Times New Roman"/>
          <w:bCs/>
          <w:sz w:val="28"/>
          <w:szCs w:val="28"/>
          <w:lang w:val="uk-UA"/>
        </w:rPr>
        <w:t>Місце системи оплати праці в системі управління персоналом підприємства</w:t>
      </w:r>
    </w:p>
    <w:p w14:paraId="266212BC" w14:textId="77777777" w:rsidR="007E319E" w:rsidRDefault="007E319E" w:rsidP="007E31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B759083" w14:textId="5E488D9F" w:rsidR="007E319E" w:rsidRPr="007E319E" w:rsidRDefault="007E319E" w:rsidP="004F05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E319E">
        <w:rPr>
          <w:rFonts w:ascii="Times New Roman" w:hAnsi="Times New Roman" w:cs="Times New Roman"/>
          <w:bCs/>
          <w:sz w:val="28"/>
          <w:szCs w:val="28"/>
          <w:lang w:val="uk-UA"/>
        </w:rPr>
        <w:t>Концептуальний підхід демонструє, що система оплати праці є центральною ланкою в управлінні персоналом підприємства та інтегрує ключові управлінські підсистеми стратегію розвитку, систему мотивації та оцінювання персоналу, фінансову й соціальну політику підприємства, підкреслює двоїс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ту природу оплати праці</w:t>
      </w:r>
      <w:r w:rsidR="004F0518">
        <w:rPr>
          <w:rFonts w:ascii="Times New Roman" w:hAnsi="Times New Roman" w:cs="Times New Roman"/>
          <w:bCs/>
          <w:sz w:val="28"/>
          <w:szCs w:val="28"/>
          <w:lang w:val="uk-UA"/>
        </w:rPr>
        <w:t>. З</w:t>
      </w:r>
      <w:r w:rsidRPr="007E3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одного боку, вона виступає важелем</w:t>
      </w:r>
      <w:r w:rsidR="004F05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E319E">
        <w:rPr>
          <w:rFonts w:ascii="Times New Roman" w:hAnsi="Times New Roman" w:cs="Times New Roman"/>
          <w:bCs/>
          <w:sz w:val="28"/>
          <w:szCs w:val="28"/>
          <w:lang w:val="uk-UA"/>
        </w:rPr>
        <w:t>економічного стимулювання фахівців, а з іншого важливою складовою соціальної стабільності та кадрової безпеки.</w:t>
      </w:r>
    </w:p>
    <w:p w14:paraId="1109A0D0" w14:textId="6C406A2D" w:rsidR="00B02072" w:rsidRPr="00B02072" w:rsidRDefault="00B02072" w:rsidP="006A54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воєнний період підприємства орієнтуються на максимальну стабілізацію оплати праці, збереження ключових фахівців та забезпечення безперервності виробничих процесів.</w:t>
      </w:r>
      <w:r w:rsidR="006A54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E31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Таким чином</w:t>
      </w:r>
      <w:r w:rsidR="004F051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7E31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истема оплати праці фахівців в умовах воєнного періоду зазнає істотних трансформацій, що зумовлено об’єктивними змінами на ринку праці, мобілізаційними процесами, ризиками для життєдіяльності підприємств та посиленням ролі державного регулювання. Основним</w:t>
      </w:r>
      <w:r w:rsidR="007E31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 тенденціями є п</w:t>
      </w:r>
      <w:r w:rsidRPr="00B0207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осилення правових та соціальних гарантій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необхідність прозорос</w:t>
      </w:r>
      <w:r w:rsidR="007E31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ті та справедливості у виплатах, з</w:t>
      </w:r>
      <w:r w:rsidRPr="00B0207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ростання ролі базової, стабільної частини заробітної плати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 чинника </w:t>
      </w:r>
      <w:r w:rsidR="007E31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економічної безпеки працівників, п</w:t>
      </w:r>
      <w:r w:rsidRPr="00B0207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ереорієнтація підприємств на гнучкі, комбіновані системи оплати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що дозв</w:t>
      </w:r>
      <w:r w:rsidR="007E31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оляють утримувати ключові кадри, п</w:t>
      </w:r>
      <w:r w:rsidRPr="00B0207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осилення соціальної та кадрово-безпекової функції системи оплати праці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особливо у </w:t>
      </w:r>
      <w:r w:rsidR="007E31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сферах критичної інфраструктури, н</w:t>
      </w:r>
      <w:r w:rsidRPr="00B0207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еобхідність адаптації механізмів обліку, планування та преміювання</w:t>
      </w: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умов невизначеності та нестабільності.</w:t>
      </w:r>
    </w:p>
    <w:p w14:paraId="396AF54C" w14:textId="77777777" w:rsidR="00B02072" w:rsidRPr="00B02072" w:rsidRDefault="00B02072" w:rsidP="00B020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02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Отже, ефективна система оплати праці у воєнних умовах має базуватися на поєднанні гнучкості, соціальної відповідальності, економічної обґрунтованості та стратегічної орієнтації на збереження кадрового потенціалу підприємства.</w:t>
      </w:r>
    </w:p>
    <w:p w14:paraId="5751451E" w14:textId="77777777" w:rsidR="00B02072" w:rsidRDefault="00B02072" w:rsidP="00B020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D567F0" w14:textId="15CF0B90" w:rsidR="007E319E" w:rsidRDefault="00D37AA4" w:rsidP="007E31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СПИСОК ВИКОРИСТАНИХ ДЖЕРЕЛ</w:t>
      </w:r>
    </w:p>
    <w:p w14:paraId="0D014C70" w14:textId="77777777" w:rsidR="007E319E" w:rsidRPr="00357610" w:rsidRDefault="007E319E" w:rsidP="007E319E">
      <w:pPr>
        <w:pStyle w:val="a8"/>
        <w:numPr>
          <w:ilvl w:val="0"/>
          <w:numId w:val="13"/>
        </w:numPr>
        <w:tabs>
          <w:tab w:val="left" w:pos="993"/>
          <w:tab w:val="left" w:pos="1134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Ref197532733"/>
      <w:bookmarkStart w:id="1" w:name="_Ref198411916"/>
      <w:proofErr w:type="spellStart"/>
      <w:r w:rsidRPr="00357610">
        <w:rPr>
          <w:rFonts w:ascii="Times New Roman" w:hAnsi="Times New Roman" w:cs="Times New Roman"/>
          <w:sz w:val="24"/>
          <w:szCs w:val="24"/>
        </w:rPr>
        <w:t>Болотіна</w:t>
      </w:r>
      <w:proofErr w:type="spellEnd"/>
      <w:r w:rsidRPr="003576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7610">
        <w:rPr>
          <w:rFonts w:ascii="Times New Roman" w:hAnsi="Times New Roman" w:cs="Times New Roman"/>
          <w:sz w:val="24"/>
          <w:szCs w:val="24"/>
        </w:rPr>
        <w:t>Н. Б.</w:t>
      </w:r>
      <w:r w:rsidRPr="0035761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57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Чанишева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Г. І.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Трудове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. К. :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>, КОО, 2020. 564 с.</w:t>
      </w:r>
      <w:bookmarkEnd w:id="0"/>
      <w:bookmarkEnd w:id="1"/>
      <w:r w:rsidRPr="003576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E2DE5" w14:textId="77777777" w:rsidR="007E319E" w:rsidRPr="00357610" w:rsidRDefault="007E319E" w:rsidP="007E319E">
      <w:pPr>
        <w:pStyle w:val="a8"/>
        <w:numPr>
          <w:ilvl w:val="0"/>
          <w:numId w:val="13"/>
        </w:numPr>
        <w:tabs>
          <w:tab w:val="left" w:pos="993"/>
          <w:tab w:val="left" w:pos="1134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7610">
        <w:rPr>
          <w:rFonts w:ascii="Times New Roman" w:hAnsi="Times New Roman" w:cs="Times New Roman"/>
          <w:sz w:val="24"/>
          <w:szCs w:val="24"/>
          <w:lang w:val="uk-UA"/>
        </w:rPr>
        <w:t xml:space="preserve">Гук О. Оплата праці на підприємстві в умовах воєнного стану. ІІI </w:t>
      </w:r>
      <w:r w:rsidRPr="00357610">
        <w:rPr>
          <w:rFonts w:ascii="Times New Roman" w:hAnsi="Times New Roman" w:cs="Times New Roman"/>
          <w:i/>
          <w:sz w:val="24"/>
          <w:szCs w:val="24"/>
          <w:lang w:val="uk-UA"/>
        </w:rPr>
        <w:t>Міжнародна науково-практична конференція "Бізнес, інновації, менеджмент: проблеми та перспективи".</w:t>
      </w:r>
      <w:r w:rsidRPr="00357610">
        <w:rPr>
          <w:rFonts w:ascii="Times New Roman" w:hAnsi="Times New Roman" w:cs="Times New Roman"/>
          <w:sz w:val="24"/>
          <w:szCs w:val="24"/>
          <w:lang w:val="uk-UA"/>
        </w:rPr>
        <w:t xml:space="preserve"> 2022. </w:t>
      </w:r>
      <w:hyperlink r:id="rId10" w:history="1">
        <w:r w:rsidRPr="00357610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https://confmanagement-proc.kpi.ua/article/view/271708</w:t>
        </w:r>
      </w:hyperlink>
      <w:r w:rsidR="00357610">
        <w:rPr>
          <w:rStyle w:val="a9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7936F6D" w14:textId="77777777" w:rsidR="007E319E" w:rsidRPr="00357610" w:rsidRDefault="007E319E" w:rsidP="007E319E">
      <w:pPr>
        <w:pStyle w:val="a8"/>
        <w:numPr>
          <w:ilvl w:val="0"/>
          <w:numId w:val="13"/>
        </w:numPr>
        <w:tabs>
          <w:tab w:val="left" w:pos="993"/>
          <w:tab w:val="left" w:pos="1134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7610">
        <w:rPr>
          <w:rFonts w:ascii="Times New Roman" w:hAnsi="Times New Roman" w:cs="Times New Roman"/>
          <w:sz w:val="24"/>
          <w:szCs w:val="24"/>
        </w:rPr>
        <w:t xml:space="preserve">Гуренко Т. О.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Облік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оплати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трудові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відносини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воєнний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7610">
        <w:rPr>
          <w:rFonts w:ascii="Times New Roman" w:hAnsi="Times New Roman" w:cs="Times New Roman"/>
          <w:i/>
          <w:sz w:val="24"/>
          <w:szCs w:val="24"/>
        </w:rPr>
        <w:t>Економіка</w:t>
      </w:r>
      <w:proofErr w:type="spellEnd"/>
      <w:r w:rsidRPr="00357610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357610">
        <w:rPr>
          <w:rFonts w:ascii="Times New Roman" w:hAnsi="Times New Roman" w:cs="Times New Roman"/>
          <w:i/>
          <w:sz w:val="24"/>
          <w:szCs w:val="24"/>
        </w:rPr>
        <w:t>суспільство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. 2022. Вип. 36. </w:t>
      </w:r>
      <w:r w:rsidRPr="00357610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11" w:history="1">
        <w:r w:rsidRPr="0035761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https://economyandsociety.in.ua/index.php/journal/article/download/1153/1111</w:t>
        </w:r>
      </w:hyperlink>
      <w:r w:rsidR="00357610"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 xml:space="preserve"> </w:t>
      </w:r>
    </w:p>
    <w:p w14:paraId="2E267C25" w14:textId="77777777" w:rsidR="007E319E" w:rsidRPr="00357610" w:rsidRDefault="007E319E" w:rsidP="007E319E">
      <w:pPr>
        <w:pStyle w:val="a8"/>
        <w:numPr>
          <w:ilvl w:val="0"/>
          <w:numId w:val="13"/>
        </w:numPr>
        <w:tabs>
          <w:tab w:val="left" w:pos="993"/>
          <w:tab w:val="left" w:pos="1134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Ref198411987"/>
      <w:r w:rsidRPr="00357610">
        <w:rPr>
          <w:rFonts w:ascii="Times New Roman" w:hAnsi="Times New Roman" w:cs="Times New Roman"/>
          <w:sz w:val="24"/>
          <w:szCs w:val="24"/>
        </w:rPr>
        <w:t xml:space="preserve">Кравченко О.О.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Теоретико-методологічні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підходи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оплати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контексті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кадрової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7610">
        <w:rPr>
          <w:rFonts w:ascii="Times New Roman" w:hAnsi="Times New Roman" w:cs="Times New Roman"/>
          <w:i/>
          <w:sz w:val="24"/>
          <w:szCs w:val="24"/>
        </w:rPr>
        <w:t>Соціально-економічні</w:t>
      </w:r>
      <w:proofErr w:type="spellEnd"/>
      <w:r w:rsidRPr="00357610">
        <w:rPr>
          <w:rFonts w:ascii="Times New Roman" w:hAnsi="Times New Roman" w:cs="Times New Roman"/>
          <w:i/>
          <w:sz w:val="24"/>
          <w:szCs w:val="24"/>
        </w:rPr>
        <w:t xml:space="preserve"> проблеми </w:t>
      </w:r>
      <w:proofErr w:type="spellStart"/>
      <w:r w:rsidRPr="00357610">
        <w:rPr>
          <w:rFonts w:ascii="Times New Roman" w:hAnsi="Times New Roman" w:cs="Times New Roman"/>
          <w:i/>
          <w:sz w:val="24"/>
          <w:szCs w:val="24"/>
        </w:rPr>
        <w:t>сучасного</w:t>
      </w:r>
      <w:proofErr w:type="spellEnd"/>
      <w:r w:rsidRPr="003576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57610">
        <w:rPr>
          <w:rFonts w:ascii="Times New Roman" w:hAnsi="Times New Roman" w:cs="Times New Roman"/>
          <w:i/>
          <w:sz w:val="24"/>
          <w:szCs w:val="24"/>
        </w:rPr>
        <w:t>періоду</w:t>
      </w:r>
      <w:proofErr w:type="spellEnd"/>
      <w:r w:rsidRPr="003576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57610">
        <w:rPr>
          <w:rFonts w:ascii="Times New Roman" w:hAnsi="Times New Roman" w:cs="Times New Roman"/>
          <w:i/>
          <w:sz w:val="24"/>
          <w:szCs w:val="24"/>
        </w:rPr>
        <w:t>України</w:t>
      </w:r>
      <w:proofErr w:type="spellEnd"/>
      <w:r w:rsidRPr="00357610">
        <w:rPr>
          <w:rFonts w:ascii="Times New Roman" w:hAnsi="Times New Roman" w:cs="Times New Roman"/>
          <w:i/>
          <w:sz w:val="24"/>
          <w:szCs w:val="24"/>
        </w:rPr>
        <w:t>.</w:t>
      </w:r>
      <w:r w:rsidRPr="00357610">
        <w:rPr>
          <w:rFonts w:ascii="Times New Roman" w:hAnsi="Times New Roman" w:cs="Times New Roman"/>
          <w:sz w:val="24"/>
          <w:szCs w:val="24"/>
        </w:rPr>
        <w:t xml:space="preserve"> 2019. Вип. 6(140). С. 45–50. </w:t>
      </w:r>
      <w:r w:rsidRPr="00357610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12" w:tgtFrame="_new" w:history="1">
        <w:r w:rsidRPr="00357610">
          <w:rPr>
            <w:rFonts w:ascii="Times New Roman" w:hAnsi="Times New Roman" w:cs="Times New Roman"/>
            <w:sz w:val="24"/>
            <w:szCs w:val="24"/>
            <w:lang w:val="en-US"/>
          </w:rPr>
          <w:t>https://ird.gov.ua/sep/sepavt/kravchenko2o_lu.php</w:t>
        </w:r>
      </w:hyperlink>
      <w:hyperlink r:id="rId13" w:tgtFrame="_blank" w:history="1">
        <w:r w:rsidRPr="00357610">
          <w:rPr>
            <w:rFonts w:ascii="Times New Roman" w:hAnsi="Times New Roman" w:cs="Times New Roman"/>
            <w:sz w:val="24"/>
            <w:szCs w:val="24"/>
            <w:lang w:val="en-US"/>
          </w:rPr>
          <w:t>Institute of Regional Research</w:t>
        </w:r>
      </w:hyperlink>
      <w:bookmarkEnd w:id="2"/>
      <w:r w:rsidR="003576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5755F3A" w14:textId="77777777" w:rsidR="007E319E" w:rsidRPr="00357610" w:rsidRDefault="007E319E" w:rsidP="007E319E">
      <w:pPr>
        <w:pStyle w:val="a8"/>
        <w:numPr>
          <w:ilvl w:val="0"/>
          <w:numId w:val="13"/>
        </w:numPr>
        <w:tabs>
          <w:tab w:val="left" w:pos="993"/>
          <w:tab w:val="left" w:pos="1134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197531406"/>
      <w:r w:rsidRPr="00357610">
        <w:rPr>
          <w:rFonts w:ascii="Times New Roman" w:hAnsi="Times New Roman" w:cs="Times New Roman"/>
          <w:sz w:val="24"/>
          <w:szCs w:val="24"/>
        </w:rPr>
        <w:t xml:space="preserve">Лукашевич В. М., Хомич С. А.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Винагорода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суттєвий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чинник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змісту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концепції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персоналом. </w:t>
      </w:r>
      <w:proofErr w:type="spellStart"/>
      <w:r w:rsidRPr="00357610">
        <w:rPr>
          <w:rFonts w:ascii="Times New Roman" w:hAnsi="Times New Roman" w:cs="Times New Roman"/>
          <w:i/>
          <w:iCs/>
          <w:sz w:val="24"/>
          <w:szCs w:val="24"/>
        </w:rPr>
        <w:t>Розвиток</w:t>
      </w:r>
      <w:proofErr w:type="spellEnd"/>
      <w:r w:rsidRPr="003576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7610">
        <w:rPr>
          <w:rFonts w:ascii="Times New Roman" w:hAnsi="Times New Roman" w:cs="Times New Roman"/>
          <w:i/>
          <w:iCs/>
          <w:sz w:val="24"/>
          <w:szCs w:val="24"/>
        </w:rPr>
        <w:t>методів</w:t>
      </w:r>
      <w:proofErr w:type="spellEnd"/>
      <w:r w:rsidRPr="003576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7610">
        <w:rPr>
          <w:rFonts w:ascii="Times New Roman" w:hAnsi="Times New Roman" w:cs="Times New Roman"/>
          <w:i/>
          <w:iCs/>
          <w:sz w:val="24"/>
          <w:szCs w:val="24"/>
        </w:rPr>
        <w:t>управління</w:t>
      </w:r>
      <w:proofErr w:type="spellEnd"/>
      <w:r w:rsidRPr="00357610">
        <w:rPr>
          <w:rFonts w:ascii="Times New Roman" w:hAnsi="Times New Roman" w:cs="Times New Roman"/>
          <w:i/>
          <w:iCs/>
          <w:sz w:val="24"/>
          <w:szCs w:val="24"/>
        </w:rPr>
        <w:t xml:space="preserve"> та </w:t>
      </w:r>
      <w:proofErr w:type="spellStart"/>
      <w:r w:rsidRPr="00357610">
        <w:rPr>
          <w:rFonts w:ascii="Times New Roman" w:hAnsi="Times New Roman" w:cs="Times New Roman"/>
          <w:i/>
          <w:iCs/>
          <w:sz w:val="24"/>
          <w:szCs w:val="24"/>
        </w:rPr>
        <w:t>господарювання</w:t>
      </w:r>
      <w:proofErr w:type="spellEnd"/>
      <w:r w:rsidRPr="00357610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proofErr w:type="spellStart"/>
      <w:r w:rsidRPr="00357610">
        <w:rPr>
          <w:rFonts w:ascii="Times New Roman" w:hAnsi="Times New Roman" w:cs="Times New Roman"/>
          <w:i/>
          <w:iCs/>
          <w:sz w:val="24"/>
          <w:szCs w:val="24"/>
        </w:rPr>
        <w:t>транспорті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>, 2017</w:t>
      </w:r>
      <w:r w:rsidRPr="00357610">
        <w:rPr>
          <w:rFonts w:ascii="Times New Roman" w:hAnsi="Times New Roman" w:cs="Times New Roman"/>
          <w:sz w:val="24"/>
          <w:szCs w:val="24"/>
          <w:lang w:val="uk-UA"/>
        </w:rPr>
        <w:t>. №</w:t>
      </w:r>
      <w:r w:rsidRPr="00357610">
        <w:rPr>
          <w:rFonts w:ascii="Times New Roman" w:hAnsi="Times New Roman" w:cs="Times New Roman"/>
          <w:sz w:val="24"/>
          <w:szCs w:val="24"/>
        </w:rPr>
        <w:t>4 (61)</w:t>
      </w:r>
      <w:r w:rsidRPr="00357610">
        <w:rPr>
          <w:rFonts w:ascii="Times New Roman" w:hAnsi="Times New Roman" w:cs="Times New Roman"/>
          <w:sz w:val="24"/>
          <w:szCs w:val="24"/>
          <w:lang w:val="uk-UA"/>
        </w:rPr>
        <w:t xml:space="preserve"> С.</w:t>
      </w:r>
      <w:r w:rsidRPr="00357610">
        <w:rPr>
          <w:rFonts w:ascii="Times New Roman" w:hAnsi="Times New Roman" w:cs="Times New Roman"/>
          <w:sz w:val="24"/>
          <w:szCs w:val="24"/>
        </w:rPr>
        <w:t xml:space="preserve"> 54-66.</w:t>
      </w:r>
      <w:bookmarkEnd w:id="3"/>
      <w:r w:rsidR="003576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2D2E7FF" w14:textId="77777777" w:rsidR="007E319E" w:rsidRPr="00357610" w:rsidRDefault="007E319E" w:rsidP="007E319E">
      <w:pPr>
        <w:pStyle w:val="a8"/>
        <w:numPr>
          <w:ilvl w:val="0"/>
          <w:numId w:val="13"/>
        </w:numPr>
        <w:tabs>
          <w:tab w:val="left" w:pos="1134"/>
        </w:tabs>
        <w:spacing w:line="360" w:lineRule="auto"/>
        <w:ind w:left="0" w:firstLine="69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57610">
        <w:rPr>
          <w:rFonts w:ascii="Times New Roman" w:hAnsi="Times New Roman" w:cs="Times New Roman"/>
          <w:sz w:val="24"/>
          <w:szCs w:val="24"/>
        </w:rPr>
        <w:t>Пижова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М. О.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принципи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справедливої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оплати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Актуальні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проблеми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вдосконалення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чинного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>. 2020.</w:t>
      </w:r>
      <w:r w:rsidRPr="003576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7610">
        <w:rPr>
          <w:rFonts w:ascii="Times New Roman" w:hAnsi="Times New Roman" w:cs="Times New Roman"/>
          <w:sz w:val="24"/>
          <w:szCs w:val="24"/>
        </w:rPr>
        <w:t xml:space="preserve"> № 54. С. 36–45.</w:t>
      </w:r>
      <w:r w:rsidR="00357610" w:rsidRPr="003576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1AF6C2" w14:textId="77777777" w:rsidR="007E319E" w:rsidRPr="00357610" w:rsidRDefault="007E319E" w:rsidP="007E319E">
      <w:pPr>
        <w:pStyle w:val="a8"/>
        <w:numPr>
          <w:ilvl w:val="0"/>
          <w:numId w:val="13"/>
        </w:numPr>
        <w:tabs>
          <w:tab w:val="left" w:pos="993"/>
          <w:tab w:val="left" w:pos="1134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7610">
        <w:rPr>
          <w:rFonts w:ascii="Times New Roman" w:hAnsi="Times New Roman" w:cs="Times New Roman"/>
          <w:sz w:val="24"/>
          <w:szCs w:val="24"/>
        </w:rPr>
        <w:t xml:space="preserve">Про оплату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: Закон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61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57610">
        <w:rPr>
          <w:rFonts w:ascii="Times New Roman" w:hAnsi="Times New Roman" w:cs="Times New Roman"/>
          <w:sz w:val="24"/>
          <w:szCs w:val="24"/>
        </w:rPr>
        <w:t xml:space="preserve"> 24 берез. </w:t>
      </w:r>
      <w:r w:rsidRPr="00357610">
        <w:rPr>
          <w:rFonts w:ascii="Times New Roman" w:hAnsi="Times New Roman" w:cs="Times New Roman"/>
          <w:sz w:val="24"/>
          <w:szCs w:val="24"/>
          <w:lang w:val="en-US"/>
        </w:rPr>
        <w:t xml:space="preserve">1995 </w:t>
      </w:r>
      <w:r w:rsidRPr="00357610">
        <w:rPr>
          <w:rFonts w:ascii="Times New Roman" w:hAnsi="Times New Roman" w:cs="Times New Roman"/>
          <w:sz w:val="24"/>
          <w:szCs w:val="24"/>
        </w:rPr>
        <w:t>р</w:t>
      </w:r>
      <w:r w:rsidRPr="00357610">
        <w:rPr>
          <w:rFonts w:ascii="Times New Roman" w:hAnsi="Times New Roman" w:cs="Times New Roman"/>
          <w:sz w:val="24"/>
          <w:szCs w:val="24"/>
          <w:lang w:val="en-US"/>
        </w:rPr>
        <w:t>. № 108/95-</w:t>
      </w:r>
      <w:r w:rsidRPr="00357610">
        <w:rPr>
          <w:rFonts w:ascii="Times New Roman" w:hAnsi="Times New Roman" w:cs="Times New Roman"/>
          <w:sz w:val="24"/>
          <w:szCs w:val="24"/>
        </w:rPr>
        <w:t>ВР</w:t>
      </w:r>
      <w:r w:rsidRPr="00357610">
        <w:rPr>
          <w:rFonts w:ascii="Times New Roman" w:hAnsi="Times New Roman" w:cs="Times New Roman"/>
          <w:sz w:val="24"/>
          <w:szCs w:val="24"/>
          <w:lang w:val="en-US"/>
        </w:rPr>
        <w:t xml:space="preserve">. URL: https://zakon.rada.gov.ua/laws/ show/108/95-%D0%B2%D1%80#Text </w:t>
      </w:r>
    </w:p>
    <w:p w14:paraId="355F028E" w14:textId="3AD2388C" w:rsidR="007E319E" w:rsidRPr="00027249" w:rsidRDefault="007E319E" w:rsidP="00027249">
      <w:pPr>
        <w:pStyle w:val="a8"/>
        <w:numPr>
          <w:ilvl w:val="0"/>
          <w:numId w:val="13"/>
        </w:numPr>
        <w:tabs>
          <w:tab w:val="left" w:pos="993"/>
          <w:tab w:val="left" w:pos="1134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57610">
        <w:rPr>
          <w:rFonts w:ascii="Times New Roman" w:hAnsi="Times New Roman" w:cs="Times New Roman"/>
          <w:sz w:val="24"/>
          <w:szCs w:val="24"/>
          <w:lang w:val="uk-UA"/>
        </w:rPr>
        <w:t>Склярук</w:t>
      </w:r>
      <w:proofErr w:type="spellEnd"/>
      <w:r w:rsidRPr="00357610">
        <w:rPr>
          <w:rFonts w:ascii="Times New Roman" w:hAnsi="Times New Roman" w:cs="Times New Roman"/>
          <w:sz w:val="24"/>
          <w:szCs w:val="24"/>
          <w:lang w:val="uk-UA"/>
        </w:rPr>
        <w:t xml:space="preserve"> І., Поліщук М. Особливості організації обліку розрахунків з оплати праці в сучасних умовах. </w:t>
      </w:r>
      <w:r w:rsidRPr="00357610">
        <w:rPr>
          <w:rFonts w:ascii="Times New Roman" w:hAnsi="Times New Roman" w:cs="Times New Roman"/>
          <w:i/>
          <w:sz w:val="24"/>
          <w:szCs w:val="24"/>
          <w:lang w:val="uk-UA"/>
        </w:rPr>
        <w:t>Економіка та суспільство</w:t>
      </w:r>
      <w:r w:rsidRPr="00357610">
        <w:rPr>
          <w:rFonts w:ascii="Times New Roman" w:hAnsi="Times New Roman" w:cs="Times New Roman"/>
          <w:sz w:val="24"/>
          <w:szCs w:val="24"/>
          <w:lang w:val="uk-UA"/>
        </w:rPr>
        <w:t xml:space="preserve">. 2023. Вип.47. </w:t>
      </w:r>
      <w:r w:rsidRPr="00357610">
        <w:rPr>
          <w:rFonts w:ascii="Times New Roman" w:hAnsi="Times New Roman" w:cs="Times New Roman"/>
          <w:sz w:val="24"/>
          <w:szCs w:val="24"/>
        </w:rPr>
        <w:t>DOI</w:t>
      </w:r>
      <w:r w:rsidRPr="0035761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14" w:history="1">
        <w:r w:rsidRPr="00357610">
          <w:rPr>
            <w:rStyle w:val="a9"/>
            <w:rFonts w:ascii="Times New Roman" w:hAnsi="Times New Roman" w:cs="Times New Roman"/>
            <w:sz w:val="24"/>
            <w:szCs w:val="24"/>
          </w:rPr>
          <w:t>https</w:t>
        </w:r>
        <w:r w:rsidRPr="00357610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357610">
          <w:rPr>
            <w:rStyle w:val="a9"/>
            <w:rFonts w:ascii="Times New Roman" w:hAnsi="Times New Roman" w:cs="Times New Roman"/>
            <w:sz w:val="24"/>
            <w:szCs w:val="24"/>
          </w:rPr>
          <w:t>doi</w:t>
        </w:r>
        <w:r w:rsidRPr="00357610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357610">
          <w:rPr>
            <w:rStyle w:val="a9"/>
            <w:rFonts w:ascii="Times New Roman" w:hAnsi="Times New Roman" w:cs="Times New Roman"/>
            <w:sz w:val="24"/>
            <w:szCs w:val="24"/>
          </w:rPr>
          <w:t>org</w:t>
        </w:r>
        <w:r w:rsidRPr="00357610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/10.32782/2524-0072/2023-47-50</w:t>
        </w:r>
      </w:hyperlink>
      <w:r w:rsidR="00357610" w:rsidRPr="00357610"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 xml:space="preserve"> </w:t>
      </w:r>
    </w:p>
    <w:sectPr w:rsidR="007E319E" w:rsidRPr="00027249" w:rsidSect="00B020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4E3"/>
    <w:multiLevelType w:val="hybridMultilevel"/>
    <w:tmpl w:val="5CC46964"/>
    <w:lvl w:ilvl="0" w:tplc="FFFFFFFF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18D336B"/>
    <w:multiLevelType w:val="multilevel"/>
    <w:tmpl w:val="B6D0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4555C"/>
    <w:multiLevelType w:val="hybridMultilevel"/>
    <w:tmpl w:val="EA5671C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D63E02"/>
    <w:multiLevelType w:val="multilevel"/>
    <w:tmpl w:val="0CF0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32123"/>
    <w:multiLevelType w:val="multilevel"/>
    <w:tmpl w:val="CCCE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263D0"/>
    <w:multiLevelType w:val="multilevel"/>
    <w:tmpl w:val="D4E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B63649"/>
    <w:multiLevelType w:val="multilevel"/>
    <w:tmpl w:val="8E98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504EE8"/>
    <w:multiLevelType w:val="hybridMultilevel"/>
    <w:tmpl w:val="2A60F59E"/>
    <w:lvl w:ilvl="0" w:tplc="FFFFFFFF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6E10ED7"/>
    <w:multiLevelType w:val="multilevel"/>
    <w:tmpl w:val="E9D8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B25296"/>
    <w:multiLevelType w:val="multilevel"/>
    <w:tmpl w:val="1E7E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55687E"/>
    <w:multiLevelType w:val="multilevel"/>
    <w:tmpl w:val="EF8A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1E34"/>
    <w:multiLevelType w:val="multilevel"/>
    <w:tmpl w:val="B09E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335DB2"/>
    <w:multiLevelType w:val="multilevel"/>
    <w:tmpl w:val="A2EA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8434E7"/>
    <w:multiLevelType w:val="hybridMultilevel"/>
    <w:tmpl w:val="83946B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044DE"/>
    <w:multiLevelType w:val="multilevel"/>
    <w:tmpl w:val="9D08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086748">
    <w:abstractNumId w:val="9"/>
  </w:num>
  <w:num w:numId="2" w16cid:durableId="352344839">
    <w:abstractNumId w:val="1"/>
  </w:num>
  <w:num w:numId="3" w16cid:durableId="1361470761">
    <w:abstractNumId w:val="3"/>
  </w:num>
  <w:num w:numId="4" w16cid:durableId="1877500843">
    <w:abstractNumId w:val="4"/>
  </w:num>
  <w:num w:numId="5" w16cid:durableId="29690739">
    <w:abstractNumId w:val="11"/>
  </w:num>
  <w:num w:numId="6" w16cid:durableId="384335838">
    <w:abstractNumId w:val="5"/>
  </w:num>
  <w:num w:numId="7" w16cid:durableId="1715353211">
    <w:abstractNumId w:val="8"/>
  </w:num>
  <w:num w:numId="8" w16cid:durableId="213934527">
    <w:abstractNumId w:val="6"/>
  </w:num>
  <w:num w:numId="9" w16cid:durableId="427700590">
    <w:abstractNumId w:val="14"/>
  </w:num>
  <w:num w:numId="10" w16cid:durableId="1970163073">
    <w:abstractNumId w:val="10"/>
  </w:num>
  <w:num w:numId="11" w16cid:durableId="1715495833">
    <w:abstractNumId w:val="12"/>
  </w:num>
  <w:num w:numId="12" w16cid:durableId="391276189">
    <w:abstractNumId w:val="13"/>
  </w:num>
  <w:num w:numId="13" w16cid:durableId="1418290432">
    <w:abstractNumId w:val="2"/>
  </w:num>
  <w:num w:numId="14" w16cid:durableId="1636183853">
    <w:abstractNumId w:val="7"/>
  </w:num>
  <w:num w:numId="15" w16cid:durableId="154490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072"/>
    <w:rsid w:val="00027249"/>
    <w:rsid w:val="000975C8"/>
    <w:rsid w:val="00353568"/>
    <w:rsid w:val="00357610"/>
    <w:rsid w:val="00412DD2"/>
    <w:rsid w:val="004733FF"/>
    <w:rsid w:val="004F0518"/>
    <w:rsid w:val="005B4462"/>
    <w:rsid w:val="005D7348"/>
    <w:rsid w:val="006169D8"/>
    <w:rsid w:val="006A5487"/>
    <w:rsid w:val="006C1EA4"/>
    <w:rsid w:val="006F4D2B"/>
    <w:rsid w:val="00733353"/>
    <w:rsid w:val="00767A37"/>
    <w:rsid w:val="00773A03"/>
    <w:rsid w:val="007E319E"/>
    <w:rsid w:val="008144C8"/>
    <w:rsid w:val="00866B7A"/>
    <w:rsid w:val="008714C1"/>
    <w:rsid w:val="00881051"/>
    <w:rsid w:val="00A60A70"/>
    <w:rsid w:val="00A6115F"/>
    <w:rsid w:val="00A635B6"/>
    <w:rsid w:val="00A74C99"/>
    <w:rsid w:val="00AD0C13"/>
    <w:rsid w:val="00B02072"/>
    <w:rsid w:val="00B7743C"/>
    <w:rsid w:val="00BE426C"/>
    <w:rsid w:val="00C94A40"/>
    <w:rsid w:val="00D37AA4"/>
    <w:rsid w:val="00D63FC7"/>
    <w:rsid w:val="00D652C5"/>
    <w:rsid w:val="00D857C0"/>
    <w:rsid w:val="00DA5D80"/>
    <w:rsid w:val="00DD67D7"/>
    <w:rsid w:val="00E45CB1"/>
    <w:rsid w:val="00F7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CFC9"/>
  <w15:docId w15:val="{4AB8670D-2D1B-AB4B-AC46-475F247F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20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link w:val="30"/>
    <w:uiPriority w:val="9"/>
    <w:qFormat/>
    <w:rsid w:val="00B020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2072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B02072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B0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B02072"/>
    <w:rPr>
      <w:b/>
      <w:bCs/>
    </w:rPr>
  </w:style>
  <w:style w:type="character" w:styleId="a5">
    <w:name w:val="Emphasis"/>
    <w:basedOn w:val="a0"/>
    <w:uiPriority w:val="20"/>
    <w:qFormat/>
    <w:rsid w:val="00B0207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E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319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E319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E319E"/>
    <w:rPr>
      <w:color w:val="0000FF" w:themeColor="hyperlink"/>
      <w:u w:val="single"/>
    </w:rPr>
  </w:style>
  <w:style w:type="character" w:customStyle="1" w:styleId="s2">
    <w:name w:val="s2"/>
    <w:basedOn w:val="a0"/>
    <w:rsid w:val="006169D8"/>
  </w:style>
  <w:style w:type="character" w:customStyle="1" w:styleId="apple-converted-space">
    <w:name w:val="apple-converted-space"/>
    <w:basedOn w:val="a0"/>
    <w:rsid w:val="00616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8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hyperlink" Target="https://ird.gov.ua/sep/sepavt/kravchenko2o_lu.php?utm_source=chatgpt.com" TargetMode="Externa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hyperlink" Target="https://ird.gov.ua/sep/sepavt/kravchenko2o_lu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hyperlink" Target="https://economyandsociety.in.ua/index.php/journal/article/download/1153/1111" TargetMode="Externa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hyperlink" Target="https://confmanagement-proc.kpi.ua/article/view/271708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hyperlink" Target="https://doi.org/10.32782/2524-0072/2023-47-50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BF4EC0-C35A-4479-A1C4-8C84F8344F2C}" type="doc">
      <dgm:prSet loTypeId="urn:microsoft.com/office/officeart/2005/8/layout/radial5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uk-UA"/>
        </a:p>
      </dgm:t>
    </dgm:pt>
    <dgm:pt modelId="{03572B00-2BA1-43E5-97D8-D625B053D99B}">
      <dgm:prSet phldrT="[Текст]" custT="1"/>
      <dgm:spPr>
        <a:xfrm>
          <a:off x="2611014" y="1179959"/>
          <a:ext cx="840480" cy="84048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3175" cap="flat" cmpd="sng" algn="ctr">
          <a:solidFill>
            <a:scrgbClr r="0" g="0" b="0"/>
          </a:solidFill>
          <a:prstDash val="solid"/>
        </a:ln>
        <a:effectLst/>
      </dgm:spPr>
      <dgm:t>
        <a:bodyPr/>
        <a:lstStyle/>
        <a:p>
          <a:r>
            <a:rPr lang="uk-UA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Система оплати праці </a:t>
          </a:r>
        </a:p>
      </dgm:t>
    </dgm:pt>
    <dgm:pt modelId="{BC1C53E0-4CE7-4CF9-ACCA-7AEE237DEDB8}" type="parTrans" cxnId="{A64841EA-041A-4C63-BDB7-2CDBC49F0927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B2957903-EC7E-40F1-8F19-0F0B3F40FBBB}" type="sibTrans" cxnId="{A64841EA-041A-4C63-BDB7-2CDBC49F0927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ECB34F1D-2D09-492B-97FE-046F41C145B3}">
      <dgm:prSet phldrT="[Текст]" custT="1"/>
      <dgm:spPr>
        <a:xfrm>
          <a:off x="2167181" y="1598"/>
          <a:ext cx="1728146" cy="84048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3175" cap="flat" cmpd="sng" algn="ctr">
          <a:solidFill>
            <a:scrgbClr r="0" g="0" b="0"/>
          </a:solidFill>
          <a:prstDash val="solid"/>
        </a:ln>
        <a:effectLst/>
      </dgm:spPr>
      <dgm:t>
        <a:bodyPr/>
        <a:lstStyle/>
        <a:p>
          <a:r>
            <a:rPr lang="uk-UA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Стратегія розвитку підприємства</a:t>
          </a:r>
        </a:p>
      </dgm:t>
    </dgm:pt>
    <dgm:pt modelId="{491F7E96-1BFD-424B-A39C-0B5F567D5908}" type="parTrans" cxnId="{E458C994-F4B7-4D14-B385-D3198F6FC821}">
      <dgm:prSet custT="1"/>
      <dgm:spPr>
        <a:xfrm rot="16200000">
          <a:off x="2941716" y="873205"/>
          <a:ext cx="179076" cy="285763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 w="3175">
          <a:noFill/>
        </a:ln>
        <a:effectLst/>
      </dgm:spPr>
      <dgm:t>
        <a:bodyPr/>
        <a:lstStyle/>
        <a:p>
          <a:endParaRPr lang="uk-UA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A6E29A03-0A32-4B15-944F-A98ECB88F367}" type="sibTrans" cxnId="{E458C994-F4B7-4D14-B385-D3198F6FC821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71338495-053D-46BE-82EE-144B0FBE502A}">
      <dgm:prSet custT="1"/>
      <dgm:spPr>
        <a:xfrm>
          <a:off x="3944790" y="1164715"/>
          <a:ext cx="1657419" cy="84048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3175" cap="flat" cmpd="sng" algn="ctr">
          <a:solidFill>
            <a:scrgbClr r="0" g="0" b="0"/>
          </a:solidFill>
          <a:prstDash val="solid"/>
        </a:ln>
        <a:effectLst/>
      </dgm:spPr>
      <dgm:t>
        <a:bodyPr/>
        <a:lstStyle/>
        <a:p>
          <a:r>
            <a:rPr lang="uk-UA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Система мотивації та оцінювання персоналу</a:t>
          </a:r>
        </a:p>
      </dgm:t>
    </dgm:pt>
    <dgm:pt modelId="{A2359346-D38C-4C12-900D-45756AF767B6}" type="parTrans" cxnId="{4B0C7EF0-6D0C-4654-A4B8-9D26A927F192}">
      <dgm:prSet/>
      <dgm:spPr>
        <a:xfrm rot="21569922">
          <a:off x="3560029" y="1451547"/>
          <a:ext cx="261530" cy="285763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 w="3175">
          <a:noFill/>
        </a:ln>
        <a:effectLst/>
      </dgm:spPr>
      <dgm:t>
        <a:bodyPr/>
        <a:lstStyle/>
        <a:p>
          <a:endParaRPr lang="uk-UA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0EF5FB96-2C1B-478E-A015-41236EAA2448}" type="sibTrans" cxnId="{4B0C7EF0-6D0C-4654-A4B8-9D26A927F192}">
      <dgm:prSet/>
      <dgm:spPr/>
      <dgm:t>
        <a:bodyPr/>
        <a:lstStyle/>
        <a:p>
          <a:endParaRPr lang="uk-UA"/>
        </a:p>
      </dgm:t>
    </dgm:pt>
    <dgm:pt modelId="{36E36174-DDB6-4B0E-8D2A-5A3E56795895}">
      <dgm:prSet custT="1"/>
      <dgm:spPr>
        <a:xfrm>
          <a:off x="2054388" y="2358320"/>
          <a:ext cx="1953731" cy="84048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3175" cap="flat" cmpd="sng" algn="ctr">
          <a:solidFill>
            <a:scrgbClr r="0" g="0" b="0"/>
          </a:solidFill>
          <a:prstDash val="solid"/>
        </a:ln>
        <a:effectLst/>
      </dgm:spPr>
      <dgm:t>
        <a:bodyPr/>
        <a:lstStyle/>
        <a:p>
          <a:r>
            <a:rPr lang="uk-UA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Фінансова політика</a:t>
          </a:r>
        </a:p>
      </dgm:t>
    </dgm:pt>
    <dgm:pt modelId="{260A9C8F-2494-4F68-8DC4-0F86F21ADCBD}" type="parTrans" cxnId="{6872F983-A6F0-42BA-8E51-3670FE743E62}">
      <dgm:prSet/>
      <dgm:spPr>
        <a:xfrm rot="5400000">
          <a:off x="2941716" y="2041430"/>
          <a:ext cx="179076" cy="285763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 w="3175">
          <a:noFill/>
        </a:ln>
        <a:effectLst/>
      </dgm:spPr>
      <dgm:t>
        <a:bodyPr/>
        <a:lstStyle/>
        <a:p>
          <a:endParaRPr lang="uk-UA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65CE2557-087C-4E3B-990C-4D3DF5B1CE78}" type="sibTrans" cxnId="{6872F983-A6F0-42BA-8E51-3670FE743E62}">
      <dgm:prSet/>
      <dgm:spPr/>
      <dgm:t>
        <a:bodyPr/>
        <a:lstStyle/>
        <a:p>
          <a:endParaRPr lang="uk-UA"/>
        </a:p>
      </dgm:t>
    </dgm:pt>
    <dgm:pt modelId="{9916C620-2B70-44EF-84B5-B52F0572291F}">
      <dgm:prSet custT="1"/>
      <dgm:spPr>
        <a:xfrm>
          <a:off x="509035" y="1149479"/>
          <a:ext cx="1681877" cy="84048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3175" cap="flat" cmpd="sng" algn="ctr">
          <a:solidFill>
            <a:scrgbClr r="0" g="0" b="0"/>
          </a:solidFill>
          <a:prstDash val="solid"/>
        </a:ln>
        <a:effectLst/>
      </dgm:spPr>
      <dgm:t>
        <a:bodyPr/>
        <a:lstStyle/>
        <a:p>
          <a:r>
            <a:rPr lang="uk-UA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Соціальна політика підприємства</a:t>
          </a:r>
        </a:p>
      </dgm:t>
    </dgm:pt>
    <dgm:pt modelId="{9D63DD7B-36C1-4DBB-8B3D-599005C30132}" type="parTrans" cxnId="{7186E7B6-02E9-48ED-B8B9-CDD67A1E45CA}">
      <dgm:prSet/>
      <dgm:spPr>
        <a:xfrm rot="10862316">
          <a:off x="2295522" y="1446001"/>
          <a:ext cx="223019" cy="285763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 w="3175">
          <a:noFill/>
        </a:ln>
        <a:effectLst/>
      </dgm:spPr>
      <dgm:t>
        <a:bodyPr/>
        <a:lstStyle/>
        <a:p>
          <a:endParaRPr lang="uk-UA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2808BA37-46D5-4613-81AE-61476333B540}" type="sibTrans" cxnId="{7186E7B6-02E9-48ED-B8B9-CDD67A1E45CA}">
      <dgm:prSet/>
      <dgm:spPr/>
      <dgm:t>
        <a:bodyPr/>
        <a:lstStyle/>
        <a:p>
          <a:endParaRPr lang="uk-UA"/>
        </a:p>
      </dgm:t>
    </dgm:pt>
    <dgm:pt modelId="{7C13FC11-92E4-4268-9636-8C5FACECCD92}" type="pres">
      <dgm:prSet presAssocID="{A9BF4EC0-C35A-4479-A1C4-8C84F8344F2C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4B3B1D96-DDA2-47A9-A920-715A8F04DA05}" type="pres">
      <dgm:prSet presAssocID="{03572B00-2BA1-43E5-97D8-D625B053D99B}" presName="centerShape" presStyleLbl="node0" presStyleIdx="0" presStyleCnt="1"/>
      <dgm:spPr>
        <a:prstGeom prst="ellipse">
          <a:avLst/>
        </a:prstGeom>
      </dgm:spPr>
    </dgm:pt>
    <dgm:pt modelId="{95B323E1-6386-4C9D-8B2A-19AE31431D05}" type="pres">
      <dgm:prSet presAssocID="{491F7E96-1BFD-424B-A39C-0B5F567D5908}" presName="parTrans" presStyleLbl="sibTrans2D1" presStyleIdx="0" presStyleCnt="4"/>
      <dgm:spPr>
        <a:prstGeom prst="rightArrow">
          <a:avLst>
            <a:gd name="adj1" fmla="val 60000"/>
            <a:gd name="adj2" fmla="val 50000"/>
          </a:avLst>
        </a:prstGeom>
      </dgm:spPr>
    </dgm:pt>
    <dgm:pt modelId="{D1A3B0F2-7D14-469A-8393-802E9D030939}" type="pres">
      <dgm:prSet presAssocID="{491F7E96-1BFD-424B-A39C-0B5F567D5908}" presName="connectorText" presStyleLbl="sibTrans2D1" presStyleIdx="0" presStyleCnt="4"/>
      <dgm:spPr/>
    </dgm:pt>
    <dgm:pt modelId="{AA09E0EE-C342-4EF3-B983-D4B900FDB907}" type="pres">
      <dgm:prSet presAssocID="{ECB34F1D-2D09-492B-97FE-046F41C145B3}" presName="node" presStyleLbl="node1" presStyleIdx="0" presStyleCnt="4" custScaleX="205614">
        <dgm:presLayoutVars>
          <dgm:bulletEnabled val="1"/>
        </dgm:presLayoutVars>
      </dgm:prSet>
      <dgm:spPr>
        <a:prstGeom prst="ellipse">
          <a:avLst/>
        </a:prstGeom>
      </dgm:spPr>
    </dgm:pt>
    <dgm:pt modelId="{5C3FCB28-29CB-43A7-A096-ADBB84D31934}" type="pres">
      <dgm:prSet presAssocID="{A2359346-D38C-4C12-900D-45756AF767B6}" presName="parTrans" presStyleLbl="sibTrans2D1" presStyleIdx="1" presStyleCnt="4"/>
      <dgm:spPr>
        <a:prstGeom prst="rightArrow">
          <a:avLst>
            <a:gd name="adj1" fmla="val 60000"/>
            <a:gd name="adj2" fmla="val 50000"/>
          </a:avLst>
        </a:prstGeom>
      </dgm:spPr>
    </dgm:pt>
    <dgm:pt modelId="{F66374F8-5751-4E10-AAE5-B3CC28008EF7}" type="pres">
      <dgm:prSet presAssocID="{A2359346-D38C-4C12-900D-45756AF767B6}" presName="connectorText" presStyleLbl="sibTrans2D1" presStyleIdx="1" presStyleCnt="4"/>
      <dgm:spPr/>
    </dgm:pt>
    <dgm:pt modelId="{2F919172-78C8-4802-9FE0-7B0435B9F005}" type="pres">
      <dgm:prSet presAssocID="{71338495-053D-46BE-82EE-144B0FBE502A}" presName="node" presStyleLbl="node1" presStyleIdx="1" presStyleCnt="4" custScaleX="197199" custRadScaleRad="147859" custRadScaleInc="-1114">
        <dgm:presLayoutVars>
          <dgm:bulletEnabled val="1"/>
        </dgm:presLayoutVars>
      </dgm:prSet>
      <dgm:spPr>
        <a:prstGeom prst="ellipse">
          <a:avLst/>
        </a:prstGeom>
      </dgm:spPr>
    </dgm:pt>
    <dgm:pt modelId="{C1AC3502-6395-46D5-AE8D-9D6EC220E1C1}" type="pres">
      <dgm:prSet presAssocID="{260A9C8F-2494-4F68-8DC4-0F86F21ADCBD}" presName="parTrans" presStyleLbl="sibTrans2D1" presStyleIdx="2" presStyleCnt="4"/>
      <dgm:spPr>
        <a:prstGeom prst="rightArrow">
          <a:avLst>
            <a:gd name="adj1" fmla="val 60000"/>
            <a:gd name="adj2" fmla="val 50000"/>
          </a:avLst>
        </a:prstGeom>
      </dgm:spPr>
    </dgm:pt>
    <dgm:pt modelId="{E46EE38F-9CC0-41F9-9B1F-92978CD16535}" type="pres">
      <dgm:prSet presAssocID="{260A9C8F-2494-4F68-8DC4-0F86F21ADCBD}" presName="connectorText" presStyleLbl="sibTrans2D1" presStyleIdx="2" presStyleCnt="4"/>
      <dgm:spPr/>
    </dgm:pt>
    <dgm:pt modelId="{9588A164-526B-4FDC-8199-440C3C96110F}" type="pres">
      <dgm:prSet presAssocID="{36E36174-DDB6-4B0E-8D2A-5A3E56795895}" presName="node" presStyleLbl="node1" presStyleIdx="2" presStyleCnt="4" custScaleX="232454">
        <dgm:presLayoutVars>
          <dgm:bulletEnabled val="1"/>
        </dgm:presLayoutVars>
      </dgm:prSet>
      <dgm:spPr>
        <a:prstGeom prst="ellipse">
          <a:avLst/>
        </a:prstGeom>
      </dgm:spPr>
    </dgm:pt>
    <dgm:pt modelId="{8F03ADF2-2F41-4B9F-B20E-5688946B7699}" type="pres">
      <dgm:prSet presAssocID="{9D63DD7B-36C1-4DBB-8B3D-599005C30132}" presName="parTrans" presStyleLbl="sibTrans2D1" presStyleIdx="3" presStyleCnt="4"/>
      <dgm:spPr>
        <a:prstGeom prst="rightArrow">
          <a:avLst>
            <a:gd name="adj1" fmla="val 60000"/>
            <a:gd name="adj2" fmla="val 50000"/>
          </a:avLst>
        </a:prstGeom>
      </dgm:spPr>
    </dgm:pt>
    <dgm:pt modelId="{A27FBB1D-CA41-4A17-85DF-77C8FDD54EB2}" type="pres">
      <dgm:prSet presAssocID="{9D63DD7B-36C1-4DBB-8B3D-599005C30132}" presName="connectorText" presStyleLbl="sibTrans2D1" presStyleIdx="3" presStyleCnt="4"/>
      <dgm:spPr/>
    </dgm:pt>
    <dgm:pt modelId="{BB38C188-ED75-4079-B875-3346DEC2F023}" type="pres">
      <dgm:prSet presAssocID="{9916C620-2B70-44EF-84B5-B52F0572291F}" presName="node" presStyleLbl="node1" presStyleIdx="3" presStyleCnt="4" custScaleX="200109" custRadScaleRad="142703" custRadScaleInc="2308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CF2DE000-0EF5-45BE-ACC4-7077C2DEA0E2}" type="presOf" srcId="{36E36174-DDB6-4B0E-8D2A-5A3E56795895}" destId="{9588A164-526B-4FDC-8199-440C3C96110F}" srcOrd="0" destOrd="0" presId="urn:microsoft.com/office/officeart/2005/8/layout/radial5"/>
    <dgm:cxn modelId="{DE841921-E388-4BF2-BA05-97725642628F}" type="presOf" srcId="{A2359346-D38C-4C12-900D-45756AF767B6}" destId="{F66374F8-5751-4E10-AAE5-B3CC28008EF7}" srcOrd="1" destOrd="0" presId="urn:microsoft.com/office/officeart/2005/8/layout/radial5"/>
    <dgm:cxn modelId="{E0B32534-F492-4D12-8271-15CF67125DFA}" type="presOf" srcId="{71338495-053D-46BE-82EE-144B0FBE502A}" destId="{2F919172-78C8-4802-9FE0-7B0435B9F005}" srcOrd="0" destOrd="0" presId="urn:microsoft.com/office/officeart/2005/8/layout/radial5"/>
    <dgm:cxn modelId="{A894C246-9540-4B18-99FA-7896FE948DA1}" type="presOf" srcId="{260A9C8F-2494-4F68-8DC4-0F86F21ADCBD}" destId="{E46EE38F-9CC0-41F9-9B1F-92978CD16535}" srcOrd="1" destOrd="0" presId="urn:microsoft.com/office/officeart/2005/8/layout/radial5"/>
    <dgm:cxn modelId="{2FDA7260-C725-4473-A6E2-0DE1B605C29C}" type="presOf" srcId="{9916C620-2B70-44EF-84B5-B52F0572291F}" destId="{BB38C188-ED75-4079-B875-3346DEC2F023}" srcOrd="0" destOrd="0" presId="urn:microsoft.com/office/officeart/2005/8/layout/radial5"/>
    <dgm:cxn modelId="{8B022B63-C08B-4285-B9BE-6F7E676591D7}" type="presOf" srcId="{491F7E96-1BFD-424B-A39C-0B5F567D5908}" destId="{95B323E1-6386-4C9D-8B2A-19AE31431D05}" srcOrd="0" destOrd="0" presId="urn:microsoft.com/office/officeart/2005/8/layout/radial5"/>
    <dgm:cxn modelId="{DFB34567-F6C8-4ECA-BF65-2C2ABEF5F5AB}" type="presOf" srcId="{03572B00-2BA1-43E5-97D8-D625B053D99B}" destId="{4B3B1D96-DDA2-47A9-A920-715A8F04DA05}" srcOrd="0" destOrd="0" presId="urn:microsoft.com/office/officeart/2005/8/layout/radial5"/>
    <dgm:cxn modelId="{993E466C-0FFB-4E14-8EFD-6105BE16249C}" type="presOf" srcId="{9D63DD7B-36C1-4DBB-8B3D-599005C30132}" destId="{8F03ADF2-2F41-4B9F-B20E-5688946B7699}" srcOrd="0" destOrd="0" presId="urn:microsoft.com/office/officeart/2005/8/layout/radial5"/>
    <dgm:cxn modelId="{FB76E575-BA71-4D38-9389-F0E5F0F163E7}" type="presOf" srcId="{491F7E96-1BFD-424B-A39C-0B5F567D5908}" destId="{D1A3B0F2-7D14-469A-8393-802E9D030939}" srcOrd="1" destOrd="0" presId="urn:microsoft.com/office/officeart/2005/8/layout/radial5"/>
    <dgm:cxn modelId="{B8B6C677-E08A-4733-9433-80AAE5EE9F70}" type="presOf" srcId="{ECB34F1D-2D09-492B-97FE-046F41C145B3}" destId="{AA09E0EE-C342-4EF3-B983-D4B900FDB907}" srcOrd="0" destOrd="0" presId="urn:microsoft.com/office/officeart/2005/8/layout/radial5"/>
    <dgm:cxn modelId="{6872F983-A6F0-42BA-8E51-3670FE743E62}" srcId="{03572B00-2BA1-43E5-97D8-D625B053D99B}" destId="{36E36174-DDB6-4B0E-8D2A-5A3E56795895}" srcOrd="2" destOrd="0" parTransId="{260A9C8F-2494-4F68-8DC4-0F86F21ADCBD}" sibTransId="{65CE2557-087C-4E3B-990C-4D3DF5B1CE78}"/>
    <dgm:cxn modelId="{29686994-2957-4B15-AA24-D23D7A6F988E}" type="presOf" srcId="{A9BF4EC0-C35A-4479-A1C4-8C84F8344F2C}" destId="{7C13FC11-92E4-4268-9636-8C5FACECCD92}" srcOrd="0" destOrd="0" presId="urn:microsoft.com/office/officeart/2005/8/layout/radial5"/>
    <dgm:cxn modelId="{E458C994-F4B7-4D14-B385-D3198F6FC821}" srcId="{03572B00-2BA1-43E5-97D8-D625B053D99B}" destId="{ECB34F1D-2D09-492B-97FE-046F41C145B3}" srcOrd="0" destOrd="0" parTransId="{491F7E96-1BFD-424B-A39C-0B5F567D5908}" sibTransId="{A6E29A03-0A32-4B15-944F-A98ECB88F367}"/>
    <dgm:cxn modelId="{744F07AA-B6FF-41EF-9120-AC5D96E73CA5}" type="presOf" srcId="{9D63DD7B-36C1-4DBB-8B3D-599005C30132}" destId="{A27FBB1D-CA41-4A17-85DF-77C8FDD54EB2}" srcOrd="1" destOrd="0" presId="urn:microsoft.com/office/officeart/2005/8/layout/radial5"/>
    <dgm:cxn modelId="{7186E7B6-02E9-48ED-B8B9-CDD67A1E45CA}" srcId="{03572B00-2BA1-43E5-97D8-D625B053D99B}" destId="{9916C620-2B70-44EF-84B5-B52F0572291F}" srcOrd="3" destOrd="0" parTransId="{9D63DD7B-36C1-4DBB-8B3D-599005C30132}" sibTransId="{2808BA37-46D5-4613-81AE-61476333B540}"/>
    <dgm:cxn modelId="{12E2A0E3-BDE6-4982-BC07-AED5A18CFD9B}" type="presOf" srcId="{A2359346-D38C-4C12-900D-45756AF767B6}" destId="{5C3FCB28-29CB-43A7-A096-ADBB84D31934}" srcOrd="0" destOrd="0" presId="urn:microsoft.com/office/officeart/2005/8/layout/radial5"/>
    <dgm:cxn modelId="{A64841EA-041A-4C63-BDB7-2CDBC49F0927}" srcId="{A9BF4EC0-C35A-4479-A1C4-8C84F8344F2C}" destId="{03572B00-2BA1-43E5-97D8-D625B053D99B}" srcOrd="0" destOrd="0" parTransId="{BC1C53E0-4CE7-4CF9-ACCA-7AEE237DEDB8}" sibTransId="{B2957903-EC7E-40F1-8F19-0F0B3F40FBBB}"/>
    <dgm:cxn modelId="{4B0C7EF0-6D0C-4654-A4B8-9D26A927F192}" srcId="{03572B00-2BA1-43E5-97D8-D625B053D99B}" destId="{71338495-053D-46BE-82EE-144B0FBE502A}" srcOrd="1" destOrd="0" parTransId="{A2359346-D38C-4C12-900D-45756AF767B6}" sibTransId="{0EF5FB96-2C1B-478E-A015-41236EAA2448}"/>
    <dgm:cxn modelId="{718675F6-A4E9-46AE-AF31-8F5453D41BF2}" type="presOf" srcId="{260A9C8F-2494-4F68-8DC4-0F86F21ADCBD}" destId="{C1AC3502-6395-46D5-AE8D-9D6EC220E1C1}" srcOrd="0" destOrd="0" presId="urn:microsoft.com/office/officeart/2005/8/layout/radial5"/>
    <dgm:cxn modelId="{3BF45085-C0FB-41B0-BCB0-1F0048A68169}" type="presParOf" srcId="{7C13FC11-92E4-4268-9636-8C5FACECCD92}" destId="{4B3B1D96-DDA2-47A9-A920-715A8F04DA05}" srcOrd="0" destOrd="0" presId="urn:microsoft.com/office/officeart/2005/8/layout/radial5"/>
    <dgm:cxn modelId="{C830DB52-9F36-4315-BF20-0C2DEF39EA59}" type="presParOf" srcId="{7C13FC11-92E4-4268-9636-8C5FACECCD92}" destId="{95B323E1-6386-4C9D-8B2A-19AE31431D05}" srcOrd="1" destOrd="0" presId="urn:microsoft.com/office/officeart/2005/8/layout/radial5"/>
    <dgm:cxn modelId="{04593B25-23B6-4F04-B71F-420CFFC05039}" type="presParOf" srcId="{95B323E1-6386-4C9D-8B2A-19AE31431D05}" destId="{D1A3B0F2-7D14-469A-8393-802E9D030939}" srcOrd="0" destOrd="0" presId="urn:microsoft.com/office/officeart/2005/8/layout/radial5"/>
    <dgm:cxn modelId="{B667BA0A-3F37-4E62-85E4-5238E401862B}" type="presParOf" srcId="{7C13FC11-92E4-4268-9636-8C5FACECCD92}" destId="{AA09E0EE-C342-4EF3-B983-D4B900FDB907}" srcOrd="2" destOrd="0" presId="urn:microsoft.com/office/officeart/2005/8/layout/radial5"/>
    <dgm:cxn modelId="{077F4208-BF99-4F04-8924-480EB4B726DB}" type="presParOf" srcId="{7C13FC11-92E4-4268-9636-8C5FACECCD92}" destId="{5C3FCB28-29CB-43A7-A096-ADBB84D31934}" srcOrd="3" destOrd="0" presId="urn:microsoft.com/office/officeart/2005/8/layout/radial5"/>
    <dgm:cxn modelId="{C726943D-2B0C-4124-A00C-649C0791BE5A}" type="presParOf" srcId="{5C3FCB28-29CB-43A7-A096-ADBB84D31934}" destId="{F66374F8-5751-4E10-AAE5-B3CC28008EF7}" srcOrd="0" destOrd="0" presId="urn:microsoft.com/office/officeart/2005/8/layout/radial5"/>
    <dgm:cxn modelId="{B29CF2D2-1AE1-4C82-A9E9-D51CB45DD0C2}" type="presParOf" srcId="{7C13FC11-92E4-4268-9636-8C5FACECCD92}" destId="{2F919172-78C8-4802-9FE0-7B0435B9F005}" srcOrd="4" destOrd="0" presId="urn:microsoft.com/office/officeart/2005/8/layout/radial5"/>
    <dgm:cxn modelId="{D1C489D4-D7EF-439E-956A-FCC71F605E38}" type="presParOf" srcId="{7C13FC11-92E4-4268-9636-8C5FACECCD92}" destId="{C1AC3502-6395-46D5-AE8D-9D6EC220E1C1}" srcOrd="5" destOrd="0" presId="urn:microsoft.com/office/officeart/2005/8/layout/radial5"/>
    <dgm:cxn modelId="{361CD706-118A-446B-95FA-2518A0EB2720}" type="presParOf" srcId="{C1AC3502-6395-46D5-AE8D-9D6EC220E1C1}" destId="{E46EE38F-9CC0-41F9-9B1F-92978CD16535}" srcOrd="0" destOrd="0" presId="urn:microsoft.com/office/officeart/2005/8/layout/radial5"/>
    <dgm:cxn modelId="{6D8A075B-293D-451E-96AD-77D692ACB2D8}" type="presParOf" srcId="{7C13FC11-92E4-4268-9636-8C5FACECCD92}" destId="{9588A164-526B-4FDC-8199-440C3C96110F}" srcOrd="6" destOrd="0" presId="urn:microsoft.com/office/officeart/2005/8/layout/radial5"/>
    <dgm:cxn modelId="{C18643EE-862B-4846-8B53-9DD21A5C1D76}" type="presParOf" srcId="{7C13FC11-92E4-4268-9636-8C5FACECCD92}" destId="{8F03ADF2-2F41-4B9F-B20E-5688946B7699}" srcOrd="7" destOrd="0" presId="urn:microsoft.com/office/officeart/2005/8/layout/radial5"/>
    <dgm:cxn modelId="{3201DD1C-D333-49C7-AF54-337D4F84531A}" type="presParOf" srcId="{8F03ADF2-2F41-4B9F-B20E-5688946B7699}" destId="{A27FBB1D-CA41-4A17-85DF-77C8FDD54EB2}" srcOrd="0" destOrd="0" presId="urn:microsoft.com/office/officeart/2005/8/layout/radial5"/>
    <dgm:cxn modelId="{05C48F6F-2E08-4D57-BE23-F1823E7F47C8}" type="presParOf" srcId="{7C13FC11-92E4-4268-9636-8C5FACECCD92}" destId="{BB38C188-ED75-4079-B875-3346DEC2F023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3B1D96-DDA2-47A9-A920-715A8F04DA05}">
      <dsp:nvSpPr>
        <dsp:cNvPr id="0" name=""/>
        <dsp:cNvSpPr/>
      </dsp:nvSpPr>
      <dsp:spPr>
        <a:xfrm>
          <a:off x="2611014" y="1179959"/>
          <a:ext cx="840480" cy="840480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Система оплати праці </a:t>
          </a:r>
        </a:p>
      </dsp:txBody>
      <dsp:txXfrm>
        <a:off x="2734099" y="1303044"/>
        <a:ext cx="594310" cy="594310"/>
      </dsp:txXfrm>
    </dsp:sp>
    <dsp:sp modelId="{95B323E1-6386-4C9D-8B2A-19AE31431D05}">
      <dsp:nvSpPr>
        <dsp:cNvPr id="0" name=""/>
        <dsp:cNvSpPr/>
      </dsp:nvSpPr>
      <dsp:spPr>
        <a:xfrm rot="16200000">
          <a:off x="2941716" y="873205"/>
          <a:ext cx="179076" cy="285763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 w="3175"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uk-UA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2968578" y="957220"/>
        <a:ext cx="125353" cy="171457"/>
      </dsp:txXfrm>
    </dsp:sp>
    <dsp:sp modelId="{AA09E0EE-C342-4EF3-B983-D4B900FDB907}">
      <dsp:nvSpPr>
        <dsp:cNvPr id="0" name=""/>
        <dsp:cNvSpPr/>
      </dsp:nvSpPr>
      <dsp:spPr>
        <a:xfrm>
          <a:off x="2167181" y="1598"/>
          <a:ext cx="1728146" cy="840480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Стратегія розвитку підприємства</a:t>
          </a:r>
        </a:p>
      </dsp:txBody>
      <dsp:txXfrm>
        <a:off x="2420262" y="124683"/>
        <a:ext cx="1221984" cy="594310"/>
      </dsp:txXfrm>
    </dsp:sp>
    <dsp:sp modelId="{5C3FCB28-29CB-43A7-A096-ADBB84D31934}">
      <dsp:nvSpPr>
        <dsp:cNvPr id="0" name=""/>
        <dsp:cNvSpPr/>
      </dsp:nvSpPr>
      <dsp:spPr>
        <a:xfrm rot="21569922">
          <a:off x="3560029" y="1451547"/>
          <a:ext cx="261530" cy="285763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 w="3175"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uk-UA" sz="1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3560031" y="1509043"/>
        <a:ext cx="183071" cy="171457"/>
      </dsp:txXfrm>
    </dsp:sp>
    <dsp:sp modelId="{2F919172-78C8-4802-9FE0-7B0435B9F005}">
      <dsp:nvSpPr>
        <dsp:cNvPr id="0" name=""/>
        <dsp:cNvSpPr/>
      </dsp:nvSpPr>
      <dsp:spPr>
        <a:xfrm>
          <a:off x="3944790" y="1164715"/>
          <a:ext cx="1657419" cy="840480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Система мотивації та оцінювання персоналу</a:t>
          </a:r>
        </a:p>
      </dsp:txBody>
      <dsp:txXfrm>
        <a:off x="4187513" y="1287800"/>
        <a:ext cx="1171973" cy="594310"/>
      </dsp:txXfrm>
    </dsp:sp>
    <dsp:sp modelId="{C1AC3502-6395-46D5-AE8D-9D6EC220E1C1}">
      <dsp:nvSpPr>
        <dsp:cNvPr id="0" name=""/>
        <dsp:cNvSpPr/>
      </dsp:nvSpPr>
      <dsp:spPr>
        <a:xfrm rot="5400000">
          <a:off x="2941716" y="2041430"/>
          <a:ext cx="179076" cy="285763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 w="3175"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uk-UA" sz="1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2968578" y="2071722"/>
        <a:ext cx="125353" cy="171457"/>
      </dsp:txXfrm>
    </dsp:sp>
    <dsp:sp modelId="{9588A164-526B-4FDC-8199-440C3C96110F}">
      <dsp:nvSpPr>
        <dsp:cNvPr id="0" name=""/>
        <dsp:cNvSpPr/>
      </dsp:nvSpPr>
      <dsp:spPr>
        <a:xfrm>
          <a:off x="2054388" y="2358320"/>
          <a:ext cx="1953731" cy="840480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Фінансова політика</a:t>
          </a:r>
        </a:p>
      </dsp:txBody>
      <dsp:txXfrm>
        <a:off x="2340505" y="2481405"/>
        <a:ext cx="1381497" cy="594310"/>
      </dsp:txXfrm>
    </dsp:sp>
    <dsp:sp modelId="{8F03ADF2-2F41-4B9F-B20E-5688946B7699}">
      <dsp:nvSpPr>
        <dsp:cNvPr id="0" name=""/>
        <dsp:cNvSpPr/>
      </dsp:nvSpPr>
      <dsp:spPr>
        <a:xfrm rot="10862316">
          <a:off x="2295522" y="1446001"/>
          <a:ext cx="223019" cy="285763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 w="3175"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uk-UA" sz="1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 rot="10800000">
        <a:off x="2362423" y="1503760"/>
        <a:ext cx="156113" cy="171457"/>
      </dsp:txXfrm>
    </dsp:sp>
    <dsp:sp modelId="{BB38C188-ED75-4079-B875-3346DEC2F023}">
      <dsp:nvSpPr>
        <dsp:cNvPr id="0" name=""/>
        <dsp:cNvSpPr/>
      </dsp:nvSpPr>
      <dsp:spPr>
        <a:xfrm>
          <a:off x="509035" y="1149479"/>
          <a:ext cx="1681877" cy="840480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Соціальна політика підприємства</a:t>
          </a:r>
        </a:p>
      </dsp:txBody>
      <dsp:txXfrm>
        <a:off x="755340" y="1272564"/>
        <a:ext cx="1189267" cy="5943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HNEU</Company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Anna Tryhub</cp:lastModifiedBy>
  <cp:revision>2</cp:revision>
  <dcterms:created xsi:type="dcterms:W3CDTF">2025-12-09T20:58:00Z</dcterms:created>
  <dcterms:modified xsi:type="dcterms:W3CDTF">2025-12-09T20:58:00Z</dcterms:modified>
</cp:coreProperties>
</file>