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ED" w:rsidRDefault="003B6592" w:rsidP="003B6592">
      <w:pPr>
        <w:spacing w:after="0" w:line="360" w:lineRule="auto"/>
        <w:jc w:val="right"/>
      </w:pPr>
      <w:proofErr w:type="spellStart"/>
      <w:r>
        <w:t>Токарчук</w:t>
      </w:r>
      <w:proofErr w:type="spellEnd"/>
      <w:r>
        <w:t xml:space="preserve"> Володимир Володимирович,</w:t>
      </w:r>
    </w:p>
    <w:p w:rsidR="003B6592" w:rsidRDefault="000A691D" w:rsidP="003B6592">
      <w:pPr>
        <w:spacing w:after="0" w:line="360" w:lineRule="auto"/>
        <w:jc w:val="right"/>
      </w:pPr>
      <w:proofErr w:type="spellStart"/>
      <w:r>
        <w:t>к</w:t>
      </w:r>
      <w:r w:rsidR="003B6592">
        <w:t>.т.н</w:t>
      </w:r>
      <w:proofErr w:type="spellEnd"/>
      <w:r w:rsidR="003B6592">
        <w:t>., доцент</w:t>
      </w:r>
    </w:p>
    <w:p w:rsidR="003B6592" w:rsidRPr="00A31937" w:rsidRDefault="003B6592" w:rsidP="003B6592">
      <w:pPr>
        <w:spacing w:after="0" w:line="360" w:lineRule="auto"/>
        <w:jc w:val="right"/>
      </w:pPr>
      <w:r w:rsidRPr="00A31937">
        <w:t xml:space="preserve">ORCID: </w:t>
      </w:r>
      <w:hyperlink r:id="rId5" w:history="1">
        <w:r w:rsidRPr="00A31937">
          <w:rPr>
            <w:rStyle w:val="a3"/>
            <w:color w:val="auto"/>
            <w:u w:val="none"/>
          </w:rPr>
          <w:t>0000-0001-8620-954X</w:t>
        </w:r>
      </w:hyperlink>
    </w:p>
    <w:p w:rsidR="003B6592" w:rsidRDefault="003B6592" w:rsidP="003B6592">
      <w:pPr>
        <w:spacing w:after="0" w:line="360" w:lineRule="auto"/>
        <w:jc w:val="right"/>
      </w:pPr>
      <w:proofErr w:type="spellStart"/>
      <w:r>
        <w:t>Моренець</w:t>
      </w:r>
      <w:proofErr w:type="spellEnd"/>
      <w:r>
        <w:t xml:space="preserve"> Юлія</w:t>
      </w:r>
      <w:r w:rsidR="000A691D" w:rsidRPr="00A31937">
        <w:t xml:space="preserve"> </w:t>
      </w:r>
      <w:r w:rsidR="000A691D">
        <w:t>Сергіївна</w:t>
      </w:r>
    </w:p>
    <w:p w:rsidR="003B6592" w:rsidRDefault="003B6592" w:rsidP="003B6592">
      <w:pPr>
        <w:spacing w:after="0" w:line="360" w:lineRule="auto"/>
        <w:jc w:val="right"/>
      </w:pPr>
      <w:r>
        <w:t>магістрант</w:t>
      </w:r>
    </w:p>
    <w:p w:rsidR="00E35FD1" w:rsidRDefault="00E35FD1" w:rsidP="003B6592">
      <w:pPr>
        <w:spacing w:after="0" w:line="360" w:lineRule="auto"/>
        <w:jc w:val="right"/>
      </w:pPr>
      <w:r>
        <w:t>Національний технічний університет України</w:t>
      </w:r>
    </w:p>
    <w:p w:rsidR="00E35FD1" w:rsidRDefault="00E35FD1" w:rsidP="003B6592">
      <w:pPr>
        <w:spacing w:after="0" w:line="360" w:lineRule="auto"/>
        <w:jc w:val="right"/>
      </w:pPr>
      <w:r>
        <w:t>«Київський політехнічний інститут</w:t>
      </w:r>
    </w:p>
    <w:p w:rsidR="00E35FD1" w:rsidRDefault="00E35FD1" w:rsidP="003B6592">
      <w:pPr>
        <w:spacing w:after="0" w:line="360" w:lineRule="auto"/>
        <w:jc w:val="right"/>
      </w:pPr>
      <w:r>
        <w:t>імені Ігоря Сікорського», Київ, Україна</w:t>
      </w:r>
    </w:p>
    <w:p w:rsidR="003B6592" w:rsidRDefault="003B6592" w:rsidP="003B6592">
      <w:pPr>
        <w:spacing w:after="0" w:line="360" w:lineRule="auto"/>
      </w:pPr>
    </w:p>
    <w:p w:rsidR="003B6592" w:rsidRDefault="003B6592" w:rsidP="003B6592">
      <w:pPr>
        <w:spacing w:after="0" w:line="360" w:lineRule="auto"/>
      </w:pPr>
    </w:p>
    <w:p w:rsidR="003B6592" w:rsidRDefault="00A31937" w:rsidP="003B6592">
      <w:pPr>
        <w:spacing w:after="0" w:line="360" w:lineRule="auto"/>
        <w:jc w:val="center"/>
        <w:rPr>
          <w:b/>
        </w:rPr>
      </w:pPr>
      <w:r>
        <w:rPr>
          <w:b/>
        </w:rPr>
        <w:t>ДОЦІЛЬНІСТЬ ВИКОРИСТАННЯ БАЗАЛЬТОВИХ ПОРІД  ПРИ ВИПАЛІ ПОРТЛАНДЦЕМЕНТНОГО КЛІНКЕРУ</w:t>
      </w:r>
    </w:p>
    <w:p w:rsidR="00EC6B51" w:rsidRDefault="00EC6B51" w:rsidP="003B6592">
      <w:pPr>
        <w:spacing w:after="0" w:line="360" w:lineRule="auto"/>
        <w:jc w:val="center"/>
        <w:rPr>
          <w:b/>
        </w:rPr>
      </w:pPr>
    </w:p>
    <w:p w:rsidR="00EC6B51" w:rsidRDefault="00EC6B51" w:rsidP="00EC6B51">
      <w:pPr>
        <w:spacing w:after="0" w:line="360" w:lineRule="auto"/>
        <w:ind w:firstLine="708"/>
        <w:jc w:val="both"/>
      </w:pPr>
      <w:r>
        <w:t xml:space="preserve">При випалі </w:t>
      </w:r>
      <w:proofErr w:type="spellStart"/>
      <w:r>
        <w:t>портландцементного</w:t>
      </w:r>
      <w:proofErr w:type="spellEnd"/>
      <w:r>
        <w:t xml:space="preserve"> клінкеру важливу роль відіграє рідка фази, яка утворюється при високих температурах. Саме при появі рухливого розплаву в печі починає формуватися </w:t>
      </w:r>
      <w:proofErr w:type="spellStart"/>
      <w:r>
        <w:t>аліт</w:t>
      </w:r>
      <w:proofErr w:type="spellEnd"/>
      <w:r>
        <w:t xml:space="preserve"> – </w:t>
      </w:r>
      <w:proofErr w:type="spellStart"/>
      <w:r>
        <w:t>високоосновний</w:t>
      </w:r>
      <w:proofErr w:type="spellEnd"/>
      <w:r>
        <w:t xml:space="preserve"> силікат кальцію, якій є основним носієм марочної міцності </w:t>
      </w:r>
      <w:proofErr w:type="spellStart"/>
      <w:r>
        <w:t>цементів</w:t>
      </w:r>
      <w:proofErr w:type="spellEnd"/>
      <w:r>
        <w:t xml:space="preserve">. </w:t>
      </w:r>
    </w:p>
    <w:p w:rsidR="00EC6B51" w:rsidRDefault="00EC6B51" w:rsidP="00EC6B51">
      <w:pPr>
        <w:spacing w:after="0" w:line="360" w:lineRule="auto"/>
        <w:ind w:firstLine="708"/>
        <w:jc w:val="both"/>
      </w:pPr>
      <w:r>
        <w:t xml:space="preserve">Температура появи розплаву в обертовій печі складає 1300–1350 </w:t>
      </w:r>
      <w:r>
        <w:rPr>
          <w:vertAlign w:val="superscript"/>
        </w:rPr>
        <w:t>0</w:t>
      </w:r>
      <w:r>
        <w:t>С. Саме з цього моменту</w:t>
      </w:r>
      <w:r w:rsidR="00A61A27">
        <w:t>,</w:t>
      </w:r>
      <w:r>
        <w:t xml:space="preserve"> за рахунок реакцій між </w:t>
      </w:r>
      <w:proofErr w:type="spellStart"/>
      <w:r>
        <w:t>СаО</w:t>
      </w:r>
      <w:proofErr w:type="spellEnd"/>
      <w:r>
        <w:t xml:space="preserve"> і 2СаО•</w:t>
      </w:r>
      <w:proofErr w:type="spellStart"/>
      <w:r>
        <w:rPr>
          <w:lang w:val="en-US"/>
        </w:rPr>
        <w:t>SiO</w:t>
      </w:r>
      <w:proofErr w:type="spellEnd"/>
      <w:r w:rsidRPr="00E37372">
        <w:rPr>
          <w:vertAlign w:val="subscript"/>
        </w:rPr>
        <w:t>2</w:t>
      </w:r>
      <w:r w:rsidR="00A61A27">
        <w:t>,</w:t>
      </w:r>
      <w:r w:rsidRPr="00E37372">
        <w:rPr>
          <w:vertAlign w:val="subscript"/>
        </w:rPr>
        <w:t xml:space="preserve"> </w:t>
      </w:r>
      <w:r>
        <w:t>і починають утворюватися</w:t>
      </w:r>
      <w:r w:rsidR="00E37372">
        <w:t xml:space="preserve"> перші кристали 3СаО•</w:t>
      </w:r>
      <w:r>
        <w:rPr>
          <w:lang w:val="en-US"/>
        </w:rPr>
        <w:t>S</w:t>
      </w:r>
      <w:proofErr w:type="spellStart"/>
      <w:r w:rsidR="00E37372">
        <w:t>іО</w:t>
      </w:r>
      <w:r w:rsidR="00E37372">
        <w:rPr>
          <w:vertAlign w:val="subscript"/>
        </w:rPr>
        <w:t>2</w:t>
      </w:r>
      <w:proofErr w:type="spellEnd"/>
      <w:r w:rsidR="00E37372">
        <w:t xml:space="preserve">. На підставі цього можна зробити висновок, що використання матеріалів, які мають більш низку температуру плавлення, дозволить інтенсифікувати процес утворення мінералів </w:t>
      </w:r>
      <w:proofErr w:type="spellStart"/>
      <w:r w:rsidR="00E37372">
        <w:t>аліту</w:t>
      </w:r>
      <w:proofErr w:type="spellEnd"/>
      <w:r w:rsidR="00E37372">
        <w:t xml:space="preserve">. Єдиною вимогою до таких матеріалів, крім температури утворення рідкої фази, є відповідність їх хімічного складу для можливості використання в якості компоненту сировинної суміші для випалу </w:t>
      </w:r>
      <w:proofErr w:type="spellStart"/>
      <w:r w:rsidR="00E37372">
        <w:t>портландцементного</w:t>
      </w:r>
      <w:proofErr w:type="spellEnd"/>
      <w:r w:rsidR="00E37372">
        <w:t xml:space="preserve"> клінкеру.</w:t>
      </w:r>
    </w:p>
    <w:p w:rsidR="00E37372" w:rsidRDefault="00E37372" w:rsidP="00EC6B51">
      <w:pPr>
        <w:spacing w:after="0" w:line="360" w:lineRule="auto"/>
        <w:ind w:firstLine="708"/>
        <w:jc w:val="both"/>
      </w:pPr>
      <w:r>
        <w:t xml:space="preserve">Одним </w:t>
      </w:r>
      <w:r w:rsidR="00A61A27">
        <w:t>з таких матеріалів можуть бути</w:t>
      </w:r>
      <w:r>
        <w:t xml:space="preserve"> базальт</w:t>
      </w:r>
      <w:r w:rsidR="00A61A27">
        <w:t>ові породи</w:t>
      </w:r>
      <w:r>
        <w:t xml:space="preserve">. Це </w:t>
      </w:r>
      <w:r w:rsidR="00A61A27">
        <w:t>досить поширені породи</w:t>
      </w:r>
      <w:r>
        <w:t xml:space="preserve"> осно</w:t>
      </w:r>
      <w:r w:rsidR="00A61A27">
        <w:t>вного типу, які</w:t>
      </w:r>
      <w:r>
        <w:t xml:space="preserve"> утворилися </w:t>
      </w:r>
      <w:r w:rsidR="00A31937">
        <w:t xml:space="preserve"> з магми </w:t>
      </w:r>
      <w:r>
        <w:t>в результаті вулканічної діяльності.</w:t>
      </w:r>
      <w:r w:rsidR="00D32F3A">
        <w:t xml:space="preserve"> Слід відзначити, що такі породи мають досить низький показник втрат маси при прожарюванні (близько 2 мас.%).</w:t>
      </w:r>
    </w:p>
    <w:p w:rsidR="00E37372" w:rsidRDefault="008C7060" w:rsidP="00EC6B51">
      <w:pPr>
        <w:spacing w:after="0" w:line="360" w:lineRule="auto"/>
        <w:ind w:firstLine="708"/>
        <w:jc w:val="both"/>
      </w:pPr>
      <w:r>
        <w:lastRenderedPageBreak/>
        <w:t xml:space="preserve">Хімічний склад базальтових порід </w:t>
      </w:r>
      <w:r w:rsidR="0017127E">
        <w:t xml:space="preserve">[2] </w:t>
      </w:r>
      <w:r>
        <w:t>можна порівнювати з хімічним складом глин</w:t>
      </w:r>
      <w:r w:rsidR="00EF0C9C">
        <w:t xml:space="preserve"> [</w:t>
      </w:r>
      <w:r w:rsidR="0017127E">
        <w:t>2</w:t>
      </w:r>
      <w:r w:rsidR="00EF0C9C">
        <w:t>]</w:t>
      </w:r>
      <w:r>
        <w:t>, які використовуються при виробницт</w:t>
      </w:r>
      <w:r w:rsidR="00E35FD1">
        <w:t xml:space="preserve">ві </w:t>
      </w:r>
      <w:proofErr w:type="spellStart"/>
      <w:r w:rsidR="00E35FD1">
        <w:t>портландцементного</w:t>
      </w:r>
      <w:proofErr w:type="spellEnd"/>
      <w:r w:rsidR="00E35FD1">
        <w:t xml:space="preserve"> клінкера</w:t>
      </w:r>
      <w:r>
        <w:t>.</w:t>
      </w:r>
      <w:r w:rsidR="00A61A27">
        <w:t xml:space="preserve"> </w:t>
      </w:r>
    </w:p>
    <w:p w:rsidR="008C7060" w:rsidRPr="00DD60C6" w:rsidRDefault="00E35FD1" w:rsidP="008C7060">
      <w:pPr>
        <w:spacing w:after="0" w:line="360" w:lineRule="auto"/>
        <w:jc w:val="center"/>
        <w:rPr>
          <w:b/>
          <w:sz w:val="24"/>
        </w:rPr>
      </w:pPr>
      <w:r w:rsidRPr="00DD60C6">
        <w:rPr>
          <w:b/>
          <w:sz w:val="24"/>
        </w:rPr>
        <w:t>Середній хімічний склад глин і базальтових порід</w:t>
      </w:r>
    </w:p>
    <w:tbl>
      <w:tblPr>
        <w:tblStyle w:val="a4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A61A27" w:rsidRPr="00A61A27" w:rsidTr="00B15547">
        <w:tc>
          <w:tcPr>
            <w:tcW w:w="1970" w:type="dxa"/>
            <w:vMerge w:val="restart"/>
          </w:tcPr>
          <w:p w:rsidR="00A61A27" w:rsidRPr="00A61A27" w:rsidRDefault="00A61A27" w:rsidP="008C7060">
            <w:pPr>
              <w:spacing w:line="360" w:lineRule="auto"/>
              <w:jc w:val="center"/>
              <w:rPr>
                <w:sz w:val="24"/>
              </w:rPr>
            </w:pPr>
            <w:r w:rsidRPr="00A61A27">
              <w:rPr>
                <w:sz w:val="24"/>
              </w:rPr>
              <w:t xml:space="preserve">Порода </w:t>
            </w:r>
          </w:p>
        </w:tc>
        <w:tc>
          <w:tcPr>
            <w:tcW w:w="7884" w:type="dxa"/>
            <w:gridSpan w:val="4"/>
          </w:tcPr>
          <w:p w:rsidR="00A61A27" w:rsidRPr="00A61A27" w:rsidRDefault="00A61A27" w:rsidP="008C70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Вміст оксидів, мас.%</w:t>
            </w:r>
          </w:p>
        </w:tc>
      </w:tr>
      <w:tr w:rsidR="00A61A27" w:rsidRPr="00A61A27" w:rsidTr="008C7060">
        <w:tc>
          <w:tcPr>
            <w:tcW w:w="1970" w:type="dxa"/>
            <w:vMerge/>
          </w:tcPr>
          <w:p w:rsidR="00A61A27" w:rsidRPr="00A61A27" w:rsidRDefault="00A61A27" w:rsidP="008C706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1" w:type="dxa"/>
          </w:tcPr>
          <w:p w:rsidR="00A61A27" w:rsidRPr="00A61A27" w:rsidRDefault="00A61A27" w:rsidP="008C706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A61A27">
              <w:rPr>
                <w:sz w:val="24"/>
                <w:lang w:val="en-US"/>
              </w:rPr>
              <w:t>SiO</w:t>
            </w:r>
            <w:proofErr w:type="spellEnd"/>
            <w:r w:rsidRPr="00A61A27">
              <w:rPr>
                <w:sz w:val="24"/>
                <w:vertAlign w:val="subscript"/>
              </w:rPr>
              <w:t>2</w:t>
            </w:r>
          </w:p>
        </w:tc>
        <w:tc>
          <w:tcPr>
            <w:tcW w:w="1971" w:type="dxa"/>
          </w:tcPr>
          <w:p w:rsidR="00A61A27" w:rsidRPr="00A61A27" w:rsidRDefault="00A61A27" w:rsidP="008C706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A61A27">
              <w:rPr>
                <w:sz w:val="24"/>
                <w:lang w:val="en-US"/>
              </w:rPr>
              <w:t>CaO</w:t>
            </w:r>
            <w:proofErr w:type="spellEnd"/>
          </w:p>
        </w:tc>
        <w:tc>
          <w:tcPr>
            <w:tcW w:w="1971" w:type="dxa"/>
          </w:tcPr>
          <w:p w:rsidR="00A61A27" w:rsidRPr="00A61A27" w:rsidRDefault="00A61A27" w:rsidP="008C7060">
            <w:pPr>
              <w:spacing w:line="360" w:lineRule="auto"/>
              <w:jc w:val="center"/>
              <w:rPr>
                <w:sz w:val="24"/>
              </w:rPr>
            </w:pPr>
            <w:r w:rsidRPr="00A61A27">
              <w:rPr>
                <w:sz w:val="24"/>
                <w:lang w:val="en-US"/>
              </w:rPr>
              <w:t>Al</w:t>
            </w:r>
            <w:r w:rsidRPr="00A61A27">
              <w:rPr>
                <w:sz w:val="24"/>
                <w:vertAlign w:val="subscript"/>
              </w:rPr>
              <w:t>2</w:t>
            </w:r>
            <w:r w:rsidRPr="00A61A27">
              <w:rPr>
                <w:sz w:val="24"/>
                <w:lang w:val="en-US"/>
              </w:rPr>
              <w:t>O</w:t>
            </w:r>
            <w:r w:rsidRPr="00A61A27">
              <w:rPr>
                <w:sz w:val="24"/>
                <w:vertAlign w:val="subscript"/>
              </w:rPr>
              <w:t>3</w:t>
            </w:r>
          </w:p>
        </w:tc>
        <w:tc>
          <w:tcPr>
            <w:tcW w:w="1971" w:type="dxa"/>
          </w:tcPr>
          <w:p w:rsidR="00A61A27" w:rsidRPr="00A61A27" w:rsidRDefault="00A61A27" w:rsidP="008C7060">
            <w:pPr>
              <w:spacing w:line="360" w:lineRule="auto"/>
              <w:jc w:val="center"/>
              <w:rPr>
                <w:sz w:val="24"/>
              </w:rPr>
            </w:pPr>
            <w:r w:rsidRPr="00A61A27">
              <w:rPr>
                <w:sz w:val="24"/>
                <w:lang w:val="en-US"/>
              </w:rPr>
              <w:t>Fe</w:t>
            </w:r>
            <w:r w:rsidRPr="00A61A27">
              <w:rPr>
                <w:sz w:val="24"/>
                <w:vertAlign w:val="subscript"/>
              </w:rPr>
              <w:t>2</w:t>
            </w:r>
            <w:r w:rsidRPr="00A61A27">
              <w:rPr>
                <w:sz w:val="24"/>
                <w:lang w:val="en-US"/>
              </w:rPr>
              <w:t>O</w:t>
            </w:r>
            <w:r w:rsidRPr="00A61A27">
              <w:rPr>
                <w:sz w:val="24"/>
                <w:vertAlign w:val="subscript"/>
              </w:rPr>
              <w:t>3</w:t>
            </w:r>
          </w:p>
        </w:tc>
      </w:tr>
      <w:tr w:rsidR="008C7060" w:rsidRPr="00A61A27" w:rsidTr="008C7060">
        <w:tc>
          <w:tcPr>
            <w:tcW w:w="1970" w:type="dxa"/>
          </w:tcPr>
          <w:p w:rsidR="008C7060" w:rsidRPr="00A61A27" w:rsidRDefault="008C7060" w:rsidP="008C7060">
            <w:pPr>
              <w:spacing w:line="360" w:lineRule="auto"/>
              <w:jc w:val="center"/>
              <w:rPr>
                <w:sz w:val="24"/>
              </w:rPr>
            </w:pPr>
            <w:r w:rsidRPr="00A61A27">
              <w:rPr>
                <w:sz w:val="24"/>
              </w:rPr>
              <w:t xml:space="preserve">Глини </w:t>
            </w:r>
          </w:p>
        </w:tc>
        <w:tc>
          <w:tcPr>
            <w:tcW w:w="1971" w:type="dxa"/>
          </w:tcPr>
          <w:p w:rsidR="008C7060" w:rsidRPr="00A61A27" w:rsidRDefault="00A61A27" w:rsidP="008C70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F0C9C">
              <w:rPr>
                <w:sz w:val="24"/>
              </w:rPr>
              <w:t>6-62</w:t>
            </w:r>
          </w:p>
        </w:tc>
        <w:tc>
          <w:tcPr>
            <w:tcW w:w="1971" w:type="dxa"/>
          </w:tcPr>
          <w:p w:rsidR="008C7060" w:rsidRPr="00A61A27" w:rsidRDefault="00EF0C9C" w:rsidP="008C70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060" w:rsidRPr="00A61A27">
              <w:rPr>
                <w:sz w:val="24"/>
              </w:rPr>
              <w:t>-1</w:t>
            </w:r>
            <w:r>
              <w:rPr>
                <w:sz w:val="24"/>
              </w:rPr>
              <w:t>5</w:t>
            </w:r>
          </w:p>
        </w:tc>
        <w:tc>
          <w:tcPr>
            <w:tcW w:w="1971" w:type="dxa"/>
          </w:tcPr>
          <w:p w:rsidR="008C7060" w:rsidRPr="00A61A27" w:rsidRDefault="008C7060" w:rsidP="008C7060">
            <w:pPr>
              <w:spacing w:line="360" w:lineRule="auto"/>
              <w:jc w:val="center"/>
              <w:rPr>
                <w:sz w:val="24"/>
              </w:rPr>
            </w:pPr>
            <w:r w:rsidRPr="00A61A27">
              <w:rPr>
                <w:sz w:val="24"/>
              </w:rPr>
              <w:t>11-2</w:t>
            </w:r>
            <w:r w:rsidR="00EF0C9C">
              <w:rPr>
                <w:sz w:val="24"/>
              </w:rPr>
              <w:t>6</w:t>
            </w:r>
          </w:p>
        </w:tc>
        <w:tc>
          <w:tcPr>
            <w:tcW w:w="1971" w:type="dxa"/>
          </w:tcPr>
          <w:p w:rsidR="008C7060" w:rsidRPr="00A61A27" w:rsidRDefault="00EF0C9C" w:rsidP="008C70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7060" w:rsidRPr="00A61A27">
              <w:rPr>
                <w:sz w:val="24"/>
              </w:rPr>
              <w:t>-</w:t>
            </w:r>
            <w:r>
              <w:rPr>
                <w:sz w:val="24"/>
              </w:rPr>
              <w:t>12</w:t>
            </w:r>
          </w:p>
        </w:tc>
      </w:tr>
      <w:tr w:rsidR="008C7060" w:rsidRPr="00A61A27" w:rsidTr="008C7060">
        <w:tc>
          <w:tcPr>
            <w:tcW w:w="1970" w:type="dxa"/>
          </w:tcPr>
          <w:p w:rsidR="008C7060" w:rsidRPr="00A61A27" w:rsidRDefault="008C7060" w:rsidP="008C7060">
            <w:pPr>
              <w:spacing w:line="360" w:lineRule="auto"/>
              <w:jc w:val="center"/>
              <w:rPr>
                <w:sz w:val="24"/>
              </w:rPr>
            </w:pPr>
            <w:r w:rsidRPr="00A61A27">
              <w:rPr>
                <w:sz w:val="24"/>
              </w:rPr>
              <w:t xml:space="preserve">Базальти </w:t>
            </w:r>
          </w:p>
        </w:tc>
        <w:tc>
          <w:tcPr>
            <w:tcW w:w="1971" w:type="dxa"/>
          </w:tcPr>
          <w:p w:rsidR="008C7060" w:rsidRPr="00A61A27" w:rsidRDefault="008C7060" w:rsidP="008C7060">
            <w:pPr>
              <w:spacing w:line="360" w:lineRule="auto"/>
              <w:jc w:val="center"/>
              <w:rPr>
                <w:sz w:val="24"/>
              </w:rPr>
            </w:pPr>
            <w:r w:rsidRPr="00A61A27">
              <w:rPr>
                <w:sz w:val="24"/>
              </w:rPr>
              <w:t>44-57</w:t>
            </w:r>
          </w:p>
        </w:tc>
        <w:tc>
          <w:tcPr>
            <w:tcW w:w="1971" w:type="dxa"/>
          </w:tcPr>
          <w:p w:rsidR="008C7060" w:rsidRPr="00A61A27" w:rsidRDefault="008C7060" w:rsidP="008C7060">
            <w:pPr>
              <w:spacing w:line="360" w:lineRule="auto"/>
              <w:jc w:val="center"/>
              <w:rPr>
                <w:sz w:val="24"/>
              </w:rPr>
            </w:pPr>
            <w:r w:rsidRPr="00A61A27">
              <w:rPr>
                <w:sz w:val="24"/>
              </w:rPr>
              <w:t>6-13</w:t>
            </w:r>
          </w:p>
        </w:tc>
        <w:tc>
          <w:tcPr>
            <w:tcW w:w="1971" w:type="dxa"/>
          </w:tcPr>
          <w:p w:rsidR="008C7060" w:rsidRPr="00A61A27" w:rsidRDefault="008C7060" w:rsidP="008C7060">
            <w:pPr>
              <w:spacing w:line="360" w:lineRule="auto"/>
              <w:jc w:val="center"/>
              <w:rPr>
                <w:sz w:val="24"/>
              </w:rPr>
            </w:pPr>
            <w:r w:rsidRPr="00A61A27">
              <w:rPr>
                <w:sz w:val="24"/>
              </w:rPr>
              <w:t>14-18</w:t>
            </w:r>
          </w:p>
        </w:tc>
        <w:tc>
          <w:tcPr>
            <w:tcW w:w="1971" w:type="dxa"/>
          </w:tcPr>
          <w:p w:rsidR="008C7060" w:rsidRPr="00A61A27" w:rsidRDefault="008C7060" w:rsidP="008C7060">
            <w:pPr>
              <w:spacing w:line="360" w:lineRule="auto"/>
              <w:jc w:val="center"/>
              <w:rPr>
                <w:sz w:val="24"/>
              </w:rPr>
            </w:pPr>
            <w:r w:rsidRPr="00A61A27">
              <w:rPr>
                <w:sz w:val="24"/>
              </w:rPr>
              <w:t>9-18</w:t>
            </w:r>
          </w:p>
        </w:tc>
      </w:tr>
    </w:tbl>
    <w:p w:rsidR="008C7060" w:rsidRPr="00E37372" w:rsidRDefault="008C7060" w:rsidP="008C7060">
      <w:pPr>
        <w:spacing w:after="0" w:line="360" w:lineRule="auto"/>
        <w:jc w:val="center"/>
      </w:pPr>
    </w:p>
    <w:p w:rsidR="00A9534C" w:rsidRDefault="00A31937" w:rsidP="00A31937">
      <w:pPr>
        <w:spacing w:after="0" w:line="360" w:lineRule="auto"/>
        <w:jc w:val="both"/>
      </w:pPr>
      <w:r w:rsidRPr="00E35FD1">
        <w:tab/>
      </w:r>
      <w:r w:rsidR="00E35FD1" w:rsidRPr="00E35FD1">
        <w:t>Наведені результати</w:t>
      </w:r>
      <w:r w:rsidR="00E35FD1">
        <w:t xml:space="preserve"> свідчать, що хімічний склад базальтових порід близький до хімічного складу глин. Це </w:t>
      </w:r>
      <w:r w:rsidR="00D32F3A">
        <w:t>підтверджує</w:t>
      </w:r>
      <w:r w:rsidR="00E35FD1">
        <w:t xml:space="preserve">, що базальтові породи можливо використовувати </w:t>
      </w:r>
      <w:r w:rsidR="00D32F3A">
        <w:t xml:space="preserve">в якості сировинного компоненту при випалі </w:t>
      </w:r>
      <w:proofErr w:type="spellStart"/>
      <w:r w:rsidR="00D32F3A">
        <w:t>портландцементного</w:t>
      </w:r>
      <w:proofErr w:type="spellEnd"/>
      <w:r w:rsidR="00D32F3A">
        <w:t xml:space="preserve"> клінкеру. Крім того, базальтові породи можуть заміняти частину глиняного компоненту.</w:t>
      </w:r>
      <w:r w:rsidR="0041215D">
        <w:t xml:space="preserve"> Слід також зазначити, що базальти практично не містять мінералів, що дисоціюють при випалі, тому не витрачається енергія на реакції дегідратації та декарбонізації.</w:t>
      </w:r>
    </w:p>
    <w:p w:rsidR="00DD60C6" w:rsidRPr="00307FC8" w:rsidRDefault="00DD60C6" w:rsidP="00A31937">
      <w:pPr>
        <w:spacing w:after="0" w:line="360" w:lineRule="auto"/>
        <w:jc w:val="both"/>
      </w:pPr>
      <w:r>
        <w:tab/>
        <w:t xml:space="preserve">Оцінити </w:t>
      </w:r>
      <w:proofErr w:type="spellStart"/>
      <w:r>
        <w:t>інтенсифіц</w:t>
      </w:r>
      <w:r w:rsidR="004F296E">
        <w:t>и</w:t>
      </w:r>
      <w:r>
        <w:t>руючий</w:t>
      </w:r>
      <w:proofErr w:type="spellEnd"/>
      <w:r>
        <w:t xml:space="preserve"> плив базальту на процеси </w:t>
      </w:r>
      <w:proofErr w:type="spellStart"/>
      <w:r>
        <w:t>клінкероутворення</w:t>
      </w:r>
      <w:proofErr w:type="spellEnd"/>
      <w:r>
        <w:t xml:space="preserve"> можна шляхом визначення кінетики </w:t>
      </w:r>
      <w:r w:rsidR="00307FC8">
        <w:t xml:space="preserve">засвоєння вільного оксиду кальцію в процесі випалу. Дослідження проводилися на клінкерах з КН=0,85 та </w:t>
      </w:r>
      <w:r w:rsidR="00307FC8">
        <w:rPr>
          <w:lang w:val="en-US"/>
        </w:rPr>
        <w:t>n</w:t>
      </w:r>
      <w:r w:rsidR="00307FC8" w:rsidRPr="004F296E">
        <w:t xml:space="preserve"> = 2,0 [3]</w:t>
      </w:r>
      <w:r w:rsidR="00307FC8">
        <w:t>.</w:t>
      </w:r>
    </w:p>
    <w:p w:rsidR="00A86899" w:rsidRPr="00DD60C6" w:rsidRDefault="00A86899" w:rsidP="009E1D1F">
      <w:pPr>
        <w:spacing w:after="0" w:line="360" w:lineRule="auto"/>
        <w:jc w:val="center"/>
        <w:rPr>
          <w:sz w:val="24"/>
        </w:rPr>
      </w:pPr>
      <w:r w:rsidRPr="00DD60C6">
        <w:rPr>
          <w:noProof/>
          <w:sz w:val="24"/>
          <w:lang w:eastAsia="uk-UA"/>
        </w:rPr>
        <w:drawing>
          <wp:inline distT="0" distB="0" distL="0" distR="0">
            <wp:extent cx="3911811" cy="1938866"/>
            <wp:effectExtent l="19050" t="0" r="12489" b="423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60C6" w:rsidRPr="00DD60C6" w:rsidRDefault="00DD60C6" w:rsidP="005327D0">
      <w:pPr>
        <w:spacing w:after="0" w:line="360" w:lineRule="auto"/>
        <w:jc w:val="center"/>
        <w:rPr>
          <w:b/>
          <w:sz w:val="24"/>
        </w:rPr>
      </w:pPr>
      <w:r w:rsidRPr="00DD60C6">
        <w:rPr>
          <w:b/>
          <w:sz w:val="24"/>
        </w:rPr>
        <w:t>Вміст вільного оксиду кальцію в клінкері в залежності від температури випалу</w:t>
      </w:r>
    </w:p>
    <w:p w:rsidR="00DD60C6" w:rsidRDefault="00307FC8" w:rsidP="00307FC8">
      <w:pPr>
        <w:spacing w:after="0" w:line="360" w:lineRule="auto"/>
        <w:jc w:val="both"/>
      </w:pPr>
      <w:r>
        <w:tab/>
      </w:r>
    </w:p>
    <w:p w:rsidR="00307FC8" w:rsidRDefault="00307FC8" w:rsidP="00307FC8">
      <w:pPr>
        <w:spacing w:after="0" w:line="360" w:lineRule="auto"/>
        <w:jc w:val="both"/>
      </w:pPr>
      <w:r>
        <w:tab/>
        <w:t xml:space="preserve">Отримані результати свідчать, що до температур 1000 </w:t>
      </w:r>
      <w:r>
        <w:rPr>
          <w:vertAlign w:val="superscript"/>
        </w:rPr>
        <w:t>0</w:t>
      </w:r>
      <w:r>
        <w:t xml:space="preserve">С засвоєння оксиду кальцію швидше відбувається у контрольній суміші. Відбувається це, </w:t>
      </w:r>
      <w:r>
        <w:lastRenderedPageBreak/>
        <w:t>скоріше за все, за рахунок проходження дифузійних реак</w:t>
      </w:r>
      <w:r w:rsidR="002D77DE">
        <w:t>цій, які інтенсивно проходять</w:t>
      </w:r>
      <w:r>
        <w:t xml:space="preserve"> в результаті процесу </w:t>
      </w:r>
      <w:proofErr w:type="spellStart"/>
      <w:r>
        <w:t>аморфізації</w:t>
      </w:r>
      <w:proofErr w:type="spellEnd"/>
      <w:r w:rsidR="002D77DE">
        <w:t xml:space="preserve"> глиняної складової і, відповідно, їх більшої реакційної здатності.</w:t>
      </w:r>
    </w:p>
    <w:p w:rsidR="002D77DE" w:rsidRDefault="002D77DE" w:rsidP="00307FC8">
      <w:pPr>
        <w:spacing w:after="0" w:line="360" w:lineRule="auto"/>
        <w:jc w:val="both"/>
      </w:pPr>
      <w:r>
        <w:tab/>
        <w:t>Після досягнення температур появи перших крапель базальтового розплаву, картина протікання процесу змінюється і засвоєння вільного оксиду кальцію швидше відбувається в сумішах, в яких частину глини замінювався базальтом.</w:t>
      </w:r>
    </w:p>
    <w:p w:rsidR="002D77DE" w:rsidRDefault="002D77DE" w:rsidP="00307FC8">
      <w:pPr>
        <w:spacing w:after="0" w:line="360" w:lineRule="auto"/>
        <w:jc w:val="both"/>
      </w:pPr>
      <w:r>
        <w:tab/>
        <w:t xml:space="preserve">Фактично вміст вільного кальцію в контрольній суміші при температурі 1400 </w:t>
      </w:r>
      <w:r>
        <w:rPr>
          <w:vertAlign w:val="superscript"/>
        </w:rPr>
        <w:t>0</w:t>
      </w:r>
      <w:r>
        <w:t xml:space="preserve">С складає 0,7 мас.%, а у контрольної суміші 0,6 мас.% при температурі 1350 </w:t>
      </w:r>
      <w:r>
        <w:rPr>
          <w:vertAlign w:val="superscript"/>
        </w:rPr>
        <w:t>0</w:t>
      </w:r>
      <w:r>
        <w:t>С. Цей факт підтверджує, що введення базальту в сировинну суміш значно пришвидшує процес мінералоутворення при випалі.</w:t>
      </w:r>
    </w:p>
    <w:p w:rsidR="00D32F3A" w:rsidRDefault="002D77DE" w:rsidP="00A31937">
      <w:pPr>
        <w:spacing w:after="0" w:line="360" w:lineRule="auto"/>
        <w:jc w:val="both"/>
      </w:pPr>
      <w:r>
        <w:tab/>
      </w:r>
      <w:r w:rsidR="00D32F3A">
        <w:t xml:space="preserve">Таким чином, використання базальтів в якості алюмосилікатного компоненту сировинних сумішей при випалі </w:t>
      </w:r>
      <w:proofErr w:type="spellStart"/>
      <w:r w:rsidR="00D32F3A">
        <w:t>портландцементного</w:t>
      </w:r>
      <w:proofErr w:type="spellEnd"/>
      <w:r w:rsidR="00D32F3A">
        <w:t xml:space="preserve"> клінкеру мають наступні переваги:</w:t>
      </w:r>
    </w:p>
    <w:p w:rsidR="00D32F3A" w:rsidRDefault="00D32F3A" w:rsidP="00D32F3A">
      <w:pPr>
        <w:pStyle w:val="a5"/>
        <w:numPr>
          <w:ilvl w:val="0"/>
          <w:numId w:val="2"/>
        </w:numPr>
        <w:spacing w:after="0" w:line="360" w:lineRule="auto"/>
        <w:jc w:val="both"/>
      </w:pPr>
      <w:r>
        <w:t xml:space="preserve">Знижується температура утворення рідкої фази в процесі випалу, що інтенсифікує процес утворення мінералу </w:t>
      </w:r>
      <w:proofErr w:type="spellStart"/>
      <w:r>
        <w:t>аліту</w:t>
      </w:r>
      <w:proofErr w:type="spellEnd"/>
      <w:r>
        <w:t xml:space="preserve"> і, як наслідок, </w:t>
      </w:r>
      <w:r w:rsidR="002D77DE">
        <w:t xml:space="preserve">дозволяє </w:t>
      </w:r>
      <w:r>
        <w:t xml:space="preserve">знизити витрати палива </w:t>
      </w:r>
      <w:r w:rsidR="0041215D">
        <w:t>на випал</w:t>
      </w:r>
      <w:r>
        <w:t>;</w:t>
      </w:r>
    </w:p>
    <w:p w:rsidR="002D77DE" w:rsidRDefault="002D77DE" w:rsidP="00D32F3A">
      <w:pPr>
        <w:pStyle w:val="a5"/>
        <w:numPr>
          <w:ilvl w:val="0"/>
          <w:numId w:val="2"/>
        </w:numPr>
        <w:spacing w:after="0" w:line="360" w:lineRule="auto"/>
        <w:jc w:val="both"/>
      </w:pPr>
      <w:r>
        <w:t>Відсутність в базальті мінералів, що дисоціюють при випалі знижує витрати палива на випал;</w:t>
      </w:r>
    </w:p>
    <w:p w:rsidR="00D32F3A" w:rsidRDefault="00D32F3A" w:rsidP="00D32F3A">
      <w:pPr>
        <w:pStyle w:val="a5"/>
        <w:numPr>
          <w:ilvl w:val="0"/>
          <w:numId w:val="2"/>
        </w:numPr>
        <w:spacing w:after="0" w:line="360" w:lineRule="auto"/>
        <w:jc w:val="both"/>
      </w:pPr>
      <w:r>
        <w:t>Використання базальту, за рахунок низького значення втрат при прожарюванні в порівнянні з глинами, дозволяє знизити викиди вуглекислого газу в навколишнє середовище;</w:t>
      </w:r>
    </w:p>
    <w:p w:rsidR="00D32F3A" w:rsidRDefault="004F296E" w:rsidP="00D32F3A">
      <w:pPr>
        <w:pStyle w:val="a5"/>
        <w:numPr>
          <w:ilvl w:val="0"/>
          <w:numId w:val="2"/>
        </w:numPr>
        <w:spacing w:after="0" w:line="360" w:lineRule="auto"/>
        <w:jc w:val="both"/>
      </w:pPr>
      <w:r>
        <w:t>Введення базальту д</w:t>
      </w:r>
      <w:r w:rsidR="00D32F3A">
        <w:t xml:space="preserve">озволяє </w:t>
      </w:r>
      <w:r>
        <w:t>знизити вміст</w:t>
      </w:r>
      <w:r w:rsidR="00D32F3A">
        <w:t xml:space="preserve"> глиняного компоненту в сировинній суміші;</w:t>
      </w:r>
    </w:p>
    <w:p w:rsidR="00F34CCA" w:rsidRDefault="00F34CCA" w:rsidP="003B6592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Література</w:t>
      </w:r>
    </w:p>
    <w:p w:rsidR="0017127E" w:rsidRPr="0017127E" w:rsidRDefault="0017127E" w:rsidP="0017127E">
      <w:pPr>
        <w:pStyle w:val="a5"/>
        <w:numPr>
          <w:ilvl w:val="0"/>
          <w:numId w:val="1"/>
        </w:numPr>
        <w:spacing w:after="0" w:line="360" w:lineRule="auto"/>
        <w:ind w:left="709" w:hanging="283"/>
        <w:jc w:val="both"/>
        <w:rPr>
          <w:sz w:val="24"/>
        </w:rPr>
      </w:pPr>
      <w:r w:rsidRPr="0017127E">
        <w:rPr>
          <w:rStyle w:val="citation"/>
          <w:sz w:val="24"/>
        </w:rPr>
        <w:t xml:space="preserve">Базальт // </w:t>
      </w:r>
      <w:hyperlink r:id="rId7" w:tooltip="Мала гірнича енциклопедія" w:history="1">
        <w:r w:rsidRPr="0017127E">
          <w:rPr>
            <w:rStyle w:val="a3"/>
            <w:color w:val="auto"/>
            <w:sz w:val="24"/>
            <w:u w:val="none"/>
          </w:rPr>
          <w:t>Мала гірнича енциклопедія</w:t>
        </w:r>
      </w:hyperlink>
      <w:r w:rsidRPr="0017127E">
        <w:rPr>
          <w:rStyle w:val="citation"/>
          <w:sz w:val="24"/>
        </w:rPr>
        <w:t xml:space="preserve"> : у 3 т. / за ред. </w:t>
      </w:r>
      <w:hyperlink r:id="rId8" w:tooltip="Білецький Володимир Стефанович" w:history="1">
        <w:r w:rsidRPr="0017127E">
          <w:rPr>
            <w:rStyle w:val="a3"/>
            <w:color w:val="auto"/>
            <w:sz w:val="24"/>
            <w:u w:val="none"/>
          </w:rPr>
          <w:t>В. С. Білецького</w:t>
        </w:r>
      </w:hyperlink>
      <w:r>
        <w:rPr>
          <w:rStyle w:val="citation"/>
          <w:sz w:val="24"/>
        </w:rPr>
        <w:t xml:space="preserve">. – </w:t>
      </w:r>
      <w:r w:rsidRPr="0017127E">
        <w:rPr>
          <w:rStyle w:val="citation"/>
          <w:sz w:val="24"/>
        </w:rPr>
        <w:t xml:space="preserve"> </w:t>
      </w:r>
      <w:r w:rsidRPr="0017127E">
        <w:rPr>
          <w:rStyle w:val="ts-comment-commentedtext"/>
          <w:sz w:val="24"/>
        </w:rPr>
        <w:t>Д.</w:t>
      </w:r>
      <w:r w:rsidRPr="0017127E">
        <w:rPr>
          <w:rStyle w:val="citation"/>
          <w:sz w:val="24"/>
        </w:rPr>
        <w:t>:</w:t>
      </w:r>
      <w:r>
        <w:rPr>
          <w:rStyle w:val="citation"/>
          <w:sz w:val="24"/>
        </w:rPr>
        <w:t xml:space="preserve">  </w:t>
      </w:r>
      <w:hyperlink r:id="rId9" w:tooltip="Донбас (видавництво)" w:history="1">
        <w:r w:rsidRPr="0017127E">
          <w:rPr>
            <w:rStyle w:val="a3"/>
            <w:color w:val="auto"/>
            <w:sz w:val="24"/>
            <w:u w:val="none"/>
          </w:rPr>
          <w:t>Донбас</w:t>
        </w:r>
      </w:hyperlink>
      <w:r>
        <w:rPr>
          <w:rStyle w:val="citation"/>
          <w:sz w:val="24"/>
        </w:rPr>
        <w:t>, 2004. –</w:t>
      </w:r>
      <w:r w:rsidRPr="0017127E">
        <w:rPr>
          <w:rStyle w:val="citation"/>
          <w:sz w:val="24"/>
        </w:rPr>
        <w:t xml:space="preserve"> </w:t>
      </w:r>
      <w:r>
        <w:rPr>
          <w:rStyle w:val="citation"/>
          <w:sz w:val="24"/>
        </w:rPr>
        <w:t>Т. 1 : А –</w:t>
      </w:r>
      <w:r w:rsidRPr="0017127E">
        <w:rPr>
          <w:rStyle w:val="citation"/>
          <w:sz w:val="24"/>
        </w:rPr>
        <w:t> К. </w:t>
      </w:r>
      <w:r>
        <w:rPr>
          <w:rStyle w:val="citation"/>
          <w:sz w:val="24"/>
        </w:rPr>
        <w:t xml:space="preserve">– </w:t>
      </w:r>
      <w:r w:rsidRPr="0017127E">
        <w:rPr>
          <w:rStyle w:val="citation"/>
          <w:sz w:val="24"/>
        </w:rPr>
        <w:t>640 с.</w:t>
      </w:r>
    </w:p>
    <w:p w:rsidR="00A9534C" w:rsidRDefault="001544C3" w:rsidP="001544C3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</w:rPr>
      </w:pPr>
      <w:r w:rsidRPr="0017127E">
        <w:rPr>
          <w:sz w:val="24"/>
        </w:rPr>
        <w:t xml:space="preserve">Хімічна технологія кераміки / І.С. </w:t>
      </w:r>
      <w:proofErr w:type="spellStart"/>
      <w:r w:rsidRPr="0017127E">
        <w:rPr>
          <w:sz w:val="24"/>
        </w:rPr>
        <w:t>Суббота</w:t>
      </w:r>
      <w:proofErr w:type="spellEnd"/>
      <w:r w:rsidRPr="0017127E">
        <w:rPr>
          <w:sz w:val="24"/>
        </w:rPr>
        <w:t xml:space="preserve">, Л.М. </w:t>
      </w:r>
      <w:proofErr w:type="spellStart"/>
      <w:r w:rsidRPr="0017127E">
        <w:rPr>
          <w:sz w:val="24"/>
        </w:rPr>
        <w:t>Спасьонова</w:t>
      </w:r>
      <w:proofErr w:type="spellEnd"/>
      <w:r w:rsidRPr="0017127E">
        <w:rPr>
          <w:sz w:val="24"/>
        </w:rPr>
        <w:t xml:space="preserve">, В.Ю. </w:t>
      </w:r>
      <w:proofErr w:type="spellStart"/>
      <w:r w:rsidRPr="0017127E">
        <w:rPr>
          <w:sz w:val="24"/>
        </w:rPr>
        <w:t>Тобілко</w:t>
      </w:r>
      <w:proofErr w:type="spellEnd"/>
      <w:r w:rsidRPr="0017127E">
        <w:rPr>
          <w:sz w:val="24"/>
        </w:rPr>
        <w:t>. – Київ : КПІ ім. Ігоря Сікорського, 2022. – 178 с.</w:t>
      </w:r>
    </w:p>
    <w:p w:rsidR="00307FC8" w:rsidRPr="0017127E" w:rsidRDefault="00307FC8" w:rsidP="001544C3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</w:rPr>
      </w:pPr>
      <w:r>
        <w:rPr>
          <w:sz w:val="24"/>
        </w:rPr>
        <w:t xml:space="preserve">Спеціальні </w:t>
      </w:r>
      <w:proofErr w:type="spellStart"/>
      <w:r>
        <w:rPr>
          <w:sz w:val="24"/>
        </w:rPr>
        <w:t>цементи</w:t>
      </w:r>
      <w:proofErr w:type="spellEnd"/>
      <w:r>
        <w:rPr>
          <w:sz w:val="24"/>
        </w:rPr>
        <w:t xml:space="preserve"> з базальтових клінкерів / О.А.</w:t>
      </w:r>
      <w:proofErr w:type="spellStart"/>
      <w:r>
        <w:rPr>
          <w:sz w:val="24"/>
        </w:rPr>
        <w:t>Мясникова</w:t>
      </w:r>
      <w:proofErr w:type="spellEnd"/>
      <w:r>
        <w:rPr>
          <w:sz w:val="24"/>
        </w:rPr>
        <w:t>, М.Є.Соболєв, В.В.</w:t>
      </w:r>
      <w:proofErr w:type="spellStart"/>
      <w:r>
        <w:rPr>
          <w:sz w:val="24"/>
        </w:rPr>
        <w:t>Токарчук</w:t>
      </w:r>
      <w:proofErr w:type="spellEnd"/>
      <w:r>
        <w:rPr>
          <w:sz w:val="24"/>
        </w:rPr>
        <w:t xml:space="preserve"> та ін.. – Київ: Будівельник. – 1994. – 149 с. </w:t>
      </w:r>
    </w:p>
    <w:sectPr w:rsidR="00307FC8" w:rsidRPr="0017127E" w:rsidSect="003B65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C75"/>
    <w:multiLevelType w:val="hybridMultilevel"/>
    <w:tmpl w:val="E3A6F30A"/>
    <w:lvl w:ilvl="0" w:tplc="7B9A4A3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D523F"/>
    <w:multiLevelType w:val="hybridMultilevel"/>
    <w:tmpl w:val="FF9CC082"/>
    <w:lvl w:ilvl="0" w:tplc="B6D455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6592"/>
    <w:rsid w:val="0002343D"/>
    <w:rsid w:val="000A691D"/>
    <w:rsid w:val="001544C3"/>
    <w:rsid w:val="0017127E"/>
    <w:rsid w:val="002D77DE"/>
    <w:rsid w:val="00307FC8"/>
    <w:rsid w:val="003B6592"/>
    <w:rsid w:val="0041215D"/>
    <w:rsid w:val="004F296E"/>
    <w:rsid w:val="005327D0"/>
    <w:rsid w:val="005A3AE9"/>
    <w:rsid w:val="005C045C"/>
    <w:rsid w:val="008C7060"/>
    <w:rsid w:val="009E1D1F"/>
    <w:rsid w:val="00A31937"/>
    <w:rsid w:val="00A61A27"/>
    <w:rsid w:val="00A86899"/>
    <w:rsid w:val="00A9534C"/>
    <w:rsid w:val="00C758ED"/>
    <w:rsid w:val="00D32F3A"/>
    <w:rsid w:val="00DD60C6"/>
    <w:rsid w:val="00DE629C"/>
    <w:rsid w:val="00E35FD1"/>
    <w:rsid w:val="00E37372"/>
    <w:rsid w:val="00EC6B51"/>
    <w:rsid w:val="00EF0C9C"/>
    <w:rsid w:val="00F3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7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44C3"/>
    <w:pPr>
      <w:ind w:left="720"/>
      <w:contextualSpacing/>
    </w:pPr>
  </w:style>
  <w:style w:type="character" w:customStyle="1" w:styleId="citation">
    <w:name w:val="citation"/>
    <w:basedOn w:val="a0"/>
    <w:rsid w:val="0017127E"/>
  </w:style>
  <w:style w:type="character" w:customStyle="1" w:styleId="ts-comment-commentedtext">
    <w:name w:val="ts-comment-commentedtext"/>
    <w:basedOn w:val="a0"/>
    <w:rsid w:val="0017127E"/>
  </w:style>
  <w:style w:type="paragraph" w:styleId="a6">
    <w:name w:val="Balloon Text"/>
    <w:basedOn w:val="a"/>
    <w:link w:val="a7"/>
    <w:uiPriority w:val="99"/>
    <w:semiHidden/>
    <w:unhideWhenUsed/>
    <w:rsid w:val="00A8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1%96%D0%BB%D0%B5%D1%86%D1%8C%D0%BA%D0%B8%D0%B9_%D0%92%D0%BE%D0%BB%D0%BE%D0%B4%D0%B8%D0%BC%D0%B8%D1%80_%D0%A1%D1%82%D0%B5%D1%84%D0%B0%D0%BD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C%D0%B0%D0%BB%D0%B0_%D0%B3%D1%96%D1%80%D0%BD%D0%B8%D1%87%D0%B0_%D0%B5%D0%BD%D1%86%D0%B8%D0%BA%D0%BB%D0%BE%D0%BF%D0%B5%D0%B4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1-8620-954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0%BE%D0%BD%D0%B1%D0%B0%D1%81_(%D0%B2%D0%B8%D0%B4%D0%B0%D0%B2%D0%BD%D0%B8%D1%86%D1%82%D0%B2%D0%BE)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80;&#1084;&#1080;&#1088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>
        <c:manualLayout>
          <c:layoutTarget val="inner"/>
          <c:xMode val="edge"/>
          <c:yMode val="edge"/>
          <c:x val="0.16091932866899766"/>
          <c:y val="7.27239530736008E-2"/>
          <c:w val="0.50357928846766842"/>
          <c:h val="0.60826947298059864"/>
        </c:manualLayout>
      </c:layout>
      <c:lineChart>
        <c:grouping val="standard"/>
        <c:ser>
          <c:idx val="0"/>
          <c:order val="0"/>
          <c:tx>
            <c:strRef>
              <c:f>Лист1!$B$4:$C$4</c:f>
              <c:strCache>
                <c:ptCount val="1"/>
                <c:pt idx="0">
                  <c:v>контрольний</c:v>
                </c:pt>
              </c:strCache>
            </c:strRef>
          </c:tx>
          <c:marker>
            <c:symbol val="none"/>
          </c:marker>
          <c:cat>
            <c:numRef>
              <c:f>Лист1!$D$3:$J$3</c:f>
              <c:numCache>
                <c:formatCode>General</c:formatCode>
                <c:ptCount val="7"/>
                <c:pt idx="0">
                  <c:v>900</c:v>
                </c:pt>
                <c:pt idx="1">
                  <c:v>1000</c:v>
                </c:pt>
                <c:pt idx="2">
                  <c:v>1100</c:v>
                </c:pt>
                <c:pt idx="3">
                  <c:v>1200</c:v>
                </c:pt>
                <c:pt idx="4">
                  <c:v>1300</c:v>
                </c:pt>
                <c:pt idx="5">
                  <c:v>1350</c:v>
                </c:pt>
                <c:pt idx="6">
                  <c:v>1400</c:v>
                </c:pt>
              </c:numCache>
            </c:numRef>
          </c:cat>
          <c:val>
            <c:numRef>
              <c:f>Лист1!$D$4:$J$4</c:f>
              <c:numCache>
                <c:formatCode>General</c:formatCode>
                <c:ptCount val="7"/>
                <c:pt idx="0">
                  <c:v>3.9</c:v>
                </c:pt>
                <c:pt idx="1">
                  <c:v>11.2</c:v>
                </c:pt>
                <c:pt idx="2">
                  <c:v>17.899999999999999</c:v>
                </c:pt>
                <c:pt idx="3">
                  <c:v>15.9</c:v>
                </c:pt>
                <c:pt idx="4">
                  <c:v>3.5</c:v>
                </c:pt>
                <c:pt idx="5">
                  <c:v>2.2999999999999998</c:v>
                </c:pt>
                <c:pt idx="6">
                  <c:v>0.70000000000000029</c:v>
                </c:pt>
              </c:numCache>
            </c:numRef>
          </c:val>
        </c:ser>
        <c:ser>
          <c:idx val="1"/>
          <c:order val="1"/>
          <c:tx>
            <c:strRef>
              <c:f>Лист1!$B$5:$C$5</c:f>
              <c:strCache>
                <c:ptCount val="1"/>
                <c:pt idx="0">
                  <c:v>дослідний</c:v>
                </c:pt>
              </c:strCache>
            </c:strRef>
          </c:tx>
          <c:marker>
            <c:symbol val="none"/>
          </c:marker>
          <c:cat>
            <c:numRef>
              <c:f>Лист1!$D$3:$J$3</c:f>
              <c:numCache>
                <c:formatCode>General</c:formatCode>
                <c:ptCount val="7"/>
                <c:pt idx="0">
                  <c:v>900</c:v>
                </c:pt>
                <c:pt idx="1">
                  <c:v>1000</c:v>
                </c:pt>
                <c:pt idx="2">
                  <c:v>1100</c:v>
                </c:pt>
                <c:pt idx="3">
                  <c:v>1200</c:v>
                </c:pt>
                <c:pt idx="4">
                  <c:v>1300</c:v>
                </c:pt>
                <c:pt idx="5">
                  <c:v>1350</c:v>
                </c:pt>
                <c:pt idx="6">
                  <c:v>1400</c:v>
                </c:pt>
              </c:numCache>
            </c:numRef>
          </c:cat>
          <c:val>
            <c:numRef>
              <c:f>Лист1!$D$5:$J$5</c:f>
              <c:numCache>
                <c:formatCode>General</c:formatCode>
                <c:ptCount val="7"/>
                <c:pt idx="0">
                  <c:v>4.8</c:v>
                </c:pt>
                <c:pt idx="1">
                  <c:v>13.5</c:v>
                </c:pt>
                <c:pt idx="2">
                  <c:v>16.100000000000001</c:v>
                </c:pt>
                <c:pt idx="3">
                  <c:v>13.2</c:v>
                </c:pt>
                <c:pt idx="4">
                  <c:v>1.8</c:v>
                </c:pt>
                <c:pt idx="5">
                  <c:v>0.60000000000000031</c:v>
                </c:pt>
                <c:pt idx="6">
                  <c:v>0.2</c:v>
                </c:pt>
              </c:numCache>
            </c:numRef>
          </c:val>
        </c:ser>
        <c:marker val="1"/>
        <c:axId val="68094976"/>
        <c:axId val="68109440"/>
      </c:lineChart>
      <c:catAx>
        <c:axId val="680949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uk-UA" sz="1200"/>
                  <a:t>Температура випалу, °С</a:t>
                </a:r>
              </a:p>
            </c:rich>
          </c:tx>
        </c:title>
        <c:numFmt formatCode="General" sourceLinked="1"/>
        <c:tickLblPos val="nextTo"/>
        <c:crossAx val="68109440"/>
        <c:crosses val="autoZero"/>
        <c:auto val="1"/>
        <c:lblAlgn val="ctr"/>
        <c:lblOffset val="100"/>
      </c:catAx>
      <c:valAx>
        <c:axId val="681094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uk-UA" sz="1200"/>
                  <a:t>Вміст</a:t>
                </a:r>
                <a:r>
                  <a:rPr lang="uk-UA" sz="1200" baseline="0"/>
                  <a:t> СаО, мас.%</a:t>
                </a:r>
                <a:endParaRPr lang="uk-UA" sz="1200"/>
              </a:p>
            </c:rich>
          </c:tx>
        </c:title>
        <c:numFmt formatCode="General" sourceLinked="1"/>
        <c:tickLblPos val="nextTo"/>
        <c:crossAx val="6809497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uk-U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3235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2023-12-06T11:42:00Z</dcterms:created>
  <dcterms:modified xsi:type="dcterms:W3CDTF">2023-12-06T18:55:00Z</dcterms:modified>
</cp:coreProperties>
</file>