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86D5" w14:textId="0C981BBD" w:rsidR="009B09A3" w:rsidRDefault="001427D6" w:rsidP="00A947D1">
      <w:pPr>
        <w:jc w:val="right"/>
        <w:rPr>
          <w:sz w:val="28"/>
          <w:szCs w:val="28"/>
          <w:lang w:val="uk-UA"/>
        </w:rPr>
      </w:pPr>
      <w:proofErr w:type="spellStart"/>
      <w:r>
        <w:rPr>
          <w:sz w:val="28"/>
          <w:szCs w:val="28"/>
          <w:lang w:val="uk-UA"/>
        </w:rPr>
        <w:t>Сучков</w:t>
      </w:r>
      <w:proofErr w:type="spellEnd"/>
      <w:r>
        <w:rPr>
          <w:sz w:val="28"/>
          <w:szCs w:val="28"/>
          <w:lang w:val="uk-UA"/>
        </w:rPr>
        <w:t xml:space="preserve"> Григорій Михайлович, доктор технічних наук, професор</w:t>
      </w:r>
      <w:r w:rsidR="00334FAF">
        <w:rPr>
          <w:sz w:val="28"/>
          <w:szCs w:val="28"/>
          <w:lang w:val="uk-UA"/>
        </w:rPr>
        <w:t>,</w:t>
      </w:r>
      <w:r>
        <w:rPr>
          <w:sz w:val="28"/>
          <w:szCs w:val="28"/>
          <w:lang w:val="uk-UA"/>
        </w:rPr>
        <w:t xml:space="preserve"> </w:t>
      </w:r>
      <w:r w:rsidR="00334FAF">
        <w:rPr>
          <w:sz w:val="28"/>
          <w:szCs w:val="28"/>
          <w:lang w:val="uk-UA"/>
        </w:rPr>
        <w:t>Донченко Андрій Валерійович</w:t>
      </w:r>
      <w:r w:rsidR="00382928">
        <w:rPr>
          <w:sz w:val="28"/>
          <w:szCs w:val="28"/>
          <w:lang w:val="uk-UA"/>
        </w:rPr>
        <w:t>.</w:t>
      </w:r>
      <w:r w:rsidR="00334FAF">
        <w:rPr>
          <w:sz w:val="28"/>
          <w:szCs w:val="28"/>
          <w:lang w:val="uk-UA"/>
        </w:rPr>
        <w:t xml:space="preserve"> </w:t>
      </w:r>
      <w:r>
        <w:rPr>
          <w:sz w:val="28"/>
          <w:szCs w:val="28"/>
          <w:lang w:val="uk-UA"/>
        </w:rPr>
        <w:t>Національний технічний університет «Харківський політехнічний інститут», м. Харків</w:t>
      </w:r>
    </w:p>
    <w:p w14:paraId="6EB67069" w14:textId="77777777" w:rsidR="001427D6" w:rsidRPr="001427D6" w:rsidRDefault="001427D6">
      <w:pPr>
        <w:rPr>
          <w:sz w:val="28"/>
          <w:szCs w:val="28"/>
          <w:lang w:val="uk-UA"/>
        </w:rPr>
      </w:pPr>
    </w:p>
    <w:p w14:paraId="7ABBAC63" w14:textId="4FD7054F" w:rsidR="001427D6" w:rsidRPr="005F5B63" w:rsidRDefault="005F5B63" w:rsidP="00930025">
      <w:pPr>
        <w:jc w:val="center"/>
        <w:rPr>
          <w:b/>
          <w:bCs/>
          <w:sz w:val="28"/>
          <w:szCs w:val="28"/>
          <w:lang w:val="uk-UA"/>
        </w:rPr>
      </w:pPr>
      <w:r w:rsidRPr="005F5B63">
        <w:rPr>
          <w:b/>
          <w:bCs/>
          <w:sz w:val="28"/>
          <w:szCs w:val="28"/>
          <w:lang w:val="uk-UA"/>
        </w:rPr>
        <w:t>УДОСКОНАЛЕННЯ ЕЛЕКТРОМАГНІТНО-АКУСТИЧНИХ ПЕРЕТВОРЮВАЧІВ ДЛЯ УЛЬТРАЗВУКОВОГО КОНТРОЛЮ ЯКОСТІ ФЕРОМАГНІТНИХ МЕТАЛОВИРОБІВ</w:t>
      </w:r>
    </w:p>
    <w:p w14:paraId="55A265E4" w14:textId="475E94CE" w:rsidR="00930025" w:rsidRDefault="00930025">
      <w:pPr>
        <w:rPr>
          <w:sz w:val="28"/>
          <w:szCs w:val="28"/>
        </w:rPr>
      </w:pPr>
    </w:p>
    <w:p w14:paraId="127F7782" w14:textId="7D7AB635" w:rsidR="00930025" w:rsidRDefault="00662816" w:rsidP="00662816">
      <w:pPr>
        <w:spacing w:line="360" w:lineRule="auto"/>
        <w:ind w:firstLine="709"/>
        <w:jc w:val="both"/>
        <w:rPr>
          <w:sz w:val="28"/>
          <w:szCs w:val="28"/>
          <w:lang w:val="uk-UA"/>
        </w:rPr>
      </w:pPr>
      <w:r>
        <w:rPr>
          <w:sz w:val="28"/>
          <w:szCs w:val="28"/>
          <w:lang w:val="uk-UA"/>
        </w:rPr>
        <w:t xml:space="preserve">Традиційно для ультразвукового контролю якості феромагнітних металовиробів використовують так звані контактні методи, які потребують зачистки поверхні об’єкту контролю (ОК) від фарби, бруду, іржі тощо. На місце введення ультразвукових імпульсів наносять рідину, виконують контроль, видаляють рідину і, при необхідності, наносять фарбу. Такий </w:t>
      </w:r>
      <w:r w:rsidR="00CE7809">
        <w:rPr>
          <w:sz w:val="28"/>
          <w:szCs w:val="28"/>
          <w:lang w:val="uk-UA"/>
        </w:rPr>
        <w:t>метод контролю</w:t>
      </w:r>
      <w:r>
        <w:rPr>
          <w:sz w:val="28"/>
          <w:szCs w:val="28"/>
          <w:lang w:val="uk-UA"/>
        </w:rPr>
        <w:t xml:space="preserve"> суттєво затратний.</w:t>
      </w:r>
    </w:p>
    <w:p w14:paraId="5BBFB813" w14:textId="0C0926A9" w:rsidR="00CE7809" w:rsidRDefault="00FA4AB4" w:rsidP="00662816">
      <w:pPr>
        <w:spacing w:line="360" w:lineRule="auto"/>
        <w:ind w:firstLine="709"/>
        <w:jc w:val="both"/>
        <w:rPr>
          <w:sz w:val="28"/>
          <w:szCs w:val="28"/>
          <w:lang w:val="uk-UA"/>
        </w:rPr>
      </w:pPr>
      <w:r>
        <w:rPr>
          <w:sz w:val="28"/>
          <w:szCs w:val="28"/>
          <w:lang w:val="uk-UA"/>
        </w:rPr>
        <w:t>Недоліки традиційної діагностики в значній мірі виключа</w:t>
      </w:r>
      <w:r w:rsidR="0034598E">
        <w:rPr>
          <w:sz w:val="28"/>
          <w:szCs w:val="28"/>
          <w:lang w:val="uk-UA"/>
        </w:rPr>
        <w:t>ються за рахунок використання</w:t>
      </w:r>
      <w:r>
        <w:rPr>
          <w:sz w:val="28"/>
          <w:szCs w:val="28"/>
          <w:lang w:val="uk-UA"/>
        </w:rPr>
        <w:t xml:space="preserve"> </w:t>
      </w:r>
      <w:proofErr w:type="spellStart"/>
      <w:r>
        <w:rPr>
          <w:sz w:val="28"/>
          <w:szCs w:val="28"/>
          <w:lang w:val="uk-UA"/>
        </w:rPr>
        <w:t>електромагнітно</w:t>
      </w:r>
      <w:proofErr w:type="spellEnd"/>
      <w:r>
        <w:rPr>
          <w:sz w:val="28"/>
          <w:szCs w:val="28"/>
          <w:lang w:val="uk-UA"/>
        </w:rPr>
        <w:t>-акустичн</w:t>
      </w:r>
      <w:r w:rsidR="00407A6B">
        <w:rPr>
          <w:sz w:val="28"/>
          <w:szCs w:val="28"/>
          <w:lang w:val="uk-UA"/>
        </w:rPr>
        <w:t>ого</w:t>
      </w:r>
      <w:r>
        <w:rPr>
          <w:sz w:val="28"/>
          <w:szCs w:val="28"/>
          <w:lang w:val="uk-UA"/>
        </w:rPr>
        <w:t xml:space="preserve"> </w:t>
      </w:r>
      <w:r w:rsidR="00CD4BE2">
        <w:rPr>
          <w:sz w:val="28"/>
          <w:szCs w:val="28"/>
          <w:lang w:val="uk-UA"/>
        </w:rPr>
        <w:t xml:space="preserve">(ЕМА) </w:t>
      </w:r>
      <w:r w:rsidR="00166A65">
        <w:rPr>
          <w:sz w:val="28"/>
          <w:szCs w:val="28"/>
          <w:lang w:val="uk-UA"/>
        </w:rPr>
        <w:t>способу</w:t>
      </w:r>
      <w:r>
        <w:rPr>
          <w:sz w:val="28"/>
          <w:szCs w:val="28"/>
          <w:lang w:val="uk-UA"/>
        </w:rPr>
        <w:t xml:space="preserve"> збудження і прийому ультразвукових імпульсів в металах. </w:t>
      </w:r>
      <w:r w:rsidR="0034598E">
        <w:rPr>
          <w:sz w:val="28"/>
          <w:szCs w:val="28"/>
          <w:lang w:val="uk-UA"/>
        </w:rPr>
        <w:t>Для нього н</w:t>
      </w:r>
      <w:r>
        <w:rPr>
          <w:sz w:val="28"/>
          <w:szCs w:val="28"/>
          <w:lang w:val="uk-UA"/>
        </w:rPr>
        <w:t>е потрібн</w:t>
      </w:r>
      <w:r w:rsidR="0034598E">
        <w:rPr>
          <w:sz w:val="28"/>
          <w:szCs w:val="28"/>
          <w:lang w:val="uk-UA"/>
        </w:rPr>
        <w:t>е</w:t>
      </w:r>
      <w:r>
        <w:rPr>
          <w:sz w:val="28"/>
          <w:szCs w:val="28"/>
          <w:lang w:val="uk-UA"/>
        </w:rPr>
        <w:t xml:space="preserve"> зачищення поверхні виробу в тому числі </w:t>
      </w:r>
      <w:r w:rsidR="0034598E">
        <w:rPr>
          <w:sz w:val="28"/>
          <w:szCs w:val="28"/>
          <w:lang w:val="uk-UA"/>
        </w:rPr>
        <w:t xml:space="preserve">від </w:t>
      </w:r>
      <w:r>
        <w:rPr>
          <w:sz w:val="28"/>
          <w:szCs w:val="28"/>
          <w:lang w:val="uk-UA"/>
        </w:rPr>
        <w:t>фарби</w:t>
      </w:r>
      <w:r w:rsidR="00166A65">
        <w:rPr>
          <w:sz w:val="28"/>
          <w:szCs w:val="28"/>
          <w:lang w:val="uk-UA"/>
        </w:rPr>
        <w:t>, не потрібна контактна рідина</w:t>
      </w:r>
      <w:r w:rsidR="00CD4BE2">
        <w:rPr>
          <w:sz w:val="28"/>
          <w:szCs w:val="28"/>
          <w:lang w:val="uk-UA"/>
        </w:rPr>
        <w:t>. ЕМА перетворювач (ЕМАП) може ефективно функціонувати через повітряний або діелектричний прошарок значної величини</w:t>
      </w:r>
      <w:r w:rsidR="0034598E">
        <w:rPr>
          <w:sz w:val="28"/>
          <w:szCs w:val="28"/>
          <w:lang w:val="uk-UA"/>
        </w:rPr>
        <w:t>.</w:t>
      </w:r>
    </w:p>
    <w:p w14:paraId="66730EF0" w14:textId="561CCB81" w:rsidR="001B32F2" w:rsidRPr="00DB2F0F" w:rsidRDefault="005F5B63" w:rsidP="001B32F2">
      <w:pPr>
        <w:spacing w:line="360" w:lineRule="auto"/>
        <w:ind w:firstLine="709"/>
        <w:jc w:val="both"/>
        <w:rPr>
          <w:sz w:val="28"/>
          <w:szCs w:val="28"/>
          <w:lang w:val="uk-UA"/>
        </w:rPr>
      </w:pPr>
      <w:r w:rsidRPr="00DB2F0F">
        <w:rPr>
          <w:noProof/>
          <w:sz w:val="28"/>
          <w:szCs w:val="28"/>
          <w:lang w:val="uk-UA"/>
        </w:rPr>
        <w:drawing>
          <wp:anchor distT="0" distB="0" distL="114300" distR="114300" simplePos="0" relativeHeight="251659264" behindDoc="0" locked="0" layoutInCell="1" allowOverlap="1" wp14:anchorId="04590315" wp14:editId="29B7F0DA">
            <wp:simplePos x="0" y="0"/>
            <wp:positionH relativeFrom="margin">
              <wp:align>right</wp:align>
            </wp:positionH>
            <wp:positionV relativeFrom="paragraph">
              <wp:posOffset>3810</wp:posOffset>
            </wp:positionV>
            <wp:extent cx="2582545" cy="3467100"/>
            <wp:effectExtent l="0" t="0" r="8255" b="0"/>
            <wp:wrapSquare wrapText="bothSides"/>
            <wp:docPr id="1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2545" cy="3467100"/>
                    </a:xfrm>
                    <a:prstGeom prst="rect">
                      <a:avLst/>
                    </a:prstGeom>
                    <a:noFill/>
                  </pic:spPr>
                </pic:pic>
              </a:graphicData>
            </a:graphic>
            <wp14:sizeRelH relativeFrom="page">
              <wp14:pctWidth>0</wp14:pctWidth>
            </wp14:sizeRelH>
            <wp14:sizeRelV relativeFrom="page">
              <wp14:pctHeight>0</wp14:pctHeight>
            </wp14:sizeRelV>
          </wp:anchor>
        </w:drawing>
      </w:r>
      <w:r w:rsidR="00CD4BE2">
        <w:rPr>
          <w:sz w:val="28"/>
          <w:szCs w:val="28"/>
          <w:lang w:val="uk-UA"/>
        </w:rPr>
        <w:t>Суть ЕМА способу пояснюється рис.1</w:t>
      </w:r>
      <w:r w:rsidR="001B32F2">
        <w:rPr>
          <w:sz w:val="28"/>
          <w:szCs w:val="28"/>
          <w:lang w:val="uk-UA"/>
        </w:rPr>
        <w:t xml:space="preserve">, де </w:t>
      </w:r>
      <w:r w:rsidR="001B32F2" w:rsidRPr="00DB2F0F">
        <w:rPr>
          <w:sz w:val="28"/>
          <w:szCs w:val="28"/>
          <w:lang w:val="uk-UA"/>
        </w:rPr>
        <w:t>1 – постійний магніт; 2 – ОК;</w:t>
      </w:r>
      <w:r w:rsidR="001B32F2">
        <w:rPr>
          <w:sz w:val="28"/>
          <w:szCs w:val="28"/>
          <w:lang w:val="uk-UA"/>
        </w:rPr>
        <w:t xml:space="preserve"> </w:t>
      </w:r>
      <w:r w:rsidR="001B32F2" w:rsidRPr="00DB2F0F">
        <w:rPr>
          <w:sz w:val="28"/>
          <w:szCs w:val="28"/>
          <w:lang w:val="uk-UA"/>
        </w:rPr>
        <w:t>3</w:t>
      </w:r>
      <w:r w:rsidR="001B32F2">
        <w:rPr>
          <w:sz w:val="28"/>
          <w:szCs w:val="28"/>
          <w:lang w:val="uk-UA"/>
        </w:rPr>
        <w:t> </w:t>
      </w:r>
      <w:r w:rsidR="001B32F2" w:rsidRPr="00DB2F0F">
        <w:rPr>
          <w:sz w:val="28"/>
          <w:szCs w:val="28"/>
          <w:lang w:val="uk-UA"/>
        </w:rPr>
        <w:t>– високочастотна котушка індуктивності; 4 – електромагнітний екран; 5 – протектор; 6 – магнітний екран. Стрілками в об’ємі ОК показані напрямки поширення ультразвукових імпульсів.</w:t>
      </w:r>
    </w:p>
    <w:p w14:paraId="0CC5D4DD" w14:textId="2DA0756E" w:rsidR="00CD4BE2" w:rsidRDefault="007A08EF" w:rsidP="00662816">
      <w:pPr>
        <w:spacing w:line="360" w:lineRule="auto"/>
        <w:ind w:firstLine="709"/>
        <w:jc w:val="both"/>
        <w:rPr>
          <w:sz w:val="28"/>
          <w:szCs w:val="28"/>
          <w:lang w:val="uk-UA"/>
        </w:rPr>
      </w:pPr>
      <w:r>
        <w:rPr>
          <w:sz w:val="28"/>
          <w:szCs w:val="28"/>
          <w:lang w:val="uk-UA"/>
        </w:rPr>
        <w:t>К</w:t>
      </w:r>
      <w:r w:rsidRPr="00DB2F0F">
        <w:rPr>
          <w:sz w:val="28"/>
          <w:szCs w:val="28"/>
          <w:lang w:val="uk-UA"/>
        </w:rPr>
        <w:t xml:space="preserve">оефіцієнт </w:t>
      </w:r>
      <w:r w:rsidRPr="00DB2F0F">
        <w:rPr>
          <w:i/>
          <w:iCs/>
          <w:sz w:val="28"/>
          <w:szCs w:val="28"/>
          <w:lang w:val="uk-UA"/>
        </w:rPr>
        <w:t>ƞ</w:t>
      </w:r>
      <w:r w:rsidRPr="00DB2F0F">
        <w:rPr>
          <w:sz w:val="28"/>
          <w:szCs w:val="28"/>
          <w:lang w:val="uk-UA"/>
        </w:rPr>
        <w:t xml:space="preserve"> подвійного ЕМА перетворення</w:t>
      </w:r>
      <w:r>
        <w:rPr>
          <w:sz w:val="28"/>
          <w:szCs w:val="28"/>
          <w:lang w:val="uk-UA"/>
        </w:rPr>
        <w:t xml:space="preserve"> визначається </w:t>
      </w:r>
      <w:r w:rsidR="004652BB">
        <w:rPr>
          <w:sz w:val="28"/>
          <w:szCs w:val="28"/>
          <w:lang w:val="uk-UA"/>
        </w:rPr>
        <w:t>виразом</w:t>
      </w:r>
    </w:p>
    <w:p w14:paraId="2CDD12B9" w14:textId="42EEF0A0" w:rsidR="003A0F5F" w:rsidRPr="00DB2F0F" w:rsidRDefault="003A0F5F" w:rsidP="003A0F5F">
      <w:pPr>
        <w:widowControl w:val="0"/>
        <w:spacing w:line="360" w:lineRule="auto"/>
        <w:jc w:val="center"/>
        <w:rPr>
          <w:sz w:val="28"/>
          <w:szCs w:val="28"/>
          <w:lang w:val="uk-UA"/>
        </w:rPr>
      </w:pPr>
      <w:bookmarkStart w:id="0" w:name="_Hlk110400223"/>
      <w:r w:rsidRPr="00DB2F0F">
        <w:rPr>
          <w:i/>
          <w:iCs/>
          <w:sz w:val="28"/>
          <w:szCs w:val="28"/>
          <w:lang w:val="uk-UA"/>
        </w:rPr>
        <w:t>ƞ</w:t>
      </w:r>
      <w:bookmarkEnd w:id="0"/>
      <w:r w:rsidRPr="00DB2F0F">
        <w:rPr>
          <w:i/>
          <w:iCs/>
          <w:sz w:val="28"/>
          <w:szCs w:val="28"/>
          <w:lang w:val="uk-UA"/>
        </w:rPr>
        <w:t>= k I В</w:t>
      </w:r>
      <w:r w:rsidRPr="00DB2F0F">
        <w:rPr>
          <w:i/>
          <w:iCs/>
          <w:sz w:val="28"/>
          <w:szCs w:val="28"/>
          <w:vertAlign w:val="superscript"/>
          <w:lang w:val="uk-UA"/>
        </w:rPr>
        <w:t>2</w:t>
      </w:r>
      <w:r w:rsidRPr="00DB2F0F">
        <w:rPr>
          <w:i/>
          <w:iCs/>
          <w:sz w:val="28"/>
          <w:szCs w:val="28"/>
          <w:lang w:val="uk-UA"/>
        </w:rPr>
        <w:t xml:space="preserve"> </w:t>
      </w:r>
      <w:proofErr w:type="spellStart"/>
      <w:r w:rsidRPr="00DB2F0F">
        <w:rPr>
          <w:i/>
          <w:iCs/>
          <w:sz w:val="28"/>
          <w:szCs w:val="28"/>
          <w:lang w:val="uk-UA"/>
        </w:rPr>
        <w:t>exp</w:t>
      </w:r>
      <w:proofErr w:type="spellEnd"/>
      <w:r w:rsidRPr="00DB2F0F">
        <w:rPr>
          <w:i/>
          <w:iCs/>
          <w:sz w:val="28"/>
          <w:szCs w:val="28"/>
          <w:lang w:val="uk-UA"/>
        </w:rPr>
        <w:t>(-h/R),</w:t>
      </w:r>
      <w:bookmarkStart w:id="1" w:name="_Hlk110400760"/>
      <w:bookmarkStart w:id="2" w:name="_Hlk110400367"/>
      <w:bookmarkEnd w:id="1"/>
      <w:bookmarkEnd w:id="2"/>
    </w:p>
    <w:p w14:paraId="5930ECEC" w14:textId="74B454FC" w:rsidR="003A0F5F" w:rsidRPr="00DB2F0F" w:rsidRDefault="005F5B63" w:rsidP="003A0F5F">
      <w:pPr>
        <w:widowControl w:val="0"/>
        <w:spacing w:line="360" w:lineRule="auto"/>
        <w:jc w:val="both"/>
        <w:rPr>
          <w:sz w:val="28"/>
          <w:szCs w:val="28"/>
          <w:lang w:val="uk-UA"/>
        </w:rPr>
      </w:pPr>
      <w:r>
        <w:rPr>
          <w:noProof/>
        </w:rPr>
        <mc:AlternateContent>
          <mc:Choice Requires="wps">
            <w:drawing>
              <wp:anchor distT="0" distB="0" distL="114300" distR="114300" simplePos="0" relativeHeight="251661312" behindDoc="0" locked="0" layoutInCell="1" allowOverlap="1" wp14:anchorId="42F1A83B" wp14:editId="687DE948">
                <wp:simplePos x="0" y="0"/>
                <wp:positionH relativeFrom="column">
                  <wp:posOffset>3636010</wp:posOffset>
                </wp:positionH>
                <wp:positionV relativeFrom="paragraph">
                  <wp:posOffset>506095</wp:posOffset>
                </wp:positionV>
                <wp:extent cx="2349500" cy="635"/>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2349500" cy="635"/>
                        </a:xfrm>
                        <a:prstGeom prst="rect">
                          <a:avLst/>
                        </a:prstGeom>
                        <a:solidFill>
                          <a:prstClr val="white"/>
                        </a:solidFill>
                        <a:ln>
                          <a:noFill/>
                        </a:ln>
                      </wps:spPr>
                      <wps:txbx>
                        <w:txbxContent>
                          <w:p w14:paraId="7FFDF8FE" w14:textId="26839491" w:rsidR="007A08EF" w:rsidRPr="007A08EF" w:rsidRDefault="007A08EF" w:rsidP="007A08EF">
                            <w:pPr>
                              <w:pStyle w:val="a3"/>
                              <w:jc w:val="center"/>
                              <w:rPr>
                                <w:noProof/>
                                <w:sz w:val="28"/>
                                <w:szCs w:val="28"/>
                                <w:lang w:val="uk-UA"/>
                              </w:rPr>
                            </w:pPr>
                            <w:r w:rsidRPr="007A08EF">
                              <w:rPr>
                                <w:sz w:val="28"/>
                                <w:szCs w:val="28"/>
                              </w:rPr>
                              <w:t xml:space="preserve">Рисунок </w:t>
                            </w:r>
                            <w:r w:rsidRPr="007A08EF">
                              <w:rPr>
                                <w:sz w:val="28"/>
                                <w:szCs w:val="28"/>
                              </w:rPr>
                              <w:fldChar w:fldCharType="begin"/>
                            </w:r>
                            <w:r w:rsidRPr="007A08EF">
                              <w:rPr>
                                <w:sz w:val="28"/>
                                <w:szCs w:val="28"/>
                              </w:rPr>
                              <w:instrText xml:space="preserve"> SEQ Рисунок \* ARABIC </w:instrText>
                            </w:r>
                            <w:r w:rsidRPr="007A08EF">
                              <w:rPr>
                                <w:sz w:val="28"/>
                                <w:szCs w:val="28"/>
                              </w:rPr>
                              <w:fldChar w:fldCharType="separate"/>
                            </w:r>
                            <w:r w:rsidR="00F82EB5">
                              <w:rPr>
                                <w:noProof/>
                                <w:sz w:val="28"/>
                                <w:szCs w:val="28"/>
                              </w:rPr>
                              <w:t>1</w:t>
                            </w:r>
                            <w:r w:rsidRPr="007A08EF">
                              <w:rPr>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2F1A83B" id="_x0000_t202" coordsize="21600,21600" o:spt="202" path="m,l,21600r21600,l21600,xe">
                <v:stroke joinstyle="miter"/>
                <v:path gradientshapeok="t" o:connecttype="rect"/>
              </v:shapetype>
              <v:shape id="Надпись 1" o:spid="_x0000_s1026" type="#_x0000_t202" style="position:absolute;left:0;text-align:left;margin-left:286.3pt;margin-top:39.85pt;width:185pt;height:.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" stroked="f">
                <v:textbox style="mso-fit-shape-to-text:t" inset="0,0,0,0">
                  <w:txbxContent>
                    <w:p w14:paraId="7FFDF8FE" w14:textId="26839491" w:rsidR="007A08EF" w:rsidRPr="007A08EF" w:rsidRDefault="007A08EF" w:rsidP="007A08EF">
                      <w:pPr>
                        <w:pStyle w:val="a3"/>
                        <w:jc w:val="center"/>
                        <w:rPr>
                          <w:noProof/>
                          <w:sz w:val="28"/>
                          <w:szCs w:val="28"/>
                          <w:lang w:val="uk-UA"/>
                        </w:rPr>
                      </w:pPr>
                      <w:r w:rsidRPr="007A08EF">
                        <w:rPr>
                          <w:sz w:val="28"/>
                          <w:szCs w:val="28"/>
                        </w:rPr>
                        <w:t xml:space="preserve">Рисунок </w:t>
                      </w:r>
                      <w:r w:rsidRPr="007A08EF">
                        <w:rPr>
                          <w:sz w:val="28"/>
                          <w:szCs w:val="28"/>
                        </w:rPr>
                        <w:fldChar w:fldCharType="begin"/>
                      </w:r>
                      <w:r w:rsidRPr="007A08EF">
                        <w:rPr>
                          <w:sz w:val="28"/>
                          <w:szCs w:val="28"/>
                        </w:rPr>
                        <w:instrText xml:space="preserve"> SEQ Рисунок \* ARABIC </w:instrText>
                      </w:r>
                      <w:r w:rsidRPr="007A08EF">
                        <w:rPr>
                          <w:sz w:val="28"/>
                          <w:szCs w:val="28"/>
                        </w:rPr>
                        <w:fldChar w:fldCharType="separate"/>
                      </w:r>
                      <w:r w:rsidR="00F82EB5">
                        <w:rPr>
                          <w:noProof/>
                          <w:sz w:val="28"/>
                          <w:szCs w:val="28"/>
                        </w:rPr>
                        <w:t>1</w:t>
                      </w:r>
                      <w:r w:rsidRPr="007A08EF">
                        <w:rPr>
                          <w:sz w:val="28"/>
                          <w:szCs w:val="28"/>
                        </w:rPr>
                        <w:fldChar w:fldCharType="end"/>
                      </w:r>
                    </w:p>
                  </w:txbxContent>
                </v:textbox>
                <w10:wrap type="square"/>
              </v:shape>
            </w:pict>
          </mc:Fallback>
        </mc:AlternateContent>
      </w:r>
      <w:r w:rsidR="003A0F5F" w:rsidRPr="00DB2F0F">
        <w:rPr>
          <w:sz w:val="28"/>
          <w:szCs w:val="28"/>
          <w:lang w:val="uk-UA"/>
        </w:rPr>
        <w:t xml:space="preserve">де </w:t>
      </w:r>
      <w:r w:rsidR="003A0F5F" w:rsidRPr="00DB2F0F">
        <w:rPr>
          <w:i/>
          <w:iCs/>
          <w:sz w:val="28"/>
          <w:szCs w:val="28"/>
          <w:lang w:val="uk-UA"/>
        </w:rPr>
        <w:t>k</w:t>
      </w:r>
      <w:r w:rsidR="003A0F5F" w:rsidRPr="00DB2F0F">
        <w:rPr>
          <w:sz w:val="28"/>
          <w:szCs w:val="28"/>
          <w:lang w:val="uk-UA"/>
        </w:rPr>
        <w:t xml:space="preserve"> - </w:t>
      </w:r>
      <w:r w:rsidR="007A08EF">
        <w:rPr>
          <w:sz w:val="28"/>
          <w:szCs w:val="28"/>
          <w:lang w:val="uk-UA"/>
        </w:rPr>
        <w:t>к</w:t>
      </w:r>
      <w:r w:rsidR="003A0F5F" w:rsidRPr="00DB2F0F">
        <w:rPr>
          <w:sz w:val="28"/>
          <w:szCs w:val="28"/>
          <w:lang w:val="uk-UA"/>
        </w:rPr>
        <w:t>оефіцієнт, що залежить від електричних, магнітних і пружних характеристик матеріалу</w:t>
      </w:r>
      <w:r w:rsidR="00E678F5">
        <w:rPr>
          <w:sz w:val="28"/>
          <w:szCs w:val="28"/>
          <w:lang w:val="uk-UA"/>
        </w:rPr>
        <w:t xml:space="preserve"> що </w:t>
      </w:r>
      <w:r w:rsidR="00E678F5">
        <w:rPr>
          <w:sz w:val="28"/>
          <w:szCs w:val="28"/>
          <w:lang w:val="uk-UA"/>
        </w:rPr>
        <w:t>контролює</w:t>
      </w:r>
      <w:r w:rsidR="00E678F5">
        <w:rPr>
          <w:sz w:val="28"/>
          <w:szCs w:val="28"/>
          <w:lang w:val="uk-UA"/>
        </w:rPr>
        <w:t>ться</w:t>
      </w:r>
      <w:r w:rsidR="003A0F5F" w:rsidRPr="00DB2F0F">
        <w:rPr>
          <w:sz w:val="28"/>
          <w:szCs w:val="28"/>
          <w:lang w:val="uk-UA"/>
        </w:rPr>
        <w:t xml:space="preserve">; </w:t>
      </w:r>
      <w:r w:rsidR="003A0F5F" w:rsidRPr="00DB2F0F">
        <w:rPr>
          <w:i/>
          <w:iCs/>
          <w:sz w:val="28"/>
          <w:szCs w:val="28"/>
          <w:lang w:val="uk-UA"/>
        </w:rPr>
        <w:lastRenderedPageBreak/>
        <w:t>I</w:t>
      </w:r>
      <w:r w:rsidR="00E678F5">
        <w:rPr>
          <w:i/>
          <w:iCs/>
          <w:sz w:val="28"/>
          <w:szCs w:val="28"/>
          <w:lang w:val="uk-UA"/>
        </w:rPr>
        <w:t> </w:t>
      </w:r>
      <w:r w:rsidR="003A0F5F" w:rsidRPr="00DB2F0F">
        <w:rPr>
          <w:sz w:val="28"/>
          <w:szCs w:val="28"/>
          <w:lang w:val="uk-UA"/>
        </w:rPr>
        <w:t>– сила високочастотного струму в котушці індуктивності ЕМАП</w:t>
      </w:r>
      <w:r w:rsidR="007A08EF">
        <w:rPr>
          <w:sz w:val="28"/>
          <w:szCs w:val="28"/>
          <w:lang w:val="uk-UA"/>
        </w:rPr>
        <w:t xml:space="preserve">; </w:t>
      </w:r>
      <w:r w:rsidR="003A0F5F" w:rsidRPr="00407A6B">
        <w:rPr>
          <w:b/>
          <w:bCs/>
          <w:i/>
          <w:iCs/>
          <w:sz w:val="28"/>
          <w:szCs w:val="28"/>
          <w:lang w:val="uk-UA"/>
        </w:rPr>
        <w:t>В</w:t>
      </w:r>
      <w:r w:rsidR="003A0F5F" w:rsidRPr="00DB2F0F">
        <w:rPr>
          <w:sz w:val="28"/>
          <w:szCs w:val="28"/>
          <w:lang w:val="uk-UA"/>
        </w:rPr>
        <w:t xml:space="preserve"> - величина нормальної компоненти індукції постійного магнітного поля, </w:t>
      </w:r>
      <w:proofErr w:type="spellStart"/>
      <w:r w:rsidR="003A0F5F" w:rsidRPr="00DB2F0F">
        <w:rPr>
          <w:i/>
          <w:iCs/>
          <w:sz w:val="28"/>
          <w:szCs w:val="28"/>
          <w:lang w:val="uk-UA"/>
        </w:rPr>
        <w:t>Тл</w:t>
      </w:r>
      <w:proofErr w:type="spellEnd"/>
      <w:r w:rsidR="003A0F5F" w:rsidRPr="00DB2F0F">
        <w:rPr>
          <w:sz w:val="28"/>
          <w:szCs w:val="28"/>
          <w:lang w:val="uk-UA"/>
        </w:rPr>
        <w:t xml:space="preserve">; </w:t>
      </w:r>
      <w:r w:rsidR="003A0F5F" w:rsidRPr="00DB2F0F">
        <w:rPr>
          <w:i/>
          <w:iCs/>
          <w:sz w:val="28"/>
          <w:szCs w:val="28"/>
          <w:lang w:val="uk-UA"/>
        </w:rPr>
        <w:t xml:space="preserve">h </w:t>
      </w:r>
      <w:r w:rsidR="003A0F5F" w:rsidRPr="00DB2F0F">
        <w:rPr>
          <w:sz w:val="28"/>
          <w:szCs w:val="28"/>
          <w:lang w:val="uk-UA"/>
        </w:rPr>
        <w:t xml:space="preserve">– відстань від ЕМАП до поверхні ОК, мм; </w:t>
      </w:r>
      <w:r w:rsidR="003A0F5F" w:rsidRPr="00DB2F0F">
        <w:rPr>
          <w:i/>
          <w:iCs/>
          <w:sz w:val="28"/>
          <w:szCs w:val="28"/>
          <w:lang w:val="uk-UA"/>
        </w:rPr>
        <w:t>R</w:t>
      </w:r>
      <w:r w:rsidR="003A0F5F" w:rsidRPr="00DB2F0F">
        <w:rPr>
          <w:sz w:val="28"/>
          <w:szCs w:val="28"/>
          <w:lang w:val="uk-UA"/>
        </w:rPr>
        <w:t xml:space="preserve"> – середній розмір високочастотної котушки індуктивності, мм.</w:t>
      </w:r>
    </w:p>
    <w:p w14:paraId="43B9556B" w14:textId="0E21A75A" w:rsidR="003A0F5F" w:rsidRDefault="009C18B2" w:rsidP="00662816">
      <w:pPr>
        <w:spacing w:line="360" w:lineRule="auto"/>
        <w:ind w:firstLine="709"/>
        <w:jc w:val="both"/>
        <w:rPr>
          <w:sz w:val="28"/>
          <w:szCs w:val="28"/>
          <w:lang w:val="uk-UA"/>
        </w:rPr>
      </w:pPr>
      <w:r>
        <w:rPr>
          <w:sz w:val="28"/>
          <w:szCs w:val="28"/>
          <w:lang w:val="uk-UA"/>
        </w:rPr>
        <w:t xml:space="preserve">Типовий варіант портативного суміщеного ЕМАП, рис.1, з постійним магнітом, зважаючи на значні </w:t>
      </w:r>
      <w:r w:rsidR="004652BB">
        <w:rPr>
          <w:sz w:val="28"/>
          <w:szCs w:val="28"/>
          <w:lang w:val="uk-UA"/>
        </w:rPr>
        <w:t xml:space="preserve">економічні </w:t>
      </w:r>
      <w:r>
        <w:rPr>
          <w:sz w:val="28"/>
          <w:szCs w:val="28"/>
          <w:lang w:val="uk-UA"/>
        </w:rPr>
        <w:t>переваги перед традиційними контактними перетворювачами, має суттєвий недолік. Він сильно притягується до феромагнітного виробу, до нього налипають іржа, частки металу, що приводить до виходу ЕМАП з ладу. Окрім того виникають складнощі при скануванні ОК.</w:t>
      </w:r>
    </w:p>
    <w:p w14:paraId="08F72827" w14:textId="3347DC19" w:rsidR="00CD4BE2" w:rsidRDefault="005F5B63" w:rsidP="005D688F">
      <w:pPr>
        <w:spacing w:line="360" w:lineRule="auto"/>
        <w:ind w:firstLine="709"/>
        <w:jc w:val="both"/>
        <w:rPr>
          <w:sz w:val="28"/>
          <w:szCs w:val="28"/>
          <w:lang w:val="uk-UA"/>
        </w:rPr>
      </w:pPr>
      <w:r>
        <w:rPr>
          <w:noProof/>
          <w:sz w:val="28"/>
          <w:szCs w:val="28"/>
          <w:lang w:val="uk-UA"/>
        </w:rPr>
        <w:drawing>
          <wp:anchor distT="0" distB="0" distL="114300" distR="114300" simplePos="0" relativeHeight="251668480" behindDoc="0" locked="0" layoutInCell="1" allowOverlap="1" wp14:anchorId="7DCAA113" wp14:editId="66D3703D">
            <wp:simplePos x="0" y="0"/>
            <wp:positionH relativeFrom="margin">
              <wp:align>right</wp:align>
            </wp:positionH>
            <wp:positionV relativeFrom="paragraph">
              <wp:posOffset>1273175</wp:posOffset>
            </wp:positionV>
            <wp:extent cx="2094230" cy="1892935"/>
            <wp:effectExtent l="0" t="0" r="127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4230" cy="18929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32568F54" wp14:editId="7BD62134">
                <wp:simplePos x="0" y="0"/>
                <wp:positionH relativeFrom="margin">
                  <wp:align>right</wp:align>
                </wp:positionH>
                <wp:positionV relativeFrom="paragraph">
                  <wp:posOffset>3284855</wp:posOffset>
                </wp:positionV>
                <wp:extent cx="2031365" cy="635"/>
                <wp:effectExtent l="0" t="0" r="6985" b="0"/>
                <wp:wrapSquare wrapText="bothSides"/>
                <wp:docPr id="4" name="Надпись 4"/>
                <wp:cNvGraphicFramePr/>
                <a:graphic xmlns:a="http://schemas.openxmlformats.org/drawingml/2006/main">
                  <a:graphicData uri="http://schemas.microsoft.com/office/word/2010/wordprocessingShape">
                    <wps:wsp>
                      <wps:cNvSpPr txBox="1"/>
                      <wps:spPr>
                        <a:xfrm>
                          <a:off x="0" y="0"/>
                          <a:ext cx="2031365" cy="635"/>
                        </a:xfrm>
                        <a:prstGeom prst="rect">
                          <a:avLst/>
                        </a:prstGeom>
                        <a:solidFill>
                          <a:prstClr val="white"/>
                        </a:solidFill>
                        <a:ln>
                          <a:noFill/>
                        </a:ln>
                      </wps:spPr>
                      <wps:txbx>
                        <w:txbxContent>
                          <w:p w14:paraId="1F7718C4" w14:textId="7411B8EC" w:rsidR="00646C7F" w:rsidRPr="00646C7F" w:rsidRDefault="00646C7F" w:rsidP="00646C7F">
                            <w:pPr>
                              <w:pStyle w:val="a3"/>
                              <w:jc w:val="center"/>
                              <w:rPr>
                                <w:noProof/>
                                <w:sz w:val="28"/>
                                <w:szCs w:val="28"/>
                                <w:lang w:val="uk-UA"/>
                              </w:rPr>
                            </w:pPr>
                            <w:r w:rsidRPr="00646C7F">
                              <w:rPr>
                                <w:sz w:val="28"/>
                                <w:szCs w:val="28"/>
                              </w:rPr>
                              <w:t xml:space="preserve">Рисунок </w:t>
                            </w:r>
                            <w:r w:rsidRPr="00646C7F">
                              <w:rPr>
                                <w:sz w:val="28"/>
                                <w:szCs w:val="28"/>
                              </w:rPr>
                              <w:fldChar w:fldCharType="begin"/>
                            </w:r>
                            <w:r w:rsidRPr="00646C7F">
                              <w:rPr>
                                <w:sz w:val="28"/>
                                <w:szCs w:val="28"/>
                              </w:rPr>
                              <w:instrText xml:space="preserve"> SEQ Рисунок \* ARABIC </w:instrText>
                            </w:r>
                            <w:r w:rsidRPr="00646C7F">
                              <w:rPr>
                                <w:sz w:val="28"/>
                                <w:szCs w:val="28"/>
                              </w:rPr>
                              <w:fldChar w:fldCharType="separate"/>
                            </w:r>
                            <w:r w:rsidR="00F82EB5">
                              <w:rPr>
                                <w:noProof/>
                                <w:sz w:val="28"/>
                                <w:szCs w:val="28"/>
                              </w:rPr>
                              <w:t>2</w:t>
                            </w:r>
                            <w:r w:rsidRPr="00646C7F">
                              <w:rPr>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2568F54" id="Надпись 4" o:spid="_x0000_s1027" type="#_x0000_t202" style="position:absolute;left:0;text-align:left;margin-left:108.75pt;margin-top:258.65pt;width:159.95pt;height:.05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" stroked="f">
                <v:textbox style="mso-fit-shape-to-text:t" inset="0,0,0,0">
                  <w:txbxContent>
                    <w:p w14:paraId="1F7718C4" w14:textId="7411B8EC" w:rsidR="00646C7F" w:rsidRPr="00646C7F" w:rsidRDefault="00646C7F" w:rsidP="00646C7F">
                      <w:pPr>
                        <w:pStyle w:val="a3"/>
                        <w:jc w:val="center"/>
                        <w:rPr>
                          <w:noProof/>
                          <w:sz w:val="28"/>
                          <w:szCs w:val="28"/>
                          <w:lang w:val="uk-UA"/>
                        </w:rPr>
                      </w:pPr>
                      <w:r w:rsidRPr="00646C7F">
                        <w:rPr>
                          <w:sz w:val="28"/>
                          <w:szCs w:val="28"/>
                        </w:rPr>
                        <w:t xml:space="preserve">Рисунок </w:t>
                      </w:r>
                      <w:r w:rsidRPr="00646C7F">
                        <w:rPr>
                          <w:sz w:val="28"/>
                          <w:szCs w:val="28"/>
                        </w:rPr>
                        <w:fldChar w:fldCharType="begin"/>
                      </w:r>
                      <w:r w:rsidRPr="00646C7F">
                        <w:rPr>
                          <w:sz w:val="28"/>
                          <w:szCs w:val="28"/>
                        </w:rPr>
                        <w:instrText xml:space="preserve"> SEQ Рисунок \* ARABIC </w:instrText>
                      </w:r>
                      <w:r w:rsidRPr="00646C7F">
                        <w:rPr>
                          <w:sz w:val="28"/>
                          <w:szCs w:val="28"/>
                        </w:rPr>
                        <w:fldChar w:fldCharType="separate"/>
                      </w:r>
                      <w:r w:rsidR="00F82EB5">
                        <w:rPr>
                          <w:noProof/>
                          <w:sz w:val="28"/>
                          <w:szCs w:val="28"/>
                        </w:rPr>
                        <w:t>2</w:t>
                      </w:r>
                      <w:r w:rsidRPr="00646C7F">
                        <w:rPr>
                          <w:sz w:val="28"/>
                          <w:szCs w:val="28"/>
                        </w:rPr>
                        <w:fldChar w:fldCharType="end"/>
                      </w:r>
                    </w:p>
                  </w:txbxContent>
                </v:textbox>
                <w10:wrap type="square" anchorx="margin"/>
              </v:shape>
            </w:pict>
          </mc:Fallback>
        </mc:AlternateContent>
      </w:r>
      <w:r w:rsidR="00130476">
        <w:rPr>
          <w:sz w:val="28"/>
          <w:szCs w:val="28"/>
          <w:lang w:val="uk-UA"/>
        </w:rPr>
        <w:t>Виключити вище наведені недоліки можливо за рахунок використання в складі перетворювача портативних імпульсних джерел магнітного поля</w:t>
      </w:r>
      <w:r w:rsidR="004652BB">
        <w:rPr>
          <w:sz w:val="28"/>
          <w:szCs w:val="28"/>
          <w:lang w:val="uk-UA"/>
        </w:rPr>
        <w:t xml:space="preserve"> (ІДМ). Варіант такого ІДМ наведено на рис.2.</w:t>
      </w:r>
      <w:r w:rsidR="005D688F">
        <w:rPr>
          <w:sz w:val="28"/>
          <w:szCs w:val="28"/>
          <w:lang w:val="uk-UA"/>
        </w:rPr>
        <w:t xml:space="preserve"> ІМД має шихтований сердечник на якому намотано товстою стрічкою з міді 6 витків. Це необхідно для забезпечення мінімального опору. Така вимога обумовлена наступним: Імпульсний струм намагнічування повинен мати мінімальну часову тривалість для мінімізації втрат електроенергії. Часова тривалість </w:t>
      </w:r>
      <w:r w:rsidR="00AC2CF0">
        <w:rPr>
          <w:sz w:val="28"/>
          <w:szCs w:val="28"/>
          <w:lang w:val="uk-UA"/>
        </w:rPr>
        <w:t>імпульс</w:t>
      </w:r>
      <w:r w:rsidR="00407A6B">
        <w:rPr>
          <w:sz w:val="28"/>
          <w:szCs w:val="28"/>
          <w:lang w:val="uk-UA"/>
        </w:rPr>
        <w:t>у</w:t>
      </w:r>
      <w:r w:rsidR="00AC2CF0">
        <w:rPr>
          <w:sz w:val="28"/>
          <w:szCs w:val="28"/>
          <w:lang w:val="uk-UA"/>
        </w:rPr>
        <w:t xml:space="preserve"> струму намагнічування з максимальним значенням повинна забезпечувати збудження і прийом ультразвукових сигналів для заданих товщин ОК, рис.3.</w:t>
      </w:r>
    </w:p>
    <w:p w14:paraId="47B0636B" w14:textId="2E0260F7" w:rsidR="001427D6" w:rsidRPr="001427D6" w:rsidRDefault="00E678F5" w:rsidP="00E678F5">
      <w:pPr>
        <w:spacing w:line="360" w:lineRule="auto"/>
        <w:ind w:firstLine="709"/>
        <w:jc w:val="both"/>
        <w:rPr>
          <w:sz w:val="28"/>
          <w:szCs w:val="28"/>
          <w:lang w:val="uk-UA"/>
        </w:rPr>
      </w:pPr>
      <w:r>
        <w:rPr>
          <w:noProof/>
        </w:rPr>
        <mc:AlternateContent>
          <mc:Choice Requires="wps">
            <w:drawing>
              <wp:anchor distT="0" distB="0" distL="114300" distR="114300" simplePos="0" relativeHeight="251667456" behindDoc="0" locked="0" layoutInCell="1" allowOverlap="1" wp14:anchorId="256E2CE6" wp14:editId="2C4EC058">
                <wp:simplePos x="0" y="0"/>
                <wp:positionH relativeFrom="margin">
                  <wp:align>left</wp:align>
                </wp:positionH>
                <wp:positionV relativeFrom="paragraph">
                  <wp:posOffset>2170430</wp:posOffset>
                </wp:positionV>
                <wp:extent cx="3168650" cy="635"/>
                <wp:effectExtent l="0" t="0" r="0" b="0"/>
                <wp:wrapSquare wrapText="bothSides"/>
                <wp:docPr id="5" name="Надпись 5"/>
                <wp:cNvGraphicFramePr/>
                <a:graphic xmlns:a="http://schemas.openxmlformats.org/drawingml/2006/main">
                  <a:graphicData uri="http://schemas.microsoft.com/office/word/2010/wordprocessingShape">
                    <wps:wsp>
                      <wps:cNvSpPr txBox="1"/>
                      <wps:spPr>
                        <a:xfrm>
                          <a:off x="0" y="0"/>
                          <a:ext cx="3168650" cy="635"/>
                        </a:xfrm>
                        <a:prstGeom prst="rect">
                          <a:avLst/>
                        </a:prstGeom>
                        <a:solidFill>
                          <a:prstClr val="white"/>
                        </a:solidFill>
                        <a:ln>
                          <a:noFill/>
                        </a:ln>
                      </wps:spPr>
                      <wps:txbx>
                        <w:txbxContent>
                          <w:p w14:paraId="61ADAFD0" w14:textId="12798AA1" w:rsidR="00F82EB5" w:rsidRPr="00F82EB5" w:rsidRDefault="00F82EB5" w:rsidP="00F82EB5">
                            <w:pPr>
                              <w:pStyle w:val="a3"/>
                              <w:jc w:val="center"/>
                              <w:rPr>
                                <w:noProof/>
                                <w:sz w:val="28"/>
                                <w:szCs w:val="28"/>
                                <w:lang w:val="uk-UA"/>
                              </w:rPr>
                            </w:pPr>
                            <w:r w:rsidRPr="00F82EB5">
                              <w:rPr>
                                <w:sz w:val="28"/>
                                <w:szCs w:val="28"/>
                              </w:rPr>
                              <w:t xml:space="preserve">Рисунок </w:t>
                            </w:r>
                            <w:r w:rsidRPr="00F82EB5">
                              <w:rPr>
                                <w:sz w:val="28"/>
                                <w:szCs w:val="28"/>
                              </w:rPr>
                              <w:fldChar w:fldCharType="begin"/>
                            </w:r>
                            <w:r w:rsidRPr="00F82EB5">
                              <w:rPr>
                                <w:sz w:val="28"/>
                                <w:szCs w:val="28"/>
                              </w:rPr>
                              <w:instrText xml:space="preserve"> SEQ Рисунок \* ARABIC </w:instrText>
                            </w:r>
                            <w:r w:rsidRPr="00F82EB5">
                              <w:rPr>
                                <w:sz w:val="28"/>
                                <w:szCs w:val="28"/>
                              </w:rPr>
                              <w:fldChar w:fldCharType="separate"/>
                            </w:r>
                            <w:r w:rsidRPr="00F82EB5">
                              <w:rPr>
                                <w:noProof/>
                                <w:sz w:val="28"/>
                                <w:szCs w:val="28"/>
                              </w:rPr>
                              <w:t>3</w:t>
                            </w:r>
                            <w:r w:rsidRPr="00F82EB5">
                              <w:rPr>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6E2CE6" id="Надпись 5" o:spid="_x0000_s1028" type="#_x0000_t202" style="position:absolute;left:0;text-align:left;margin-left:0;margin-top:170.9pt;width:249.5pt;height:.0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" stroked="f">
                <v:textbox style="mso-fit-shape-to-text:t" inset="0,0,0,0">
                  <w:txbxContent>
                    <w:p w14:paraId="61ADAFD0" w14:textId="12798AA1" w:rsidR="00F82EB5" w:rsidRPr="00F82EB5" w:rsidRDefault="00F82EB5" w:rsidP="00F82EB5">
                      <w:pPr>
                        <w:pStyle w:val="a3"/>
                        <w:jc w:val="center"/>
                        <w:rPr>
                          <w:noProof/>
                          <w:sz w:val="28"/>
                          <w:szCs w:val="28"/>
                          <w:lang w:val="uk-UA"/>
                        </w:rPr>
                      </w:pPr>
                      <w:r w:rsidRPr="00F82EB5">
                        <w:rPr>
                          <w:sz w:val="28"/>
                          <w:szCs w:val="28"/>
                        </w:rPr>
                        <w:t xml:space="preserve">Рисунок </w:t>
                      </w:r>
                      <w:r w:rsidRPr="00F82EB5">
                        <w:rPr>
                          <w:sz w:val="28"/>
                          <w:szCs w:val="28"/>
                        </w:rPr>
                        <w:fldChar w:fldCharType="begin"/>
                      </w:r>
                      <w:r w:rsidRPr="00F82EB5">
                        <w:rPr>
                          <w:sz w:val="28"/>
                          <w:szCs w:val="28"/>
                        </w:rPr>
                        <w:instrText xml:space="preserve"> SEQ Рисунок \* ARABIC </w:instrText>
                      </w:r>
                      <w:r w:rsidRPr="00F82EB5">
                        <w:rPr>
                          <w:sz w:val="28"/>
                          <w:szCs w:val="28"/>
                        </w:rPr>
                        <w:fldChar w:fldCharType="separate"/>
                      </w:r>
                      <w:r w:rsidRPr="00F82EB5">
                        <w:rPr>
                          <w:noProof/>
                          <w:sz w:val="28"/>
                          <w:szCs w:val="28"/>
                        </w:rPr>
                        <w:t>3</w:t>
                      </w:r>
                      <w:r w:rsidRPr="00F82EB5">
                        <w:rPr>
                          <w:sz w:val="28"/>
                          <w:szCs w:val="28"/>
                        </w:rPr>
                        <w:fldChar w:fldCharType="end"/>
                      </w:r>
                    </w:p>
                  </w:txbxContent>
                </v:textbox>
                <w10:wrap type="square" anchorx="margin"/>
              </v:shape>
            </w:pict>
          </mc:Fallback>
        </mc:AlternateContent>
      </w:r>
      <w:r w:rsidR="005F5B63">
        <w:rPr>
          <w:noProof/>
          <w:sz w:val="28"/>
          <w:szCs w:val="28"/>
          <w:lang w:val="uk-UA"/>
        </w:rPr>
        <w:drawing>
          <wp:anchor distT="0" distB="0" distL="114300" distR="114300" simplePos="0" relativeHeight="251669504" behindDoc="0" locked="0" layoutInCell="1" allowOverlap="1" wp14:anchorId="132F4AC9" wp14:editId="569F348D">
            <wp:simplePos x="0" y="0"/>
            <wp:positionH relativeFrom="column">
              <wp:posOffset>29210</wp:posOffset>
            </wp:positionH>
            <wp:positionV relativeFrom="paragraph">
              <wp:posOffset>6985</wp:posOffset>
            </wp:positionV>
            <wp:extent cx="3124200" cy="1934210"/>
            <wp:effectExtent l="0" t="0" r="0" b="889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4200" cy="1934210"/>
                    </a:xfrm>
                    <a:prstGeom prst="rect">
                      <a:avLst/>
                    </a:prstGeom>
                  </pic:spPr>
                </pic:pic>
              </a:graphicData>
            </a:graphic>
            <wp14:sizeRelH relativeFrom="page">
              <wp14:pctWidth>0</wp14:pctWidth>
            </wp14:sizeRelH>
            <wp14:sizeRelV relativeFrom="page">
              <wp14:pctHeight>0</wp14:pctHeight>
            </wp14:sizeRelV>
          </wp:anchor>
        </w:drawing>
      </w:r>
      <w:r w:rsidR="00646C7F">
        <w:rPr>
          <w:sz w:val="28"/>
          <w:szCs w:val="28"/>
          <w:lang w:val="uk-UA"/>
        </w:rPr>
        <w:t xml:space="preserve">Аналіз рис.3 показує що робоча полка струму намагнічування практично зі сталим значення близько 800 А </w:t>
      </w:r>
      <w:r w:rsidR="00407A6B">
        <w:rPr>
          <w:sz w:val="28"/>
          <w:szCs w:val="28"/>
          <w:lang w:val="uk-UA"/>
        </w:rPr>
        <w:t>має</w:t>
      </w:r>
      <w:r w:rsidR="00646C7F">
        <w:rPr>
          <w:sz w:val="28"/>
          <w:szCs w:val="28"/>
          <w:lang w:val="uk-UA"/>
        </w:rPr>
        <w:t xml:space="preserve"> тривалість 100…125 </w:t>
      </w:r>
      <w:proofErr w:type="spellStart"/>
      <w:r w:rsidR="00646C7F">
        <w:rPr>
          <w:sz w:val="28"/>
          <w:szCs w:val="28"/>
          <w:lang w:val="uk-UA"/>
        </w:rPr>
        <w:t>мкс</w:t>
      </w:r>
      <w:proofErr w:type="spellEnd"/>
      <w:r w:rsidR="00646C7F">
        <w:rPr>
          <w:sz w:val="28"/>
          <w:szCs w:val="28"/>
          <w:lang w:val="uk-UA"/>
        </w:rPr>
        <w:t xml:space="preserve">, що забезпечує контроль </w:t>
      </w:r>
      <w:r w:rsidR="008E1AA5">
        <w:rPr>
          <w:sz w:val="28"/>
          <w:szCs w:val="28"/>
          <w:lang w:val="uk-UA"/>
        </w:rPr>
        <w:t xml:space="preserve">ультразвуковими </w:t>
      </w:r>
      <w:r w:rsidR="00646C7F">
        <w:rPr>
          <w:sz w:val="28"/>
          <w:szCs w:val="28"/>
          <w:lang w:val="uk-UA"/>
        </w:rPr>
        <w:t xml:space="preserve">зсувними хвилями ОК </w:t>
      </w:r>
      <w:r w:rsidR="00F82EB5">
        <w:rPr>
          <w:sz w:val="28"/>
          <w:szCs w:val="28"/>
          <w:lang w:val="uk-UA"/>
        </w:rPr>
        <w:t>товщиною не менше 160</w:t>
      </w:r>
      <w:r>
        <w:rPr>
          <w:sz w:val="28"/>
          <w:szCs w:val="28"/>
          <w:lang w:val="uk-UA"/>
        </w:rPr>
        <w:t> </w:t>
      </w:r>
      <w:r w:rsidR="00F82EB5">
        <w:rPr>
          <w:sz w:val="28"/>
          <w:szCs w:val="28"/>
          <w:lang w:val="uk-UA"/>
        </w:rPr>
        <w:t>мм.</w:t>
      </w:r>
    </w:p>
    <w:sectPr w:rsidR="001427D6" w:rsidRPr="001427D6" w:rsidSect="009862D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D6"/>
    <w:rsid w:val="00130476"/>
    <w:rsid w:val="001427D6"/>
    <w:rsid w:val="00166A65"/>
    <w:rsid w:val="001B32F2"/>
    <w:rsid w:val="00334FAF"/>
    <w:rsid w:val="0034598E"/>
    <w:rsid w:val="0037077F"/>
    <w:rsid w:val="00382928"/>
    <w:rsid w:val="003A0F5F"/>
    <w:rsid w:val="00407A6B"/>
    <w:rsid w:val="004652BB"/>
    <w:rsid w:val="00487CBA"/>
    <w:rsid w:val="005D688F"/>
    <w:rsid w:val="005F5B63"/>
    <w:rsid w:val="00646C7F"/>
    <w:rsid w:val="00662816"/>
    <w:rsid w:val="007A08EF"/>
    <w:rsid w:val="008E1AA5"/>
    <w:rsid w:val="00930025"/>
    <w:rsid w:val="009862D5"/>
    <w:rsid w:val="009B09A3"/>
    <w:rsid w:val="009C18B2"/>
    <w:rsid w:val="00A37254"/>
    <w:rsid w:val="00A947D1"/>
    <w:rsid w:val="00AC2CF0"/>
    <w:rsid w:val="00C2136A"/>
    <w:rsid w:val="00CD4BE2"/>
    <w:rsid w:val="00CE7809"/>
    <w:rsid w:val="00E678F5"/>
    <w:rsid w:val="00E8493C"/>
    <w:rsid w:val="00F82EB5"/>
    <w:rsid w:val="00FA4AB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84B7"/>
  <w15:chartTrackingRefBased/>
  <w15:docId w15:val="{6D74D6AF-30EC-4EAF-B79D-53737060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7D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7A08E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2</Pages>
  <Words>442</Words>
  <Characters>2523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dc:description/>
  <cp:lastModifiedBy>Григорий</cp:lastModifiedBy>
  <cp:revision>23</cp:revision>
  <dcterms:created xsi:type="dcterms:W3CDTF">2023-01-26T05:43:00Z</dcterms:created>
  <dcterms:modified xsi:type="dcterms:W3CDTF">2023-01-27T13:09:00Z</dcterms:modified>
</cp:coreProperties>
</file>