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A4" w:rsidRPr="006872B4" w:rsidRDefault="00411B0E" w:rsidP="00F56B7B">
      <w:pPr>
        <w:pStyle w:val="a3"/>
      </w:pPr>
      <w:r w:rsidRPr="006872B4">
        <w:t>Стасюк Р.Б.</w:t>
      </w:r>
      <w:r w:rsidR="00F56B7B" w:rsidRPr="006872B4">
        <w:t xml:space="preserve">, </w:t>
      </w:r>
      <w:proofErr w:type="spellStart"/>
      <w:r w:rsidR="00F56B7B" w:rsidRPr="006872B4">
        <w:t>к</w:t>
      </w:r>
      <w:r w:rsidR="002217F5" w:rsidRPr="006872B4">
        <w:t>анд</w:t>
      </w:r>
      <w:proofErr w:type="spellEnd"/>
      <w:r w:rsidR="00F56B7B" w:rsidRPr="006872B4">
        <w:t>.</w:t>
      </w:r>
      <w:r w:rsidR="002217F5" w:rsidRPr="006872B4">
        <w:t xml:space="preserve"> </w:t>
      </w:r>
      <w:proofErr w:type="spellStart"/>
      <w:r w:rsidRPr="006872B4">
        <w:t>тех</w:t>
      </w:r>
      <w:proofErr w:type="spellEnd"/>
      <w:r w:rsidR="00F56B7B" w:rsidRPr="006872B4">
        <w:t>.</w:t>
      </w:r>
      <w:r w:rsidR="002217F5" w:rsidRPr="006872B4">
        <w:t xml:space="preserve"> </w:t>
      </w:r>
      <w:r w:rsidR="00F56B7B" w:rsidRPr="006872B4">
        <w:t>н</w:t>
      </w:r>
      <w:r w:rsidR="002217F5" w:rsidRPr="006872B4">
        <w:t>аук</w:t>
      </w:r>
      <w:r w:rsidR="00183A93" w:rsidRPr="006872B4">
        <w:t>, доцент</w:t>
      </w:r>
    </w:p>
    <w:p w:rsidR="00F56B7B" w:rsidRPr="006872B4" w:rsidRDefault="00411B0E" w:rsidP="00F56B7B">
      <w:pPr>
        <w:pStyle w:val="a4"/>
      </w:pPr>
      <w:r w:rsidRPr="006872B4">
        <w:t>Іван</w:t>
      </w:r>
      <w:r w:rsidR="004E74BE" w:rsidRPr="006872B4">
        <w:t>о</w:t>
      </w:r>
      <w:r w:rsidRPr="006872B4">
        <w:t>-Франківський національний технічний університет нафти в газу, м. Івано-Франківськ</w:t>
      </w:r>
    </w:p>
    <w:p w:rsidR="00411B0E" w:rsidRDefault="000F268C" w:rsidP="00CE2DC2">
      <w:pPr>
        <w:pStyle w:val="a4"/>
      </w:pPr>
      <w:r>
        <w:t>Кафедра</w:t>
      </w:r>
      <w:r w:rsidRPr="007A4244">
        <w:t xml:space="preserve"> </w:t>
      </w:r>
      <w:r>
        <w:t>транспортування та зберігання енергоносіїв</w:t>
      </w:r>
      <w:r w:rsidR="00411B0E" w:rsidRPr="006872B4">
        <w:t>,</w:t>
      </w:r>
    </w:p>
    <w:p w:rsidR="00F73719" w:rsidRPr="006872B4" w:rsidRDefault="00E87134" w:rsidP="00F73719">
      <w:pPr>
        <w:pStyle w:val="a3"/>
      </w:pPr>
      <w:proofErr w:type="spellStart"/>
      <w:r>
        <w:t>Крупяк</w:t>
      </w:r>
      <w:proofErr w:type="spellEnd"/>
      <w:r>
        <w:t xml:space="preserve"> Я.Т.</w:t>
      </w:r>
      <w:r w:rsidR="00F73719" w:rsidRPr="006872B4">
        <w:t xml:space="preserve">, </w:t>
      </w:r>
      <w:r w:rsidR="00F73719">
        <w:t>аспірант</w:t>
      </w:r>
    </w:p>
    <w:p w:rsidR="00F73719" w:rsidRPr="006872B4" w:rsidRDefault="00F73719" w:rsidP="00F73719">
      <w:pPr>
        <w:pStyle w:val="a4"/>
      </w:pPr>
      <w:r w:rsidRPr="006872B4">
        <w:t>Івано-Франківський національний технічний університет нафти в газу, м. Івано-Франківськ</w:t>
      </w:r>
    </w:p>
    <w:p w:rsidR="00F73719" w:rsidRPr="006872B4" w:rsidRDefault="000F268C" w:rsidP="00F73719">
      <w:pPr>
        <w:pStyle w:val="a4"/>
      </w:pPr>
      <w:r>
        <w:t>Кафедра</w:t>
      </w:r>
      <w:r w:rsidRPr="007A4244">
        <w:t xml:space="preserve"> </w:t>
      </w:r>
      <w:r>
        <w:t>транспортування та зберігання енергоносіїв</w:t>
      </w:r>
      <w:r w:rsidR="00F73719" w:rsidRPr="006872B4">
        <w:t>,</w:t>
      </w:r>
    </w:p>
    <w:p w:rsidR="00F73719" w:rsidRPr="006872B4" w:rsidRDefault="00F73719" w:rsidP="00CE2DC2">
      <w:pPr>
        <w:pStyle w:val="a4"/>
      </w:pPr>
    </w:p>
    <w:p w:rsidR="006872B4" w:rsidRPr="006872B4" w:rsidRDefault="006872B4" w:rsidP="004E74BE">
      <w:pPr>
        <w:pStyle w:val="a4"/>
      </w:pPr>
    </w:p>
    <w:p w:rsidR="00E87134" w:rsidRPr="0098148F" w:rsidRDefault="0098148F" w:rsidP="00E87134">
      <w:pPr>
        <w:ind w:firstLine="851"/>
        <w:jc w:val="center"/>
        <w:rPr>
          <w:b/>
          <w:szCs w:val="28"/>
        </w:rPr>
      </w:pPr>
      <w:r w:rsidRPr="0098148F">
        <w:rPr>
          <w:b/>
          <w:szCs w:val="28"/>
        </w:rPr>
        <w:t xml:space="preserve">ДОСЛІДЖЕННЯ </w:t>
      </w:r>
      <w:r w:rsidRPr="0098148F">
        <w:rPr>
          <w:b/>
          <w:sz w:val="24"/>
        </w:rPr>
        <w:t>НОМІНАЛЬНОЇ ПОТУЖНІСТІ ГАЗОТУРБІНИХ УСТАНОВОК ГАЗОПЕРЕКАЮЧИХ АГРЕГАТІВ</w:t>
      </w:r>
    </w:p>
    <w:p w:rsidR="0098148F" w:rsidRPr="00B32896" w:rsidRDefault="0098148F" w:rsidP="0098148F">
      <w:pPr>
        <w:pStyle w:val="af6"/>
        <w:ind w:firstLine="709"/>
        <w:jc w:val="both"/>
        <w:rPr>
          <w:rFonts w:ascii="Times New Roman" w:eastAsia="Times New Roman" w:hAnsi="Times New Roman"/>
          <w:sz w:val="28"/>
          <w:lang w:val="uk-UA"/>
        </w:rPr>
      </w:pPr>
      <w:r w:rsidRPr="00B32896">
        <w:rPr>
          <w:rFonts w:ascii="Times New Roman" w:eastAsia="Times New Roman" w:hAnsi="Times New Roman"/>
          <w:sz w:val="28"/>
          <w:lang w:val="uk-UA"/>
        </w:rPr>
        <w:t>Номінальна потужність ГТУ (ГПА) в станційних умовах – це потужність на муфті ГТУ в умовах по</w:t>
      </w:r>
      <w:r w:rsidRPr="00B32896">
        <w:rPr>
          <w:rFonts w:ascii="Times New Roman" w:hAnsi="Times New Roman"/>
          <w:sz w:val="24"/>
          <w:lang w:val="uk-UA"/>
        </w:rPr>
        <w:t xml:space="preserve"> </w:t>
      </w:r>
      <w:hyperlink r:id="rId5" w:history="1">
        <w:r w:rsidRPr="00B32896">
          <w:rPr>
            <w:rFonts w:ascii="Times New Roman" w:eastAsia="Times New Roman" w:hAnsi="Times New Roman"/>
            <w:sz w:val="28"/>
            <w:lang w:val="uk-UA"/>
          </w:rPr>
          <w:t>ГОСТ 28775</w:t>
        </w:r>
      </w:hyperlink>
      <w:r w:rsidRPr="00B32896">
        <w:rPr>
          <w:rFonts w:ascii="Times New Roman" w:hAnsi="Times New Roman"/>
          <w:sz w:val="24"/>
          <w:lang w:val="uk-UA"/>
        </w:rPr>
        <w:t xml:space="preserve"> </w:t>
      </w:r>
      <w:r w:rsidRPr="00B32896">
        <w:rPr>
          <w:rFonts w:ascii="Times New Roman" w:eastAsia="Times New Roman" w:hAnsi="Times New Roman"/>
          <w:sz w:val="28"/>
          <w:lang w:val="uk-UA"/>
        </w:rPr>
        <w:t>: при температурі і тиску атмосферного повітря - плюс 15 ° С і 0,1013 МПа, без відборів стислого повітря і з урахуванням гідравлічних опорів трактів (вхідного та вихлопного), за відсутності утилізаційного теплообмінника.</w:t>
      </w:r>
    </w:p>
    <w:p w:rsidR="0098148F" w:rsidRPr="00B32896" w:rsidRDefault="0098148F" w:rsidP="0098148F">
      <w:pPr>
        <w:shd w:val="clear" w:color="auto" w:fill="FFFFFF"/>
        <w:spacing w:line="240" w:lineRule="auto"/>
        <w:ind w:firstLine="708"/>
        <w:rPr>
          <w:sz w:val="32"/>
        </w:rPr>
      </w:pPr>
      <w:r w:rsidRPr="00B32896">
        <w:rPr>
          <w:sz w:val="32"/>
        </w:rPr>
        <w:t>Дійсна</w:t>
      </w:r>
      <w:r w:rsidRPr="00B32896">
        <w:t xml:space="preserve"> потужність - це максимальна робоча потужність на муфті газового компресора (нагнітача), яку може розвивати привід в конкретних станційних умовах.</w:t>
      </w:r>
    </w:p>
    <w:p w:rsidR="0098148F" w:rsidRPr="00B32896" w:rsidRDefault="0098148F" w:rsidP="0098148F">
      <w:pPr>
        <w:shd w:val="clear" w:color="auto" w:fill="FFFFFF"/>
        <w:spacing w:line="240" w:lineRule="auto"/>
        <w:ind w:firstLine="708"/>
        <w:rPr>
          <w:sz w:val="32"/>
        </w:rPr>
      </w:pPr>
      <w:r w:rsidRPr="00B32896">
        <w:t>Дійсна потужність газотурбінної установки є функцією наступних параметрів: номінальної потужності в станційних умовах; температури атмосферного повітря (або повітря на вході ГТУ); барометричного тиску (висоти над рівнем моря); відхилення розрахункової частоти обертання силового ротора ГТУ від номінальної величини; додаткових гідравлічних опорів всмоктувального і вихлопного трактів (наприклад, при установці утилізаційного теплообмінника на вихлопі); додаткових відборів стислого повітря від ГТУ (наприклад, на систему проти обледеніння, опалення, зовнішні потреби); технічного стану ГТУ.</w:t>
      </w:r>
    </w:p>
    <w:p w:rsidR="0098148F" w:rsidRPr="00B32896" w:rsidRDefault="0098148F" w:rsidP="0098148F">
      <w:pPr>
        <w:shd w:val="clear" w:color="auto" w:fill="FFFFFF"/>
        <w:spacing w:line="240" w:lineRule="auto"/>
        <w:ind w:firstLine="708"/>
        <w:rPr>
          <w:sz w:val="32"/>
        </w:rPr>
      </w:pPr>
      <w:r w:rsidRPr="00B32896">
        <w:t>Дійсна</w:t>
      </w:r>
      <w:r w:rsidRPr="00B32896">
        <w:rPr>
          <w:sz w:val="32"/>
        </w:rPr>
        <w:t xml:space="preserve"> </w:t>
      </w:r>
      <w:r w:rsidRPr="00B32896">
        <w:t>потужність ГТУ визначають за наступною формулою</w:t>
      </w:r>
    </w:p>
    <w:p w:rsidR="0098148F" w:rsidRPr="00B32896" w:rsidRDefault="0098148F" w:rsidP="00C36E22">
      <w:pPr>
        <w:pStyle w:val="af6"/>
        <w:ind w:firstLine="709"/>
        <w:jc w:val="right"/>
        <w:rPr>
          <w:rFonts w:ascii="Times New Roman" w:hAnsi="Times New Roman"/>
          <w:sz w:val="24"/>
          <w:lang w:val="uk-UA"/>
        </w:rPr>
      </w:pPr>
      <w:r w:rsidRPr="00B32896">
        <w:rPr>
          <w:rFonts w:ascii="Times New Roman" w:hAnsi="Times New Roman"/>
          <w:noProof/>
          <w:position w:val="-14"/>
          <w:sz w:val="24"/>
          <w:szCs w:val="16"/>
          <w:lang w:eastAsia="ru-RU"/>
        </w:rPr>
        <w:drawing>
          <wp:inline distT="0" distB="0" distL="0" distR="0" wp14:anchorId="6D7D6A9F" wp14:editId="7F704720">
            <wp:extent cx="1981200" cy="257175"/>
            <wp:effectExtent l="19050" t="0" r="0" b="0"/>
            <wp:docPr id="8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E22">
        <w:rPr>
          <w:rFonts w:ascii="Times New Roman" w:hAnsi="Times New Roman"/>
          <w:sz w:val="24"/>
          <w:lang w:val="uk-UA"/>
        </w:rPr>
        <w:t xml:space="preserve">                                               (1)</w:t>
      </w:r>
    </w:p>
    <w:p w:rsidR="0098148F" w:rsidRPr="00B32896" w:rsidRDefault="0098148F" w:rsidP="0098148F">
      <w:pPr>
        <w:shd w:val="clear" w:color="auto" w:fill="FFFFFF"/>
        <w:spacing w:line="240" w:lineRule="auto"/>
        <w:ind w:firstLine="284"/>
        <w:rPr>
          <w:sz w:val="32"/>
        </w:rPr>
      </w:pPr>
      <w:r w:rsidRPr="00B32896">
        <w:t>де</w:t>
      </w:r>
      <w:r w:rsidRPr="00B32896">
        <w:rPr>
          <w:sz w:val="32"/>
        </w:rPr>
        <w:t xml:space="preserve"> </w:t>
      </w:r>
      <w:r w:rsidRPr="00B32896">
        <w:rPr>
          <w:noProof/>
          <w:position w:val="-12"/>
          <w:sz w:val="22"/>
          <w:szCs w:val="20"/>
        </w:rPr>
        <w:drawing>
          <wp:inline distT="0" distB="0" distL="0" distR="0" wp14:anchorId="11659016" wp14:editId="00556068">
            <wp:extent cx="228600" cy="238125"/>
            <wp:effectExtent l="0" t="0" r="0" b="0"/>
            <wp:docPr id="8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896">
        <w:t xml:space="preserve">- номінальна потужність ГТУ; </w:t>
      </w:r>
      <w:r w:rsidRPr="00B32896">
        <w:rPr>
          <w:noProof/>
          <w:position w:val="-12"/>
          <w:sz w:val="22"/>
          <w:szCs w:val="20"/>
        </w:rPr>
        <w:drawing>
          <wp:inline distT="0" distB="0" distL="0" distR="0" wp14:anchorId="66602309" wp14:editId="112D0563">
            <wp:extent cx="238125" cy="228600"/>
            <wp:effectExtent l="0" t="0" r="9525" b="0"/>
            <wp:docPr id="84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896">
        <w:rPr>
          <w:sz w:val="32"/>
        </w:rPr>
        <w:t xml:space="preserve"> </w:t>
      </w:r>
      <w:r w:rsidRPr="00B32896">
        <w:t xml:space="preserve">- Коефіцієнт технічного стану ГТУ (по потужності); </w:t>
      </w:r>
      <w:r w:rsidRPr="00B32896">
        <w:rPr>
          <w:noProof/>
          <w:position w:val="-12"/>
          <w:sz w:val="22"/>
          <w:szCs w:val="20"/>
        </w:rPr>
        <w:drawing>
          <wp:inline distT="0" distB="0" distL="0" distR="0" wp14:anchorId="07346529" wp14:editId="0019803C">
            <wp:extent cx="190500" cy="228600"/>
            <wp:effectExtent l="19050" t="0" r="0" b="0"/>
            <wp:docPr id="8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896">
        <w:rPr>
          <w:sz w:val="32"/>
        </w:rPr>
        <w:t xml:space="preserve"> </w:t>
      </w:r>
      <w:r w:rsidRPr="00B32896">
        <w:t xml:space="preserve">- Коефіцієнт, що враховує вплив температури атмосферного повітря; </w:t>
      </w:r>
      <w:r w:rsidRPr="00B32896">
        <w:rPr>
          <w:noProof/>
          <w:position w:val="-14"/>
          <w:sz w:val="22"/>
          <w:szCs w:val="20"/>
        </w:rPr>
        <w:drawing>
          <wp:inline distT="0" distB="0" distL="0" distR="0" wp14:anchorId="6D5922F5" wp14:editId="0F9F14CF">
            <wp:extent cx="219075" cy="238125"/>
            <wp:effectExtent l="0" t="0" r="9525" b="0"/>
            <wp:docPr id="84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896">
        <w:rPr>
          <w:sz w:val="32"/>
        </w:rPr>
        <w:t xml:space="preserve"> </w:t>
      </w:r>
      <w:r w:rsidRPr="00B32896">
        <w:t xml:space="preserve">- Коефіцієнт, що враховує наявність утилізатора тепла; </w:t>
      </w:r>
      <w:r w:rsidRPr="00B32896">
        <w:rPr>
          <w:noProof/>
          <w:position w:val="-14"/>
          <w:sz w:val="22"/>
          <w:szCs w:val="20"/>
        </w:rPr>
        <w:drawing>
          <wp:inline distT="0" distB="0" distL="0" distR="0" wp14:anchorId="64EDF76E" wp14:editId="183A1393">
            <wp:extent cx="257175" cy="238125"/>
            <wp:effectExtent l="0" t="0" r="9525" b="0"/>
            <wp:docPr id="84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896">
        <w:rPr>
          <w:sz w:val="32"/>
        </w:rPr>
        <w:t xml:space="preserve"> </w:t>
      </w:r>
      <w:r w:rsidRPr="00B32896">
        <w:t xml:space="preserve">- Коефіцієнт, що враховує вплив висоти над рівнем моря; </w:t>
      </w:r>
      <w:r w:rsidRPr="00B32896">
        <w:rPr>
          <w:noProof/>
          <w:position w:val="-12"/>
          <w:sz w:val="22"/>
          <w:szCs w:val="20"/>
        </w:rPr>
        <w:drawing>
          <wp:inline distT="0" distB="0" distL="0" distR="0" wp14:anchorId="070DB55D" wp14:editId="33F364C9">
            <wp:extent cx="219075" cy="228600"/>
            <wp:effectExtent l="0" t="0" r="9525" b="0"/>
            <wp:docPr id="8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896">
        <w:rPr>
          <w:sz w:val="32"/>
        </w:rPr>
        <w:t xml:space="preserve"> </w:t>
      </w:r>
      <w:r w:rsidRPr="00B32896">
        <w:t>- Коефіцієнт впливу відносної швидкості обертання ротора силової турбіни; звичайно враховується в складі коефіцієнта</w:t>
      </w:r>
      <w:r w:rsidRPr="00B32896">
        <w:rPr>
          <w:sz w:val="32"/>
        </w:rPr>
        <w:t xml:space="preserve"> </w:t>
      </w:r>
      <w:r w:rsidRPr="00B32896">
        <w:rPr>
          <w:noProof/>
          <w:position w:val="-12"/>
          <w:sz w:val="22"/>
          <w:szCs w:val="20"/>
        </w:rPr>
        <w:drawing>
          <wp:inline distT="0" distB="0" distL="0" distR="0" wp14:anchorId="1B6E4F1C" wp14:editId="71DDA1B6">
            <wp:extent cx="238125" cy="228600"/>
            <wp:effectExtent l="0" t="0" r="9525" b="0"/>
            <wp:docPr id="84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896">
        <w:rPr>
          <w:sz w:val="32"/>
        </w:rPr>
        <w:t>.</w:t>
      </w:r>
    </w:p>
    <w:p w:rsidR="0098148F" w:rsidRPr="00B32896" w:rsidRDefault="0098148F" w:rsidP="0098148F">
      <w:pPr>
        <w:shd w:val="clear" w:color="auto" w:fill="FFFFFF"/>
        <w:spacing w:line="240" w:lineRule="auto"/>
        <w:ind w:firstLine="708"/>
        <w:rPr>
          <w:sz w:val="32"/>
        </w:rPr>
      </w:pPr>
      <w:r w:rsidRPr="00B32896">
        <w:t>Рекомендується наступна формула для визначення коефіцієнта впливу</w:t>
      </w:r>
    </w:p>
    <w:p w:rsidR="0098148F" w:rsidRPr="00B32896" w:rsidRDefault="0098148F" w:rsidP="00C36E22">
      <w:pPr>
        <w:shd w:val="clear" w:color="auto" w:fill="FFFFFF"/>
        <w:spacing w:line="240" w:lineRule="auto"/>
        <w:jc w:val="right"/>
        <w:rPr>
          <w:sz w:val="32"/>
        </w:rPr>
      </w:pPr>
      <w:r w:rsidRPr="00B32896">
        <w:rPr>
          <w:noProof/>
          <w:position w:val="-30"/>
          <w:sz w:val="32"/>
          <w:szCs w:val="16"/>
        </w:rPr>
        <w:drawing>
          <wp:inline distT="0" distB="0" distL="0" distR="0" wp14:anchorId="5E91BA54" wp14:editId="17A6020F">
            <wp:extent cx="1323975" cy="428625"/>
            <wp:effectExtent l="0" t="0" r="0" b="0"/>
            <wp:docPr id="84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E22">
        <w:rPr>
          <w:sz w:val="24"/>
        </w:rPr>
        <w:t xml:space="preserve">                                                                </w:t>
      </w:r>
      <w:r w:rsidR="00C36E22">
        <w:rPr>
          <w:sz w:val="24"/>
        </w:rPr>
        <w:t>(</w:t>
      </w:r>
      <w:r w:rsidR="00C36E22">
        <w:rPr>
          <w:sz w:val="24"/>
        </w:rPr>
        <w:t>2</w:t>
      </w:r>
      <w:r w:rsidR="00C36E22">
        <w:rPr>
          <w:sz w:val="24"/>
        </w:rPr>
        <w:t>)</w:t>
      </w:r>
    </w:p>
    <w:p w:rsidR="0098148F" w:rsidRPr="00B32896" w:rsidRDefault="0098148F" w:rsidP="0098148F">
      <w:pPr>
        <w:shd w:val="clear" w:color="auto" w:fill="FFFFFF"/>
        <w:spacing w:line="240" w:lineRule="auto"/>
        <w:ind w:firstLine="284"/>
        <w:rPr>
          <w:sz w:val="32"/>
        </w:rPr>
      </w:pPr>
      <w:r w:rsidRPr="00B32896">
        <w:t>де</w:t>
      </w:r>
      <w:r w:rsidRPr="00B32896">
        <w:rPr>
          <w:sz w:val="32"/>
        </w:rPr>
        <w:t xml:space="preserve"> </w:t>
      </w:r>
      <w:r w:rsidRPr="00B32896">
        <w:rPr>
          <w:noProof/>
          <w:position w:val="-12"/>
          <w:sz w:val="22"/>
          <w:szCs w:val="20"/>
        </w:rPr>
        <w:drawing>
          <wp:inline distT="0" distB="0" distL="0" distR="0" wp14:anchorId="56A9AF3F" wp14:editId="46B4EDC3">
            <wp:extent cx="161925" cy="228600"/>
            <wp:effectExtent l="19050" t="0" r="9525" b="0"/>
            <wp:docPr id="84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896">
        <w:t xml:space="preserve">- Розрахункова температура атмосферного повітря на вході ГТУ, К; </w:t>
      </w:r>
      <w:r w:rsidRPr="00B32896">
        <w:rPr>
          <w:noProof/>
          <w:position w:val="-12"/>
          <w:sz w:val="22"/>
          <w:szCs w:val="20"/>
        </w:rPr>
        <w:drawing>
          <wp:inline distT="0" distB="0" distL="0" distR="0" wp14:anchorId="26121E91" wp14:editId="202B7A84">
            <wp:extent cx="152400" cy="228600"/>
            <wp:effectExtent l="0" t="0" r="0" b="0"/>
            <wp:docPr id="84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896">
        <w:rPr>
          <w:sz w:val="32"/>
        </w:rPr>
        <w:t xml:space="preserve"> </w:t>
      </w:r>
      <w:r w:rsidRPr="00B32896">
        <w:t>- Коефіцієнт, для оціночних розрахунків рекомендується приймати</w:t>
      </w:r>
      <w:r w:rsidRPr="00B32896">
        <w:rPr>
          <w:sz w:val="32"/>
        </w:rPr>
        <w:t xml:space="preserve"> </w:t>
      </w:r>
      <w:r w:rsidRPr="00B32896">
        <w:rPr>
          <w:noProof/>
          <w:position w:val="-12"/>
          <w:sz w:val="22"/>
          <w:szCs w:val="20"/>
        </w:rPr>
        <w:drawing>
          <wp:inline distT="0" distB="0" distL="0" distR="0" wp14:anchorId="3F07EBA0" wp14:editId="2DE73284">
            <wp:extent cx="523875" cy="228600"/>
            <wp:effectExtent l="0" t="0" r="9525" b="0"/>
            <wp:docPr id="85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8F" w:rsidRPr="00B32896" w:rsidRDefault="0098148F" w:rsidP="0098148F">
      <w:pPr>
        <w:shd w:val="clear" w:color="auto" w:fill="FFFFFF"/>
        <w:spacing w:line="240" w:lineRule="auto"/>
        <w:ind w:firstLine="708"/>
        <w:rPr>
          <w:sz w:val="32"/>
        </w:rPr>
      </w:pPr>
      <w:r w:rsidRPr="00B32896">
        <w:lastRenderedPageBreak/>
        <w:t>Розрахункова температура атмосферного повітря на вході ГТУ визначається за формулою</w:t>
      </w:r>
    </w:p>
    <w:p w:rsidR="0098148F" w:rsidRPr="00B32896" w:rsidRDefault="0098148F" w:rsidP="0098148F">
      <w:pPr>
        <w:shd w:val="clear" w:color="auto" w:fill="FFFFFF"/>
        <w:spacing w:line="240" w:lineRule="auto"/>
        <w:ind w:firstLine="284"/>
        <w:jc w:val="center"/>
        <w:rPr>
          <w:sz w:val="32"/>
        </w:rPr>
      </w:pPr>
      <w:r w:rsidRPr="00B32896">
        <w:rPr>
          <w:noProof/>
          <w:position w:val="-12"/>
          <w:sz w:val="32"/>
          <w:szCs w:val="16"/>
        </w:rPr>
        <w:drawing>
          <wp:inline distT="0" distB="0" distL="0" distR="0" wp14:anchorId="1989C02E" wp14:editId="549E7076">
            <wp:extent cx="771525" cy="238125"/>
            <wp:effectExtent l="19050" t="0" r="9525" b="0"/>
            <wp:docPr id="85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8F" w:rsidRPr="00B32896" w:rsidRDefault="0098148F" w:rsidP="0098148F">
      <w:pPr>
        <w:shd w:val="clear" w:color="auto" w:fill="FFFFFF"/>
        <w:spacing w:line="240" w:lineRule="auto"/>
        <w:ind w:firstLine="708"/>
      </w:pPr>
      <w:r w:rsidRPr="00B32896">
        <w:t>де</w:t>
      </w:r>
      <w:r w:rsidRPr="00B32896">
        <w:rPr>
          <w:sz w:val="32"/>
        </w:rPr>
        <w:t xml:space="preserve"> </w:t>
      </w:r>
      <w:r w:rsidRPr="00B32896">
        <w:rPr>
          <w:noProof/>
          <w:position w:val="-12"/>
          <w:sz w:val="22"/>
          <w:szCs w:val="20"/>
        </w:rPr>
        <w:drawing>
          <wp:inline distT="0" distB="0" distL="0" distR="0" wp14:anchorId="5D4D5135" wp14:editId="7A313F22">
            <wp:extent cx="238125" cy="238125"/>
            <wp:effectExtent l="0" t="0" r="9525" b="0"/>
            <wp:docPr id="85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896">
        <w:t xml:space="preserve">- Середня температура атмосферного повітря розрахункового календарного періоду, К. </w:t>
      </w:r>
    </w:p>
    <w:p w:rsidR="0098148F" w:rsidRPr="00B32896" w:rsidRDefault="0098148F" w:rsidP="0098148F">
      <w:pPr>
        <w:shd w:val="clear" w:color="auto" w:fill="FFFFFF"/>
        <w:spacing w:line="240" w:lineRule="auto"/>
        <w:ind w:firstLine="708"/>
      </w:pPr>
      <w:r w:rsidRPr="00B32896">
        <w:t>Коефіцієнт, що враховує наявність на вихлопі ГТУ утилізатора тепла,</w:t>
      </w:r>
      <w:r w:rsidRPr="00B32896">
        <w:rPr>
          <w:sz w:val="32"/>
        </w:rPr>
        <w:t xml:space="preserve"> </w:t>
      </w:r>
      <w:r w:rsidRPr="00B32896">
        <w:rPr>
          <w:i/>
        </w:rPr>
        <w:t>К</w:t>
      </w:r>
      <w:r w:rsidRPr="00B32896">
        <w:rPr>
          <w:sz w:val="32"/>
        </w:rPr>
        <w:t xml:space="preserve"> </w:t>
      </w:r>
      <w:r w:rsidRPr="00B32896">
        <w:rPr>
          <w:vertAlign w:val="subscript"/>
        </w:rPr>
        <w:t>у</w:t>
      </w:r>
      <w:r w:rsidRPr="00B32896">
        <w:rPr>
          <w:sz w:val="32"/>
        </w:rPr>
        <w:t xml:space="preserve"> </w:t>
      </w:r>
      <w:r w:rsidRPr="00B32896">
        <w:t>рекомендується приймати 0,985 (для типових водяних теплообмінників).</w:t>
      </w:r>
    </w:p>
    <w:p w:rsidR="0098148F" w:rsidRPr="00B32896" w:rsidRDefault="0098148F" w:rsidP="0098148F">
      <w:pPr>
        <w:shd w:val="clear" w:color="auto" w:fill="FFFFFF"/>
        <w:spacing w:line="240" w:lineRule="auto"/>
        <w:ind w:firstLine="708"/>
        <w:rPr>
          <w:sz w:val="32"/>
        </w:rPr>
      </w:pPr>
      <w:r w:rsidRPr="00B32896">
        <w:rPr>
          <w:sz w:val="32"/>
        </w:rPr>
        <w:t>По характеристиці знімається значення внутрішньої потужності, яка споживається нагнітачем за формулою</w:t>
      </w:r>
    </w:p>
    <w:p w:rsidR="0098148F" w:rsidRPr="00B32896" w:rsidRDefault="00C36E22" w:rsidP="00C36E22">
      <w:pPr>
        <w:spacing w:line="240" w:lineRule="auto"/>
        <w:jc w:val="right"/>
        <w:rPr>
          <w:sz w:val="32"/>
        </w:rPr>
      </w:pPr>
      <w:r>
        <w:rPr>
          <w:sz w:val="24"/>
        </w:rPr>
        <w:t xml:space="preserve">                           </w:t>
      </w:r>
      <w:r>
        <w:rPr>
          <w:sz w:val="24"/>
        </w:rPr>
        <w:t>(</w:t>
      </w:r>
      <w:r>
        <w:rPr>
          <w:sz w:val="24"/>
        </w:rPr>
        <w:t>3</w:t>
      </w:r>
      <w:r>
        <w:rPr>
          <w:sz w:val="24"/>
        </w:rPr>
        <w:t>)</w:t>
      </w:r>
      <w:r>
        <w:rPr>
          <w:noProof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5pt;margin-top:0;width:134.05pt;height:42.15pt;z-index:251659264;mso-position-horizontal:absolute;mso-position-horizontal-relative:text;mso-position-vertical-relative:text">
            <v:imagedata r:id="rId19" o:title=""/>
            <w10:wrap type="square" side="right"/>
          </v:shape>
          <o:OLEObject Type="Embed" ProgID="Equation.3" ShapeID="_x0000_s1026" DrawAspect="Content" ObjectID="_1775646857" r:id="rId20"/>
        </w:object>
      </w:r>
      <w:r>
        <w:rPr>
          <w:sz w:val="32"/>
        </w:rPr>
        <w:br w:type="textWrapping" w:clear="all"/>
      </w:r>
    </w:p>
    <w:p w:rsidR="0098148F" w:rsidRPr="00B32896" w:rsidRDefault="0098148F" w:rsidP="0098148F">
      <w:pPr>
        <w:spacing w:line="240" w:lineRule="auto"/>
        <w:ind w:firstLine="567"/>
        <w:rPr>
          <w:sz w:val="32"/>
        </w:rPr>
      </w:pPr>
      <w:r w:rsidRPr="00B32896">
        <w:rPr>
          <w:sz w:val="32"/>
        </w:rPr>
        <w:t>Індикаторна потужність на валу ГТУ, кВт</w:t>
      </w:r>
    </w:p>
    <w:p w:rsidR="0098148F" w:rsidRPr="00B32896" w:rsidRDefault="0098148F" w:rsidP="0098148F">
      <w:pPr>
        <w:spacing w:line="240" w:lineRule="auto"/>
        <w:ind w:firstLine="567"/>
        <w:jc w:val="center"/>
        <w:rPr>
          <w:sz w:val="32"/>
        </w:rPr>
      </w:pPr>
      <w:r w:rsidRPr="00B32896">
        <w:rPr>
          <w:position w:val="-12"/>
          <w:sz w:val="32"/>
        </w:rPr>
        <w:object w:dxaOrig="1480" w:dyaOrig="360">
          <v:shape id="_x0000_i1026" type="#_x0000_t75" style="width:74pt;height:17.8pt" o:ole="">
            <v:imagedata r:id="rId21" o:title=""/>
          </v:shape>
          <o:OLEObject Type="Embed" ProgID="Equation.3" ShapeID="_x0000_i1026" DrawAspect="Content" ObjectID="_1775646856" r:id="rId22"/>
        </w:object>
      </w:r>
    </w:p>
    <w:p w:rsidR="0098148F" w:rsidRPr="00B32896" w:rsidRDefault="0098148F" w:rsidP="0098148F">
      <w:pPr>
        <w:pStyle w:val="af6"/>
        <w:ind w:firstLine="709"/>
        <w:jc w:val="both"/>
        <w:rPr>
          <w:rFonts w:ascii="Times New Roman" w:hAnsi="Times New Roman"/>
          <w:sz w:val="24"/>
          <w:lang w:val="uk-UA"/>
        </w:rPr>
      </w:pPr>
      <w:r w:rsidRPr="00B32896">
        <w:rPr>
          <w:rFonts w:ascii="Times New Roman" w:hAnsi="Times New Roman"/>
          <w:sz w:val="24"/>
          <w:lang w:val="uk-UA"/>
        </w:rPr>
        <w:t>Приведена потужність на валу ГТУ, кВт</w:t>
      </w:r>
    </w:p>
    <w:p w:rsidR="0098148F" w:rsidRPr="00C36E22" w:rsidRDefault="0098148F" w:rsidP="00C36E22">
      <w:pPr>
        <w:ind w:firstLine="567"/>
        <w:jc w:val="right"/>
        <w:rPr>
          <w:sz w:val="32"/>
        </w:rPr>
      </w:pPr>
      <m:oMath>
        <m:sSub>
          <m:sSubPr>
            <m:ctrlPr>
              <w:rPr>
                <w:rFonts w:ascii="Cambria Math"/>
                <w:sz w:val="32"/>
              </w:rPr>
            </m:ctrlPr>
          </m:sSubPr>
          <m:e>
            <m:sSub>
              <m:sSubPr>
                <m:ctrlPr>
                  <w:rPr>
                    <w:rFonts w:ascii="Cambria Math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lang w:val="en-US"/>
                  </w:rPr>
                  <m:t>e</m:t>
                </m:r>
                <m:ctrlPr>
                  <w:rPr>
                    <w:rFonts w:ascii="Cambria Math"/>
                    <w:i/>
                    <w:sz w:val="32"/>
                    <w:lang w:val="en-US"/>
                  </w:rPr>
                </m:ctrlPr>
              </m:sub>
            </m:sSub>
          </m:e>
          <m:sub>
            <m:r>
              <m:rPr>
                <m:sty m:val="p"/>
              </m:rPr>
              <w:rPr>
                <w:rFonts w:ascii="Cambria Math"/>
                <w:sz w:val="32"/>
              </w:rPr>
              <m:t>пр</m:t>
            </m:r>
          </m:sub>
        </m:sSub>
        <m:r>
          <m:rPr>
            <m:sty m:val="p"/>
          </m:rPr>
          <w:rPr>
            <w:rFonts w:ascii="Cambria Math"/>
            <w:sz w:val="32"/>
          </w:rPr>
          <m:t>=</m:t>
        </m:r>
        <m:sSub>
          <m:sSubPr>
            <m:ctrlPr>
              <w:rPr>
                <w:rFonts w:ascii="Cambria Math"/>
                <w:sz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</w:rPr>
              <m:t>е</m:t>
            </m:r>
          </m:sub>
        </m:sSub>
        <m:f>
          <m:fPr>
            <m:ctrlPr>
              <w:rPr>
                <w:rFonts w:ascii="Cambria Math"/>
                <w:sz w:val="32"/>
              </w:rPr>
            </m:ctrlPr>
          </m:fPr>
          <m:num>
            <m:sSub>
              <m:sSubPr>
                <m:ctrlPr>
                  <w:rPr>
                    <w:rFonts w:ascii="Cambria Math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</w:rPr>
                  <m:t>a0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</w:rPr>
                  <m:t>a</m:t>
                </m:r>
              </m:sub>
            </m:sSub>
          </m:den>
        </m:f>
        <m:rad>
          <m:radPr>
            <m:degHide m:val="1"/>
            <m:ctrlPr>
              <w:rPr>
                <w:rFonts w:ascii="Cambria Math"/>
                <w:sz w:val="32"/>
              </w:rPr>
            </m:ctrlPr>
          </m:radPr>
          <m:deg/>
          <m:e>
            <m:f>
              <m:fPr>
                <m:ctrlPr>
                  <w:rPr>
                    <w:rFonts w:ascii="Cambria Math"/>
                    <w:sz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</w:rPr>
                      <m:t>a0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</w:rPr>
                      <m:t>a</m:t>
                    </m:r>
                  </m:sub>
                </m:sSub>
              </m:den>
            </m:f>
          </m:e>
        </m:rad>
      </m:oMath>
      <w:r w:rsidR="00C36E22">
        <w:rPr>
          <w:sz w:val="32"/>
        </w:rPr>
        <w:t xml:space="preserve">                                      </w:t>
      </w:r>
      <w:r w:rsidR="00C36E22">
        <w:rPr>
          <w:sz w:val="24"/>
        </w:rPr>
        <w:t>(</w:t>
      </w:r>
      <w:r w:rsidR="00C36E22">
        <w:rPr>
          <w:sz w:val="24"/>
        </w:rPr>
        <w:t>4</w:t>
      </w:r>
      <w:r w:rsidR="00C36E22">
        <w:rPr>
          <w:sz w:val="24"/>
        </w:rPr>
        <w:t>)</w:t>
      </w:r>
    </w:p>
    <w:p w:rsidR="0098148F" w:rsidRPr="00B32896" w:rsidRDefault="0098148F" w:rsidP="0098148F">
      <w:pPr>
        <w:pStyle w:val="af6"/>
        <w:ind w:firstLine="709"/>
        <w:jc w:val="both"/>
        <w:rPr>
          <w:rFonts w:ascii="Times New Roman" w:hAnsi="Times New Roman"/>
          <w:sz w:val="24"/>
          <w:lang w:val="uk-UA"/>
        </w:rPr>
      </w:pPr>
      <w:r w:rsidRPr="00B32896">
        <w:rPr>
          <w:rFonts w:ascii="Times New Roman" w:hAnsi="Times New Roman"/>
          <w:sz w:val="24"/>
          <w:lang w:val="uk-UA"/>
        </w:rPr>
        <w:t>Приведена відносна потужність ГПА</w:t>
      </w:r>
    </w:p>
    <w:p w:rsidR="0098148F" w:rsidRPr="00B32896" w:rsidRDefault="0098148F" w:rsidP="0098148F">
      <w:pPr>
        <w:pStyle w:val="af6"/>
        <w:ind w:firstLine="709"/>
        <w:jc w:val="right"/>
        <w:rPr>
          <w:rFonts w:ascii="Times New Roman" w:hAnsi="Times New Roman"/>
          <w:sz w:val="24"/>
          <w:lang w:val="uk-UA"/>
        </w:rPr>
      </w:pPr>
      <m:oMath>
        <m:sSub>
          <m:sSubPr>
            <m:ctrlPr>
              <w:rPr>
                <w:rFonts w:ascii="Cambria Math" w:hAnsi="Times New Roman"/>
                <w:sz w:val="24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/>
                    <w:sz w:val="24"/>
                    <w:lang w:val="uk-UA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lang w:val="uk-UA"/>
              </w:rPr>
              <m:t>е</m:t>
            </m:r>
            <m:r>
              <m:rPr>
                <m:sty m:val="p"/>
              </m:rPr>
              <w:rPr>
                <w:rFonts w:ascii="Cambria Math" w:hAnsi="Times New Roman"/>
                <w:sz w:val="24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lang w:val="uk-UA"/>
              </w:rPr>
              <m:t>пр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lang w:val="uk-UA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Times New Roman"/>
                <w:sz w:val="24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  <w:lang w:val="uk-UA"/>
              </w:rPr>
              <m:t>1</m:t>
            </m:r>
            <m:r>
              <m:rPr>
                <m:sty m:val="p"/>
              </m:rPr>
              <w:rPr>
                <w:rFonts w:ascii="Cambria Math" w:hAnsi="Times New Roman"/>
                <w:sz w:val="24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lang w:val="uk-UA"/>
              </w:rPr>
              <m:t>4,2</m:t>
            </m:r>
            <m:r>
              <m:rPr>
                <m:sty m:val="p"/>
              </m:rPr>
              <w:rPr>
                <w:rFonts w:ascii="Cambria Math" w:hAnsi="Times New Roman"/>
                <w:sz w:val="24"/>
                <w:lang w:val="uk-UA"/>
              </w:rPr>
              <m:t>∙</m:t>
            </m:r>
            <m:d>
              <m:dPr>
                <m:ctrlPr>
                  <w:rPr>
                    <w:rFonts w:ascii="Cambria Math" w:hAnsi="Times New Roman"/>
                    <w:sz w:val="24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/>
                        <w:sz w:val="24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lang w:val="uk-UA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lang w:val="uk-UA"/>
                      </w:rPr>
                      <m:t xml:space="preserve">z 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lang w:val="uk-UA"/>
                      </w:rPr>
                      <m:t>пр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Times New Roman" w:hAnsi="Times New Roman"/>
                <w:sz w:val="24"/>
                <w:lang w:val="uk-UA"/>
              </w:rPr>
              <m:t>∙</m:t>
            </m:r>
            <m:sSub>
              <m:sSubPr>
                <m:ctrlPr>
                  <w:rPr>
                    <w:rFonts w:ascii="Cambria Math" w:hAnsi="Times New Roman"/>
                    <w:sz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 xml:space="preserve">z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>пр</m:t>
                </m:r>
              </m:sub>
            </m:sSub>
          </m:e>
        </m:d>
      </m:oMath>
      <w:r w:rsidRPr="00B32896">
        <w:rPr>
          <w:rFonts w:ascii="Times New Roman" w:hAnsi="Times New Roman"/>
          <w:sz w:val="24"/>
          <w:lang w:val="uk-UA"/>
        </w:rPr>
        <w:t xml:space="preserve">;           </w:t>
      </w:r>
      <w:r w:rsidR="00C36E22">
        <w:rPr>
          <w:rFonts w:ascii="Times New Roman" w:hAnsi="Times New Roman"/>
          <w:sz w:val="24"/>
          <w:lang w:val="uk-UA"/>
        </w:rPr>
        <w:t xml:space="preserve">                       </w:t>
      </w:r>
      <w:bookmarkStart w:id="0" w:name="_GoBack"/>
      <w:bookmarkEnd w:id="0"/>
      <w:r w:rsidRPr="00B32896">
        <w:rPr>
          <w:rFonts w:ascii="Times New Roman" w:hAnsi="Times New Roman"/>
          <w:sz w:val="24"/>
          <w:lang w:val="uk-UA"/>
        </w:rPr>
        <w:t xml:space="preserve">         </w:t>
      </w:r>
      <w:r w:rsidR="00C36E22">
        <w:rPr>
          <w:rFonts w:ascii="Times New Roman" w:hAnsi="Times New Roman"/>
          <w:sz w:val="24"/>
          <w:lang w:val="uk-UA"/>
        </w:rPr>
        <w:t>(5</w:t>
      </w:r>
      <w:r w:rsidRPr="00B32896">
        <w:rPr>
          <w:rFonts w:ascii="Times New Roman" w:hAnsi="Times New Roman"/>
          <w:sz w:val="24"/>
          <w:lang w:val="uk-UA"/>
        </w:rPr>
        <w:t xml:space="preserve">)       </w:t>
      </w:r>
    </w:p>
    <w:p w:rsidR="0098148F" w:rsidRPr="00B32896" w:rsidRDefault="0098148F" w:rsidP="0098148F">
      <w:pPr>
        <w:pStyle w:val="af6"/>
        <w:ind w:firstLine="709"/>
        <w:jc w:val="both"/>
        <w:rPr>
          <w:rFonts w:ascii="Times New Roman" w:hAnsi="Times New Roman"/>
          <w:sz w:val="24"/>
          <w:lang w:val="uk-UA"/>
        </w:rPr>
      </w:pPr>
      <w:r w:rsidRPr="00B32896">
        <w:rPr>
          <w:rFonts w:ascii="Times New Roman" w:hAnsi="Times New Roman"/>
          <w:sz w:val="24"/>
          <w:lang w:val="uk-UA"/>
        </w:rPr>
        <w:t>Приведена відносна температура газів перед ТВТ</w:t>
      </w:r>
    </w:p>
    <w:p w:rsidR="0098148F" w:rsidRPr="00B32896" w:rsidRDefault="0098148F" w:rsidP="0098148F">
      <w:pPr>
        <w:pStyle w:val="af6"/>
        <w:ind w:firstLine="709"/>
        <w:jc w:val="right"/>
        <w:rPr>
          <w:rFonts w:ascii="Times New Roman" w:hAnsi="Times New Roman"/>
          <w:sz w:val="24"/>
          <w:lang w:val="uk-UA"/>
        </w:rPr>
      </w:pPr>
      <w:r w:rsidRPr="00B32896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4E4FF63C" wp14:editId="6CA63170">
            <wp:extent cx="1447800" cy="238125"/>
            <wp:effectExtent l="0" t="0" r="0" b="0"/>
            <wp:docPr id="9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E22">
        <w:rPr>
          <w:rFonts w:ascii="Times New Roman" w:hAnsi="Times New Roman"/>
          <w:sz w:val="24"/>
          <w:lang w:val="uk-UA"/>
        </w:rPr>
        <w:t>,</w:t>
      </w:r>
      <w:r w:rsidR="00C36E22">
        <w:rPr>
          <w:rFonts w:ascii="Times New Roman" w:hAnsi="Times New Roman"/>
          <w:sz w:val="24"/>
          <w:lang w:val="uk-UA"/>
        </w:rPr>
        <w:tab/>
      </w:r>
      <w:r w:rsidR="00C36E22">
        <w:rPr>
          <w:rFonts w:ascii="Times New Roman" w:hAnsi="Times New Roman"/>
          <w:sz w:val="24"/>
          <w:lang w:val="uk-UA"/>
        </w:rPr>
        <w:tab/>
      </w:r>
      <w:r w:rsidR="00C36E22">
        <w:rPr>
          <w:rFonts w:ascii="Times New Roman" w:hAnsi="Times New Roman"/>
          <w:sz w:val="24"/>
          <w:lang w:val="uk-UA"/>
        </w:rPr>
        <w:tab/>
        <w:t>(6</w:t>
      </w:r>
      <w:r w:rsidRPr="00B32896">
        <w:rPr>
          <w:rFonts w:ascii="Times New Roman" w:hAnsi="Times New Roman"/>
          <w:sz w:val="24"/>
          <w:lang w:val="uk-UA"/>
        </w:rPr>
        <w:t>)</w:t>
      </w:r>
    </w:p>
    <w:p w:rsidR="0098148F" w:rsidRPr="00B32896" w:rsidRDefault="0098148F" w:rsidP="0098148F">
      <w:pPr>
        <w:pStyle w:val="af6"/>
        <w:ind w:firstLine="709"/>
        <w:jc w:val="both"/>
        <w:rPr>
          <w:rFonts w:ascii="Times New Roman" w:hAnsi="Times New Roman"/>
          <w:sz w:val="24"/>
          <w:lang w:val="uk-UA"/>
        </w:rPr>
      </w:pPr>
      <w:r w:rsidRPr="00B32896">
        <w:rPr>
          <w:rFonts w:ascii="Times New Roman" w:hAnsi="Times New Roman"/>
          <w:sz w:val="24"/>
          <w:lang w:val="uk-UA"/>
        </w:rPr>
        <w:t xml:space="preserve">де </w:t>
      </w:r>
      <w:proofErr w:type="spellStart"/>
      <w:r w:rsidRPr="00B32896">
        <w:rPr>
          <w:rFonts w:ascii="Times New Roman" w:hAnsi="Times New Roman"/>
          <w:sz w:val="24"/>
          <w:lang w:val="uk-UA"/>
        </w:rPr>
        <w:t>Tz,Ta</w:t>
      </w:r>
      <w:proofErr w:type="spellEnd"/>
      <w:r w:rsidRPr="00B32896">
        <w:rPr>
          <w:rFonts w:ascii="Times New Roman" w:hAnsi="Times New Roman"/>
          <w:sz w:val="24"/>
          <w:lang w:val="uk-UA"/>
        </w:rPr>
        <w:t xml:space="preserve"> – відповідно температура на вході в ТВТ та ОК відповідно</w:t>
      </w:r>
      <w:r w:rsidRPr="00B32896">
        <w:rPr>
          <w:rFonts w:ascii="Times New Roman" w:hAnsi="Times New Roman"/>
          <w:sz w:val="24"/>
        </w:rPr>
        <w:t>, К</w:t>
      </w:r>
      <w:r w:rsidRPr="00B32896">
        <w:rPr>
          <w:rFonts w:ascii="Times New Roman" w:hAnsi="Times New Roman"/>
          <w:sz w:val="24"/>
          <w:lang w:val="uk-UA"/>
        </w:rPr>
        <w:t>; «0» - параметри роботи турбіни при номінальних умовах.</w:t>
      </w:r>
    </w:p>
    <w:p w:rsidR="0098148F" w:rsidRPr="00B32896" w:rsidRDefault="0098148F" w:rsidP="0098148F">
      <w:pPr>
        <w:rPr>
          <w:sz w:val="32"/>
        </w:rPr>
      </w:pPr>
      <w:r w:rsidRPr="00B32896">
        <w:rPr>
          <w:sz w:val="32"/>
        </w:rPr>
        <w:t>Приведена потужність на валу ГТУ до температури на вході в турбіну високого тиску</w:t>
      </w:r>
    </w:p>
    <w:p w:rsidR="0098148F" w:rsidRPr="00B32896" w:rsidRDefault="0098148F" w:rsidP="00C36E22">
      <w:pPr>
        <w:pStyle w:val="af6"/>
        <w:ind w:firstLine="851"/>
        <w:jc w:val="right"/>
        <w:rPr>
          <w:rFonts w:ascii="Times New Roman" w:hAnsi="Times New Roman"/>
          <w:b/>
          <w:sz w:val="24"/>
          <w:lang w:val="uk-UA"/>
        </w:rPr>
      </w:pPr>
      <m:oMath>
        <m:sSub>
          <m:sSubPr>
            <m:ctrlPr>
              <w:rPr>
                <w:rFonts w:ascii="Cambria Math" w:hAnsi="Times New Roman"/>
                <w:sz w:val="24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sz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24"/>
                    <w:lang w:val="en-US"/>
                  </w:rPr>
                  <m:t>e</m:t>
                </m:r>
                <m:ctrlPr>
                  <w:rPr>
                    <w:rFonts w:ascii="Cambria Math" w:hAnsi="Times New Roman"/>
                    <w:i/>
                    <w:sz w:val="24"/>
                    <w:lang w:val="en-US"/>
                  </w:rPr>
                </m:ctrlPr>
              </m:sub>
            </m:sSub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lang w:val="uk-UA"/>
              </w:rPr>
              <m:t>пр</m:t>
            </m:r>
            <m:r>
              <m:rPr>
                <m:sty m:val="p"/>
              </m:rPr>
              <w:rPr>
                <w:rFonts w:ascii="Cambria Math" w:hAnsi="Times New Roman"/>
                <w:sz w:val="24"/>
                <w:lang w:val="uk-UA"/>
              </w:rPr>
              <m:t xml:space="preserve"> </m:t>
            </m:r>
            <m:r>
              <w:rPr>
                <w:rFonts w:ascii="Cambria Math" w:hAnsi="Times New Roman"/>
                <w:sz w:val="24"/>
                <w:lang w:val="en-US"/>
              </w:rPr>
              <m:t>Z</m:t>
            </m:r>
            <m:r>
              <w:rPr>
                <w:rFonts w:ascii="Cambria Math" w:hAnsi="Times New Roman"/>
                <w:sz w:val="24"/>
                <w:lang w:val="uk-UA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lang w:val="uk-UA"/>
          </w:rPr>
          <m:t>=</m:t>
        </m:r>
        <m:f>
          <m:fPr>
            <m:ctrlPr>
              <w:rPr>
                <w:rFonts w:ascii="Cambria Math" w:hAnsi="Times New Roman"/>
                <w:sz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lang w:val="uk-UA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Times New Roman"/>
                        <w:sz w:val="24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lang w:val="uk-UA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lang w:val="en-US"/>
                      </w:rPr>
                      <m:t>e</m:t>
                    </m:r>
                    <m:ctrlPr>
                      <w:rPr>
                        <w:rFonts w:ascii="Cambria Math" w:hAnsi="Times New Roman"/>
                        <w:i/>
                        <w:sz w:val="24"/>
                        <w:lang w:val="en-US"/>
                      </w:rPr>
                    </m:ctrlP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>пр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lang w:val="uk-U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/>
                        <w:sz w:val="24"/>
                        <w:lang w:val="uk-U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lang w:val="uk-UA"/>
                      </w:rPr>
                      <m:t>N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>е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lang w:val="uk-UA"/>
                  </w:rPr>
                  <m:t>пр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den>
        </m:f>
        <m:r>
          <w:rPr>
            <w:rFonts w:ascii="Cambria Math" w:hAnsi="Cambria Math"/>
            <w:sz w:val="24"/>
            <w:lang w:val="uk-UA"/>
          </w:rPr>
          <m:t>.</m:t>
        </m:r>
      </m:oMath>
      <w:r w:rsidR="00C36E22" w:rsidRPr="00C36E22">
        <w:rPr>
          <w:rFonts w:ascii="Times New Roman" w:hAnsi="Times New Roman"/>
          <w:sz w:val="24"/>
          <w:lang w:val="uk-UA"/>
        </w:rPr>
        <w:t xml:space="preserve"> </w:t>
      </w:r>
      <w:r w:rsidR="00C36E22">
        <w:rPr>
          <w:rFonts w:ascii="Times New Roman" w:hAnsi="Times New Roman"/>
          <w:sz w:val="24"/>
          <w:lang w:val="uk-UA"/>
        </w:rPr>
        <w:t xml:space="preserve">                                                                     </w:t>
      </w:r>
      <w:r w:rsidR="00C36E22">
        <w:rPr>
          <w:rFonts w:ascii="Times New Roman" w:hAnsi="Times New Roman"/>
          <w:sz w:val="24"/>
          <w:lang w:val="uk-UA"/>
        </w:rPr>
        <w:t>(</w:t>
      </w:r>
      <w:r w:rsidR="00C36E22">
        <w:rPr>
          <w:rFonts w:ascii="Times New Roman" w:hAnsi="Times New Roman"/>
          <w:sz w:val="24"/>
          <w:lang w:val="uk-UA"/>
        </w:rPr>
        <w:t>7</w:t>
      </w:r>
      <w:r w:rsidR="00C36E22">
        <w:rPr>
          <w:rFonts w:ascii="Times New Roman" w:hAnsi="Times New Roman"/>
          <w:sz w:val="24"/>
          <w:lang w:val="uk-UA"/>
        </w:rPr>
        <w:t>)</w:t>
      </w:r>
    </w:p>
    <w:p w:rsidR="0098148F" w:rsidRPr="00B32896" w:rsidRDefault="0098148F" w:rsidP="00E87134">
      <w:pPr>
        <w:ind w:firstLine="851"/>
        <w:jc w:val="center"/>
        <w:rPr>
          <w:b/>
          <w:sz w:val="32"/>
          <w:szCs w:val="28"/>
        </w:rPr>
      </w:pPr>
    </w:p>
    <w:p w:rsidR="00A53498" w:rsidRPr="00B32896" w:rsidRDefault="00EC0194" w:rsidP="00E87134">
      <w:pPr>
        <w:pStyle w:val="a7"/>
        <w:jc w:val="both"/>
        <w:rPr>
          <w:sz w:val="32"/>
          <w:szCs w:val="28"/>
        </w:rPr>
      </w:pPr>
      <w:r w:rsidRPr="00B32896">
        <w:rPr>
          <w:sz w:val="32"/>
          <w:szCs w:val="28"/>
        </w:rPr>
        <w:t>Література</w:t>
      </w:r>
    </w:p>
    <w:p w:rsidR="00FE6F5C" w:rsidRPr="00B32896" w:rsidRDefault="00FE6F5C" w:rsidP="00BC6C01">
      <w:pPr>
        <w:pStyle w:val="af0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2"/>
          <w:sz w:val="32"/>
          <w:szCs w:val="28"/>
          <w:lang w:val="uk-UA" w:eastAsia="ru-RU"/>
        </w:rPr>
      </w:pPr>
      <w:r w:rsidRPr="00B32896">
        <w:rPr>
          <w:rFonts w:ascii="Times New Roman" w:hAnsi="Times New Roman"/>
          <w:color w:val="000000"/>
          <w:spacing w:val="2"/>
          <w:sz w:val="32"/>
          <w:szCs w:val="28"/>
          <w:lang w:val="uk-UA" w:eastAsia="ru-RU"/>
        </w:rPr>
        <w:t>Ковалко М. П. Методи та засоби підвищення ефективності функціонування систем трубопровідного транспорту газу. – К.: Українські енциклопедичні знання, 2001. – 288 с.</w:t>
      </w:r>
    </w:p>
    <w:p w:rsidR="006872B4" w:rsidRPr="00B32896" w:rsidRDefault="001F22AA" w:rsidP="00BC6C01">
      <w:pPr>
        <w:pStyle w:val="af0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2"/>
          <w:sz w:val="32"/>
          <w:szCs w:val="28"/>
          <w:lang w:val="uk-UA" w:eastAsia="ru-RU"/>
        </w:rPr>
      </w:pPr>
      <w:r w:rsidRPr="00B32896">
        <w:rPr>
          <w:rFonts w:ascii="Times New Roman" w:hAnsi="Times New Roman"/>
          <w:color w:val="000000"/>
          <w:spacing w:val="2"/>
          <w:sz w:val="32"/>
          <w:szCs w:val="28"/>
          <w:lang w:val="uk-UA" w:eastAsia="ru-RU"/>
        </w:rPr>
        <w:t>Енергетична стратегія України на період до 2035 року «Безпека, енергоефективність, конкурентоспроможність»</w:t>
      </w:r>
    </w:p>
    <w:sectPr w:rsidR="006872B4" w:rsidRPr="00B32896" w:rsidSect="00F56B7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C8F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C65EB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7789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B8F4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E5075FE"/>
    <w:multiLevelType w:val="hybridMultilevel"/>
    <w:tmpl w:val="AC4EAE3C"/>
    <w:lvl w:ilvl="0" w:tplc="B0FC4B1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966841"/>
    <w:multiLevelType w:val="hybridMultilevel"/>
    <w:tmpl w:val="A22283F4"/>
    <w:lvl w:ilvl="0" w:tplc="4A449DF4">
      <w:numFmt w:val="bullet"/>
      <w:lvlText w:val="-"/>
      <w:lvlJc w:val="left"/>
      <w:pPr>
        <w:tabs>
          <w:tab w:val="num" w:pos="1181"/>
        </w:tabs>
        <w:ind w:left="1181" w:hanging="360"/>
      </w:pPr>
      <w:rPr>
        <w:rFonts w:ascii="Arial Narrow" w:eastAsia="Times New Roman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BD3C3F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64C1B"/>
    <w:multiLevelType w:val="hybridMultilevel"/>
    <w:tmpl w:val="EE8C19B6"/>
    <w:lvl w:ilvl="0" w:tplc="B2608BB4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11309D"/>
    <w:multiLevelType w:val="hybridMultilevel"/>
    <w:tmpl w:val="8DD6DF50"/>
    <w:lvl w:ilvl="0" w:tplc="04383E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BE"/>
    <w:rsid w:val="00022B35"/>
    <w:rsid w:val="00026FBA"/>
    <w:rsid w:val="00045CDA"/>
    <w:rsid w:val="00067603"/>
    <w:rsid w:val="0008030A"/>
    <w:rsid w:val="00092168"/>
    <w:rsid w:val="000B0A80"/>
    <w:rsid w:val="000C26AB"/>
    <w:rsid w:val="000C65EF"/>
    <w:rsid w:val="000D19A3"/>
    <w:rsid w:val="000D6DCC"/>
    <w:rsid w:val="000E1F4E"/>
    <w:rsid w:val="000F0D68"/>
    <w:rsid w:val="000F0FCC"/>
    <w:rsid w:val="000F268C"/>
    <w:rsid w:val="000F637F"/>
    <w:rsid w:val="00105481"/>
    <w:rsid w:val="001102C0"/>
    <w:rsid w:val="00115CF8"/>
    <w:rsid w:val="00126BE6"/>
    <w:rsid w:val="0012755F"/>
    <w:rsid w:val="00133075"/>
    <w:rsid w:val="0013414C"/>
    <w:rsid w:val="00143E77"/>
    <w:rsid w:val="00151E09"/>
    <w:rsid w:val="00160921"/>
    <w:rsid w:val="0016329A"/>
    <w:rsid w:val="00171705"/>
    <w:rsid w:val="001778CA"/>
    <w:rsid w:val="00180E26"/>
    <w:rsid w:val="00183A93"/>
    <w:rsid w:val="00183B21"/>
    <w:rsid w:val="001B52A1"/>
    <w:rsid w:val="001C2134"/>
    <w:rsid w:val="001F22AA"/>
    <w:rsid w:val="002052F0"/>
    <w:rsid w:val="00206086"/>
    <w:rsid w:val="002217F5"/>
    <w:rsid w:val="00234E8C"/>
    <w:rsid w:val="00237B93"/>
    <w:rsid w:val="00242493"/>
    <w:rsid w:val="0024515E"/>
    <w:rsid w:val="002502D7"/>
    <w:rsid w:val="002801C8"/>
    <w:rsid w:val="002A2C18"/>
    <w:rsid w:val="002D5318"/>
    <w:rsid w:val="002D718D"/>
    <w:rsid w:val="002E2D32"/>
    <w:rsid w:val="002E48DF"/>
    <w:rsid w:val="002E704C"/>
    <w:rsid w:val="002F30E0"/>
    <w:rsid w:val="00312AC1"/>
    <w:rsid w:val="00324FE7"/>
    <w:rsid w:val="0033638C"/>
    <w:rsid w:val="00367B6C"/>
    <w:rsid w:val="00370452"/>
    <w:rsid w:val="003776B1"/>
    <w:rsid w:val="003826C4"/>
    <w:rsid w:val="003A0732"/>
    <w:rsid w:val="003A1BAA"/>
    <w:rsid w:val="003B4E37"/>
    <w:rsid w:val="003C07B3"/>
    <w:rsid w:val="003C49CA"/>
    <w:rsid w:val="003F3FE9"/>
    <w:rsid w:val="004058B8"/>
    <w:rsid w:val="00411B0E"/>
    <w:rsid w:val="0043497E"/>
    <w:rsid w:val="00447076"/>
    <w:rsid w:val="0045679D"/>
    <w:rsid w:val="00460F22"/>
    <w:rsid w:val="00466E45"/>
    <w:rsid w:val="0048261E"/>
    <w:rsid w:val="00490E04"/>
    <w:rsid w:val="004943BF"/>
    <w:rsid w:val="004B724A"/>
    <w:rsid w:val="004C0549"/>
    <w:rsid w:val="004C7C19"/>
    <w:rsid w:val="004E74BE"/>
    <w:rsid w:val="004F687A"/>
    <w:rsid w:val="005133E8"/>
    <w:rsid w:val="00550654"/>
    <w:rsid w:val="00553648"/>
    <w:rsid w:val="00555359"/>
    <w:rsid w:val="00561D50"/>
    <w:rsid w:val="00577FAD"/>
    <w:rsid w:val="0058158D"/>
    <w:rsid w:val="00596549"/>
    <w:rsid w:val="005A3F98"/>
    <w:rsid w:val="005C1235"/>
    <w:rsid w:val="005C5265"/>
    <w:rsid w:val="005D12B0"/>
    <w:rsid w:val="005D19AD"/>
    <w:rsid w:val="005F08B3"/>
    <w:rsid w:val="005F783D"/>
    <w:rsid w:val="00630D0D"/>
    <w:rsid w:val="006624E0"/>
    <w:rsid w:val="00676385"/>
    <w:rsid w:val="006872B4"/>
    <w:rsid w:val="00694622"/>
    <w:rsid w:val="006B2F22"/>
    <w:rsid w:val="006B3165"/>
    <w:rsid w:val="006C46DC"/>
    <w:rsid w:val="00705D10"/>
    <w:rsid w:val="00713464"/>
    <w:rsid w:val="007212E0"/>
    <w:rsid w:val="0072323A"/>
    <w:rsid w:val="007246B5"/>
    <w:rsid w:val="007510E8"/>
    <w:rsid w:val="007558AB"/>
    <w:rsid w:val="00766677"/>
    <w:rsid w:val="00790F2C"/>
    <w:rsid w:val="007C359A"/>
    <w:rsid w:val="007C3B75"/>
    <w:rsid w:val="007C60CE"/>
    <w:rsid w:val="008000F7"/>
    <w:rsid w:val="00801CA5"/>
    <w:rsid w:val="00821035"/>
    <w:rsid w:val="00826287"/>
    <w:rsid w:val="00827862"/>
    <w:rsid w:val="0087068C"/>
    <w:rsid w:val="008726B1"/>
    <w:rsid w:val="00881004"/>
    <w:rsid w:val="0088181F"/>
    <w:rsid w:val="008877C5"/>
    <w:rsid w:val="008976BB"/>
    <w:rsid w:val="008C4C4A"/>
    <w:rsid w:val="008D69C3"/>
    <w:rsid w:val="008F2D23"/>
    <w:rsid w:val="00915295"/>
    <w:rsid w:val="00946AC8"/>
    <w:rsid w:val="009512D0"/>
    <w:rsid w:val="009625B7"/>
    <w:rsid w:val="00966058"/>
    <w:rsid w:val="00974FEE"/>
    <w:rsid w:val="00981251"/>
    <w:rsid w:val="0098148F"/>
    <w:rsid w:val="00990912"/>
    <w:rsid w:val="0099629F"/>
    <w:rsid w:val="009A36D7"/>
    <w:rsid w:val="009B4C83"/>
    <w:rsid w:val="009B555C"/>
    <w:rsid w:val="009C7930"/>
    <w:rsid w:val="009F0197"/>
    <w:rsid w:val="009F46A0"/>
    <w:rsid w:val="00A1391D"/>
    <w:rsid w:val="00A32DDA"/>
    <w:rsid w:val="00A37251"/>
    <w:rsid w:val="00A41CA1"/>
    <w:rsid w:val="00A44DA9"/>
    <w:rsid w:val="00A501F7"/>
    <w:rsid w:val="00A53498"/>
    <w:rsid w:val="00A836C4"/>
    <w:rsid w:val="00A902B2"/>
    <w:rsid w:val="00A92B11"/>
    <w:rsid w:val="00AF05F2"/>
    <w:rsid w:val="00AF4362"/>
    <w:rsid w:val="00B04CCA"/>
    <w:rsid w:val="00B05F83"/>
    <w:rsid w:val="00B1225F"/>
    <w:rsid w:val="00B316FE"/>
    <w:rsid w:val="00B32896"/>
    <w:rsid w:val="00B36FEC"/>
    <w:rsid w:val="00B445A4"/>
    <w:rsid w:val="00B83505"/>
    <w:rsid w:val="00B86104"/>
    <w:rsid w:val="00B9116A"/>
    <w:rsid w:val="00B929BE"/>
    <w:rsid w:val="00B92BFE"/>
    <w:rsid w:val="00B94302"/>
    <w:rsid w:val="00BA5104"/>
    <w:rsid w:val="00BB4F25"/>
    <w:rsid w:val="00BC6C01"/>
    <w:rsid w:val="00BD0231"/>
    <w:rsid w:val="00BE45F7"/>
    <w:rsid w:val="00BF2F55"/>
    <w:rsid w:val="00C03422"/>
    <w:rsid w:val="00C06FFC"/>
    <w:rsid w:val="00C109A3"/>
    <w:rsid w:val="00C14DC7"/>
    <w:rsid w:val="00C31964"/>
    <w:rsid w:val="00C323F8"/>
    <w:rsid w:val="00C33BF2"/>
    <w:rsid w:val="00C36E22"/>
    <w:rsid w:val="00C44CD7"/>
    <w:rsid w:val="00C652AE"/>
    <w:rsid w:val="00C67BF4"/>
    <w:rsid w:val="00C80BD4"/>
    <w:rsid w:val="00CC6DBC"/>
    <w:rsid w:val="00CD6325"/>
    <w:rsid w:val="00CE0628"/>
    <w:rsid w:val="00CE067B"/>
    <w:rsid w:val="00CE0BF9"/>
    <w:rsid w:val="00CE2DC2"/>
    <w:rsid w:val="00CF29B0"/>
    <w:rsid w:val="00D37B62"/>
    <w:rsid w:val="00D56011"/>
    <w:rsid w:val="00D63ADF"/>
    <w:rsid w:val="00D72DD3"/>
    <w:rsid w:val="00D95105"/>
    <w:rsid w:val="00DB1610"/>
    <w:rsid w:val="00DB3737"/>
    <w:rsid w:val="00DD46CF"/>
    <w:rsid w:val="00DD7B39"/>
    <w:rsid w:val="00DE3CF3"/>
    <w:rsid w:val="00E05C2B"/>
    <w:rsid w:val="00E27C29"/>
    <w:rsid w:val="00E43357"/>
    <w:rsid w:val="00E52701"/>
    <w:rsid w:val="00E53F7A"/>
    <w:rsid w:val="00E6761A"/>
    <w:rsid w:val="00E87134"/>
    <w:rsid w:val="00E978DF"/>
    <w:rsid w:val="00EA20E1"/>
    <w:rsid w:val="00EA77DD"/>
    <w:rsid w:val="00EB1DB0"/>
    <w:rsid w:val="00EC0194"/>
    <w:rsid w:val="00EE1E60"/>
    <w:rsid w:val="00EE553F"/>
    <w:rsid w:val="00EE5AB3"/>
    <w:rsid w:val="00EF1643"/>
    <w:rsid w:val="00F02B7B"/>
    <w:rsid w:val="00F124DA"/>
    <w:rsid w:val="00F504B7"/>
    <w:rsid w:val="00F56B7B"/>
    <w:rsid w:val="00F73719"/>
    <w:rsid w:val="00F92BC4"/>
    <w:rsid w:val="00FA3E24"/>
    <w:rsid w:val="00FA6737"/>
    <w:rsid w:val="00FA6991"/>
    <w:rsid w:val="00FB2A5B"/>
    <w:rsid w:val="00FB5BEC"/>
    <w:rsid w:val="00FC48B4"/>
    <w:rsid w:val="00FC52CC"/>
    <w:rsid w:val="00FD2F14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E49E75"/>
  <w15:docId w15:val="{93F87D89-17ED-48DF-AE1D-3D665E7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к_ступінь_Прізвище_автора"/>
    <w:basedOn w:val="a"/>
    <w:rsid w:val="009A36D7"/>
    <w:pPr>
      <w:ind w:firstLine="0"/>
      <w:jc w:val="right"/>
    </w:pPr>
    <w:rPr>
      <w:b/>
      <w:i/>
      <w:sz w:val="24"/>
    </w:rPr>
  </w:style>
  <w:style w:type="paragraph" w:customStyle="1" w:styleId="a4">
    <w:name w:val="Навчальний_заклад_Установа"/>
    <w:basedOn w:val="a"/>
    <w:rsid w:val="009A36D7"/>
    <w:pPr>
      <w:ind w:firstLine="0"/>
      <w:jc w:val="right"/>
    </w:pPr>
    <w:rPr>
      <w:i/>
      <w:sz w:val="24"/>
    </w:rPr>
  </w:style>
  <w:style w:type="paragraph" w:customStyle="1" w:styleId="a5">
    <w:name w:val="Назва_тез_доповіді"/>
    <w:basedOn w:val="a"/>
    <w:rsid w:val="00F56B7B"/>
    <w:pPr>
      <w:ind w:firstLine="0"/>
      <w:jc w:val="center"/>
    </w:pPr>
    <w:rPr>
      <w:b/>
    </w:rPr>
  </w:style>
  <w:style w:type="paragraph" w:customStyle="1" w:styleId="a6">
    <w:name w:val="Основний_текст"/>
    <w:basedOn w:val="a"/>
    <w:rsid w:val="005F783D"/>
  </w:style>
  <w:style w:type="paragraph" w:customStyle="1" w:styleId="a7">
    <w:name w:val="Література_заголовок"/>
    <w:basedOn w:val="a"/>
    <w:rsid w:val="009A36D7"/>
    <w:pPr>
      <w:ind w:firstLine="0"/>
      <w:jc w:val="center"/>
    </w:pPr>
    <w:rPr>
      <w:sz w:val="24"/>
    </w:rPr>
  </w:style>
  <w:style w:type="paragraph" w:customStyle="1" w:styleId="a8">
    <w:name w:val="Література"/>
    <w:basedOn w:val="a"/>
    <w:rsid w:val="009A36D7"/>
    <w:pPr>
      <w:ind w:firstLine="0"/>
    </w:pPr>
    <w:rPr>
      <w:sz w:val="24"/>
    </w:rPr>
  </w:style>
  <w:style w:type="paragraph" w:customStyle="1" w:styleId="a9">
    <w:name w:val="Назва_рисунку_таблиці"/>
    <w:basedOn w:val="a"/>
    <w:rsid w:val="00A53498"/>
    <w:pPr>
      <w:ind w:firstLine="0"/>
      <w:jc w:val="center"/>
    </w:pPr>
  </w:style>
  <w:style w:type="paragraph" w:customStyle="1" w:styleId="e-mail">
    <w:name w:val="e-mail"/>
    <w:basedOn w:val="a8"/>
    <w:rsid w:val="004C7C19"/>
  </w:style>
  <w:style w:type="character" w:styleId="aa">
    <w:name w:val="Hyperlink"/>
    <w:rsid w:val="004C7C19"/>
    <w:rPr>
      <w:color w:val="0000FF"/>
      <w:u w:val="single"/>
    </w:rPr>
  </w:style>
  <w:style w:type="paragraph" w:customStyle="1" w:styleId="ab">
    <w:name w:val="Таблиця_номер"/>
    <w:basedOn w:val="a"/>
    <w:rsid w:val="007558AB"/>
    <w:pPr>
      <w:jc w:val="right"/>
      <w:outlineLvl w:val="0"/>
    </w:pPr>
    <w:rPr>
      <w:szCs w:val="28"/>
    </w:rPr>
  </w:style>
  <w:style w:type="paragraph" w:customStyle="1" w:styleId="ac">
    <w:name w:val="Таблиця_назва"/>
    <w:basedOn w:val="a"/>
    <w:rsid w:val="007558AB"/>
    <w:pPr>
      <w:ind w:firstLine="0"/>
      <w:jc w:val="center"/>
    </w:pPr>
    <w:rPr>
      <w:szCs w:val="28"/>
    </w:rPr>
  </w:style>
  <w:style w:type="paragraph" w:customStyle="1" w:styleId="ad">
    <w:name w:val="Таблиця_текст"/>
    <w:basedOn w:val="a"/>
    <w:rsid w:val="007558AB"/>
    <w:pPr>
      <w:spacing w:line="240" w:lineRule="auto"/>
      <w:ind w:firstLine="0"/>
      <w:jc w:val="center"/>
    </w:pPr>
    <w:rPr>
      <w:szCs w:val="20"/>
    </w:rPr>
  </w:style>
  <w:style w:type="character" w:styleId="ae">
    <w:name w:val="Strong"/>
    <w:basedOn w:val="a0"/>
    <w:uiPriority w:val="22"/>
    <w:qFormat/>
    <w:rsid w:val="004C0549"/>
    <w:rPr>
      <w:b/>
      <w:bCs/>
    </w:rPr>
  </w:style>
  <w:style w:type="character" w:styleId="af">
    <w:name w:val="Placeholder Text"/>
    <w:basedOn w:val="a0"/>
    <w:uiPriority w:val="99"/>
    <w:semiHidden/>
    <w:rsid w:val="00577FAD"/>
    <w:rPr>
      <w:color w:val="808080"/>
    </w:rPr>
  </w:style>
  <w:style w:type="paragraph" w:styleId="af0">
    <w:name w:val="List Paragraph"/>
    <w:basedOn w:val="a"/>
    <w:uiPriority w:val="99"/>
    <w:qFormat/>
    <w:rsid w:val="002D718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character" w:customStyle="1" w:styleId="af1">
    <w:name w:val="Основний текст_"/>
    <w:link w:val="1"/>
    <w:rsid w:val="00F73719"/>
    <w:rPr>
      <w:color w:val="5E5E5E"/>
      <w:sz w:val="18"/>
      <w:szCs w:val="18"/>
    </w:rPr>
  </w:style>
  <w:style w:type="character" w:customStyle="1" w:styleId="af2">
    <w:name w:val="Підпис до зображення_"/>
    <w:link w:val="af3"/>
    <w:rsid w:val="00F73719"/>
    <w:rPr>
      <w:color w:val="5E5E5E"/>
      <w:sz w:val="18"/>
      <w:szCs w:val="18"/>
    </w:rPr>
  </w:style>
  <w:style w:type="paragraph" w:customStyle="1" w:styleId="1">
    <w:name w:val="Основний текст1"/>
    <w:basedOn w:val="a"/>
    <w:link w:val="af1"/>
    <w:rsid w:val="00F73719"/>
    <w:pPr>
      <w:widowControl w:val="0"/>
      <w:spacing w:line="262" w:lineRule="auto"/>
      <w:ind w:firstLine="400"/>
      <w:jc w:val="left"/>
    </w:pPr>
    <w:rPr>
      <w:color w:val="5E5E5E"/>
      <w:sz w:val="18"/>
      <w:szCs w:val="18"/>
      <w:lang w:eastAsia="uk-UA"/>
    </w:rPr>
  </w:style>
  <w:style w:type="paragraph" w:customStyle="1" w:styleId="af3">
    <w:name w:val="Підпис до зображення"/>
    <w:basedOn w:val="a"/>
    <w:link w:val="af2"/>
    <w:rsid w:val="00F73719"/>
    <w:pPr>
      <w:widowControl w:val="0"/>
      <w:spacing w:line="264" w:lineRule="auto"/>
      <w:ind w:left="470" w:firstLine="0"/>
      <w:jc w:val="left"/>
    </w:pPr>
    <w:rPr>
      <w:color w:val="5E5E5E"/>
      <w:sz w:val="18"/>
      <w:szCs w:val="18"/>
      <w:lang w:eastAsia="uk-UA"/>
    </w:rPr>
  </w:style>
  <w:style w:type="paragraph" w:styleId="2">
    <w:name w:val="Body Text 2"/>
    <w:basedOn w:val="a"/>
    <w:link w:val="20"/>
    <w:uiPriority w:val="99"/>
    <w:unhideWhenUsed/>
    <w:rsid w:val="00F73719"/>
    <w:pPr>
      <w:spacing w:after="120" w:line="480" w:lineRule="auto"/>
      <w:ind w:firstLine="0"/>
      <w:jc w:val="left"/>
    </w:pPr>
    <w:rPr>
      <w:sz w:val="24"/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F73719"/>
    <w:rPr>
      <w:sz w:val="24"/>
      <w:szCs w:val="24"/>
      <w:lang w:val="ru-RU" w:eastAsia="ru-RU"/>
    </w:rPr>
  </w:style>
  <w:style w:type="paragraph" w:styleId="af4">
    <w:name w:val="Body Text Indent"/>
    <w:basedOn w:val="a"/>
    <w:link w:val="af5"/>
    <w:semiHidden/>
    <w:unhideWhenUsed/>
    <w:rsid w:val="00E87134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semiHidden/>
    <w:rsid w:val="00E87134"/>
    <w:rPr>
      <w:sz w:val="28"/>
      <w:szCs w:val="24"/>
      <w:lang w:eastAsia="ru-RU"/>
    </w:rPr>
  </w:style>
  <w:style w:type="paragraph" w:styleId="af6">
    <w:name w:val="No Spacing"/>
    <w:link w:val="af7"/>
    <w:uiPriority w:val="1"/>
    <w:qFormat/>
    <w:rsid w:val="0098148F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f8">
    <w:name w:val="Table Grid"/>
    <w:basedOn w:val="a1"/>
    <w:uiPriority w:val="59"/>
    <w:rsid w:val="0098148F"/>
    <w:rPr>
      <w:rFonts w:ascii="Calibri" w:eastAsia="Calibri" w:hAnsi="Calibri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98148F"/>
  </w:style>
  <w:style w:type="character" w:customStyle="1" w:styleId="hps">
    <w:name w:val="hps"/>
    <w:basedOn w:val="a0"/>
    <w:rsid w:val="0098148F"/>
  </w:style>
  <w:style w:type="character" w:customStyle="1" w:styleId="af7">
    <w:name w:val="Без інтервалів Знак"/>
    <w:basedOn w:val="a0"/>
    <w:link w:val="af6"/>
    <w:uiPriority w:val="1"/>
    <w:rsid w:val="0098148F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hyperlink" Target="http://www.docload.spb.ru/Basesdoc/30/30753/index.htm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Machuha</dc:creator>
  <cp:lastModifiedBy>Роман Стасюк</cp:lastModifiedBy>
  <cp:revision>4</cp:revision>
  <dcterms:created xsi:type="dcterms:W3CDTF">2024-04-26T11:18:00Z</dcterms:created>
  <dcterms:modified xsi:type="dcterms:W3CDTF">2024-04-26T11:23:00Z</dcterms:modified>
</cp:coreProperties>
</file>