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9DC4" w14:textId="77777777" w:rsidR="00F355BD" w:rsidRPr="007F6685" w:rsidRDefault="00F027AC" w:rsidP="00F355BD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7F6685">
        <w:rPr>
          <w:rFonts w:ascii="Times New Roman" w:hAnsi="Times New Roman"/>
          <w:sz w:val="28"/>
        </w:rPr>
        <w:t>Сороківський О</w:t>
      </w:r>
      <w:r w:rsidR="00F355BD" w:rsidRPr="007F6685">
        <w:rPr>
          <w:rFonts w:ascii="Times New Roman" w:hAnsi="Times New Roman"/>
          <w:sz w:val="28"/>
        </w:rPr>
        <w:t xml:space="preserve">лег </w:t>
      </w:r>
      <w:r w:rsidRPr="007F6685">
        <w:rPr>
          <w:rFonts w:ascii="Times New Roman" w:hAnsi="Times New Roman"/>
          <w:sz w:val="28"/>
        </w:rPr>
        <w:t>І</w:t>
      </w:r>
      <w:r w:rsidR="00F355BD" w:rsidRPr="007F6685">
        <w:rPr>
          <w:rFonts w:ascii="Times New Roman" w:hAnsi="Times New Roman"/>
          <w:sz w:val="28"/>
        </w:rPr>
        <w:t>горович, к.т.н., доцент</w:t>
      </w:r>
    </w:p>
    <w:p w14:paraId="1155E2CA" w14:textId="5B4EDD8A" w:rsidR="00F355BD" w:rsidRPr="007F6685" w:rsidRDefault="00F355BD" w:rsidP="00BB683B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</w:rPr>
      </w:pPr>
      <w:r w:rsidRPr="007F6685">
        <w:rPr>
          <w:rFonts w:ascii="Times New Roman" w:hAnsi="Times New Roman"/>
          <w:i/>
          <w:iCs/>
          <w:sz w:val="28"/>
        </w:rPr>
        <w:t xml:space="preserve">Національний </w:t>
      </w:r>
      <w:r w:rsidRPr="007F6685">
        <w:rPr>
          <w:rFonts w:ascii="Times New Roman" w:hAnsi="Times New Roman" w:cs="Times New Roman"/>
          <w:i/>
          <w:iCs/>
          <w:sz w:val="28"/>
        </w:rPr>
        <w:t>університет «Львівська політехніка», м. Львів</w:t>
      </w:r>
    </w:p>
    <w:p w14:paraId="37BF5200" w14:textId="204FCBAC" w:rsidR="00F355BD" w:rsidRPr="007F6685" w:rsidRDefault="00F355BD" w:rsidP="00F355BD">
      <w:pPr>
        <w:widowControl w:val="0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7F6685">
        <w:rPr>
          <w:rFonts w:ascii="Times New Roman" w:hAnsi="Times New Roman" w:cs="Times New Roman"/>
          <w:sz w:val="28"/>
          <w:szCs w:val="28"/>
        </w:rPr>
        <w:t xml:space="preserve">ORCID: </w:t>
      </w:r>
      <w:hyperlink r:id="rId5" w:tgtFrame="_blank" w:history="1">
        <w:r w:rsidRPr="007F668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0000-0002-5685-1440</w:t>
        </w:r>
      </w:hyperlink>
    </w:p>
    <w:p w14:paraId="654E347E" w14:textId="5409A6EE" w:rsidR="00F027AC" w:rsidRPr="007F6685" w:rsidRDefault="00F027AC" w:rsidP="00F355BD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7F6685">
        <w:rPr>
          <w:rFonts w:ascii="Times New Roman" w:hAnsi="Times New Roman"/>
          <w:sz w:val="28"/>
        </w:rPr>
        <w:t xml:space="preserve"> </w:t>
      </w:r>
    </w:p>
    <w:p w14:paraId="2AF204CD" w14:textId="1FD4EC5B" w:rsidR="00E17CA4" w:rsidRPr="005624F9" w:rsidRDefault="00F027AC" w:rsidP="005624F9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624F9">
        <w:rPr>
          <w:rFonts w:ascii="Times New Roman" w:hAnsi="Times New Roman" w:cs="Times New Roman"/>
          <w:b/>
          <w:bCs/>
          <w:caps/>
          <w:sz w:val="28"/>
          <w:szCs w:val="28"/>
        </w:rPr>
        <w:t>Вплив</w:t>
      </w:r>
      <w:r w:rsidR="005624F9" w:rsidRPr="005624F9">
        <w:rPr>
          <w:rFonts w:ascii="Times New Roman" w:hAnsi="Times New Roman"/>
          <w:b/>
          <w:bCs/>
          <w:caps/>
          <w:sz w:val="28"/>
          <w:szCs w:val="28"/>
        </w:rPr>
        <w:t xml:space="preserve"> геометричних параметрів кулачків розподільчого валу на експлуатаційні характеристики двигуна</w:t>
      </w:r>
    </w:p>
    <w:p w14:paraId="4102320F" w14:textId="77777777" w:rsidR="00F355BD" w:rsidRPr="00311D68" w:rsidRDefault="00F355BD" w:rsidP="00311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252E4" w14:textId="77777777" w:rsidR="005624F9" w:rsidRPr="00311D68" w:rsidRDefault="005624F9" w:rsidP="00311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1D68">
        <w:rPr>
          <w:rFonts w:ascii="Times New Roman" w:hAnsi="Times New Roman" w:cs="Times New Roman"/>
          <w:sz w:val="28"/>
          <w:szCs w:val="28"/>
          <w:lang w:eastAsia="uk-UA"/>
        </w:rPr>
        <w:t xml:space="preserve">Кулачкові механізми широко застосовуються у сучасному машинобудуванні.  Вони дозволяють механізмам та машинам широкі можливості щодо здійснення достатньо складних рухів вихідних елементів. В сучасному приладобудуванні та машинобудуванні застосовуються різноманітні типи плоских та просторових кулачкових механізмів. </w:t>
      </w:r>
    </w:p>
    <w:p w14:paraId="3EF2D4BD" w14:textId="77777777" w:rsidR="005624F9" w:rsidRPr="00311D68" w:rsidRDefault="005624F9" w:rsidP="00311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1D68">
        <w:rPr>
          <w:rFonts w:ascii="Times New Roman" w:hAnsi="Times New Roman" w:cs="Times New Roman"/>
          <w:sz w:val="28"/>
          <w:szCs w:val="28"/>
          <w:lang w:eastAsia="uk-UA"/>
        </w:rPr>
        <w:t xml:space="preserve">Проектування та виготовлення кулачкових механізмів є достатньо складним і, у деяких випадках, дозволяє значно спростити загальну конструкцію автоматичних пристроїв внаслідок застосування просторових кулачкових механізмів. </w:t>
      </w:r>
    </w:p>
    <w:p w14:paraId="04D81D52" w14:textId="77777777" w:rsidR="005624F9" w:rsidRPr="00311D68" w:rsidRDefault="005624F9" w:rsidP="00311D6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11D68">
        <w:rPr>
          <w:sz w:val="28"/>
          <w:szCs w:val="28"/>
        </w:rPr>
        <w:t>Кінематична пара кулачок-штовхач є однією з найрозповсюдженіших пар, які відносяться до вищих кінематичних пар. Контакт між спряженими ланками відбувається по лінії, або в точці. Проте, враховуючи пружність ланок, контакт у даних кінематичних парах відбувається по площині. У такому випадку в зоні спряження виникають високі питомі тиски та спрацювання поверхонь. Основною вимогою задовільної роботи  кінематичної пари кулачок-штовхач є неперервність контакту в парі. Порушення контакту в даній парі приводить до виникнення значних інерційних навантажень і порушенням законів руху. Тому, вибір закону руху елементів кулачкових механізмів має велике значення.</w:t>
      </w:r>
    </w:p>
    <w:p w14:paraId="0179FA45" w14:textId="06CB97BF" w:rsidR="005624F9" w:rsidRPr="00311D68" w:rsidRDefault="005624F9" w:rsidP="00311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D68">
        <w:rPr>
          <w:rFonts w:ascii="Times New Roman" w:hAnsi="Times New Roman" w:cs="Times New Roman"/>
          <w:bCs/>
          <w:sz w:val="28"/>
          <w:szCs w:val="28"/>
        </w:rPr>
        <w:t>Мет</w:t>
      </w:r>
      <w:r w:rsidR="00311D68" w:rsidRPr="00311D68">
        <w:rPr>
          <w:rFonts w:ascii="Times New Roman" w:hAnsi="Times New Roman" w:cs="Times New Roman"/>
          <w:bCs/>
          <w:sz w:val="28"/>
          <w:szCs w:val="28"/>
        </w:rPr>
        <w:t>ою даного</w:t>
      </w:r>
      <w:r w:rsidRPr="00311D68">
        <w:rPr>
          <w:rFonts w:ascii="Times New Roman" w:hAnsi="Times New Roman" w:cs="Times New Roman"/>
          <w:bCs/>
          <w:sz w:val="28"/>
          <w:szCs w:val="28"/>
        </w:rPr>
        <w:t xml:space="preserve"> дослідження</w:t>
      </w:r>
      <w:r w:rsidR="00311D68">
        <w:rPr>
          <w:rFonts w:ascii="Times New Roman" w:hAnsi="Times New Roman" w:cs="Times New Roman"/>
          <w:bCs/>
          <w:sz w:val="28"/>
          <w:szCs w:val="28"/>
        </w:rPr>
        <w:t xml:space="preserve"> є</w:t>
      </w:r>
      <w:r w:rsidRPr="00311D68">
        <w:rPr>
          <w:rFonts w:ascii="Times New Roman" w:hAnsi="Times New Roman" w:cs="Times New Roman"/>
          <w:bCs/>
          <w:sz w:val="28"/>
          <w:szCs w:val="28"/>
        </w:rPr>
        <w:t xml:space="preserve"> проаналіз</w:t>
      </w:r>
      <w:r w:rsidR="00311D68">
        <w:rPr>
          <w:rFonts w:ascii="Times New Roman" w:hAnsi="Times New Roman" w:cs="Times New Roman"/>
          <w:bCs/>
          <w:sz w:val="28"/>
          <w:szCs w:val="28"/>
        </w:rPr>
        <w:t>увати</w:t>
      </w:r>
      <w:r w:rsidRPr="00311D68">
        <w:rPr>
          <w:rFonts w:ascii="Times New Roman" w:hAnsi="Times New Roman" w:cs="Times New Roman"/>
          <w:bCs/>
          <w:sz w:val="28"/>
          <w:szCs w:val="28"/>
        </w:rPr>
        <w:t xml:space="preserve"> вплив геометричних</w:t>
      </w:r>
      <w:r w:rsidRPr="00311D68">
        <w:rPr>
          <w:rFonts w:ascii="Times New Roman" w:hAnsi="Times New Roman" w:cs="Times New Roman"/>
          <w:sz w:val="28"/>
          <w:szCs w:val="28"/>
        </w:rPr>
        <w:t xml:space="preserve"> параметрів кулачків розподільчого валу на експлуатаційні характеристики двигуна внутрішнього згоряння. </w:t>
      </w:r>
    </w:p>
    <w:p w14:paraId="1C225D5A" w14:textId="2D6C4025" w:rsidR="005624F9" w:rsidRPr="00311D68" w:rsidRDefault="00311D68" w:rsidP="00311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роботі </w:t>
      </w:r>
      <w:r w:rsidR="005624F9" w:rsidRPr="00311D68">
        <w:rPr>
          <w:rFonts w:ascii="Times New Roman" w:hAnsi="Times New Roman" w:cs="Times New Roman"/>
          <w:bCs/>
          <w:sz w:val="28"/>
          <w:szCs w:val="28"/>
        </w:rPr>
        <w:t xml:space="preserve">виконано </w:t>
      </w:r>
      <w:r w:rsidR="005624F9" w:rsidRPr="00311D68">
        <w:rPr>
          <w:rFonts w:ascii="Times New Roman" w:hAnsi="Times New Roman" w:cs="Times New Roman"/>
          <w:sz w:val="28"/>
          <w:szCs w:val="28"/>
        </w:rPr>
        <w:t xml:space="preserve">аналіз впливу геометричних параметрів профілів кулачків механізмів газорозподілу на основні технічні характеристики двигуна </w:t>
      </w:r>
      <w:r w:rsidR="005624F9" w:rsidRPr="00311D68">
        <w:rPr>
          <w:rFonts w:ascii="Times New Roman" w:hAnsi="Times New Roman" w:cs="Times New Roman"/>
          <w:sz w:val="28"/>
          <w:szCs w:val="28"/>
        </w:rPr>
        <w:lastRenderedPageBreak/>
        <w:t>внутрішнього згоряння.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624F9" w:rsidRPr="00311D68">
        <w:rPr>
          <w:rFonts w:ascii="Times New Roman" w:hAnsi="Times New Roman" w:cs="Times New Roman"/>
          <w:bCs/>
          <w:sz w:val="28"/>
          <w:szCs w:val="28"/>
        </w:rPr>
        <w:t xml:space="preserve">тримані результати досліджень дозволять оцінити вплив </w:t>
      </w:r>
      <w:r w:rsidR="005624F9" w:rsidRPr="00311D68">
        <w:rPr>
          <w:rFonts w:ascii="Times New Roman" w:hAnsi="Times New Roman" w:cs="Times New Roman"/>
          <w:sz w:val="28"/>
          <w:szCs w:val="28"/>
        </w:rPr>
        <w:t>геометричних параметрів профілів кулачків механізмів газорозподілу на експлуатаційні характеристики двигуна внутрішнього згоряння.</w:t>
      </w:r>
    </w:p>
    <w:p w14:paraId="1699A6B0" w14:textId="05E1A577" w:rsidR="004C0A37" w:rsidRPr="00311D68" w:rsidRDefault="00311D68" w:rsidP="00311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Відомо, що у</w:t>
      </w:r>
      <w:r w:rsidRPr="00311D68">
        <w:rPr>
          <w:rFonts w:ascii="Times New Roman" w:hAnsi="Times New Roman" w:cs="Times New Roman"/>
          <w:sz w:val="28"/>
          <w:szCs w:val="28"/>
        </w:rPr>
        <w:t xml:space="preserve"> конструкції сучасних чотиритактних двигунах внутрішнього згоряння застосовуються механізми газорозподілу з верхнім розміщенням розподільного валу та клапанів. Основним елементом таких механізмів, який дозволяє потрапити паливо-повітряній суміші в циліндри двигуна є клапани. Під час роботи двигуна деталі приводу газорозподільного механізму нагріваються, і відповідно їх розміри збільшуються. Тепловий зазор деталей зменшується до мінімального. Отже, для забезпечення компенсації видовження деталей приводу і, відповідно, щільного прилягання клапана до сідла необхідно забезпечити тепловий зазор в межах 0,15…0,3 мм</w:t>
      </w:r>
      <w:r w:rsidRPr="00311D68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Pr="00311D6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11D68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311D6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11D68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311D68">
        <w:rPr>
          <w:rFonts w:ascii="Times New Roman" w:hAnsi="Times New Roman" w:cs="Times New Roman"/>
          <w:sz w:val="28"/>
          <w:szCs w:val="28"/>
        </w:rPr>
        <w:t>.</w:t>
      </w:r>
      <w:r w:rsidRPr="00311D68">
        <w:rPr>
          <w:rFonts w:ascii="Times New Roman" w:hAnsi="Times New Roman" w:cs="Times New Roman"/>
          <w:sz w:val="28"/>
          <w:szCs w:val="28"/>
        </w:rPr>
        <w:t xml:space="preserve"> </w:t>
      </w:r>
      <w:r w:rsidRPr="00311D68">
        <w:rPr>
          <w:rFonts w:ascii="Times New Roman" w:hAnsi="Times New Roman" w:cs="Times New Roman"/>
          <w:sz w:val="28"/>
          <w:szCs w:val="28"/>
        </w:rPr>
        <w:t>Основним параметром, який впливає на кількість паливо-повітряної суміші в циліндрі, є прохідний переріз клапана.</w:t>
      </w:r>
    </w:p>
    <w:p w14:paraId="4495E572" w14:textId="24F485E8" w:rsidR="00311D68" w:rsidRPr="00311D68" w:rsidRDefault="002C0A5F" w:rsidP="00311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11D68">
        <w:rPr>
          <w:rFonts w:ascii="Times New Roman" w:hAnsi="Times New Roman" w:cs="Times New Roman"/>
          <w:sz w:val="28"/>
          <w:szCs w:val="28"/>
        </w:rPr>
        <w:t xml:space="preserve"> сучасних двигунах широко застосовуються</w:t>
      </w:r>
      <w:r w:rsidRPr="00311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11D68" w:rsidRPr="00311D68">
        <w:rPr>
          <w:rFonts w:ascii="Times New Roman" w:hAnsi="Times New Roman" w:cs="Times New Roman"/>
          <w:sz w:val="28"/>
          <w:szCs w:val="28"/>
        </w:rPr>
        <w:t>улачки з протиударним профілем</w:t>
      </w:r>
      <w:r>
        <w:rPr>
          <w:rFonts w:ascii="Times New Roman" w:hAnsi="Times New Roman" w:cs="Times New Roman"/>
          <w:sz w:val="28"/>
          <w:szCs w:val="28"/>
        </w:rPr>
        <w:t>, як</w:t>
      </w:r>
      <w:r w:rsidR="00311D68" w:rsidRPr="00311D68">
        <w:rPr>
          <w:rFonts w:ascii="Times New Roman" w:hAnsi="Times New Roman" w:cs="Times New Roman"/>
          <w:sz w:val="28"/>
          <w:szCs w:val="28"/>
        </w:rPr>
        <w:t xml:space="preserve">і дозволяють плавну зміну прискорення рухомих елементів приводу газорозподільного механізму. Серед даного типу кулачків найчастіше використовуються протиударні кулачки </w:t>
      </w:r>
      <w:proofErr w:type="spellStart"/>
      <w:r w:rsidR="00311D68" w:rsidRPr="00311D68">
        <w:rPr>
          <w:rFonts w:ascii="Times New Roman" w:hAnsi="Times New Roman" w:cs="Times New Roman"/>
          <w:sz w:val="28"/>
          <w:szCs w:val="28"/>
        </w:rPr>
        <w:t>Курца</w:t>
      </w:r>
      <w:proofErr w:type="spellEnd"/>
      <w:r w:rsidR="00311D68" w:rsidRPr="00311D68">
        <w:rPr>
          <w:rFonts w:ascii="Times New Roman" w:hAnsi="Times New Roman" w:cs="Times New Roman"/>
          <w:sz w:val="28"/>
          <w:szCs w:val="28"/>
        </w:rPr>
        <w:t xml:space="preserve">, які будують методом </w:t>
      </w:r>
      <w:proofErr w:type="spellStart"/>
      <w:r w:rsidR="00311D68" w:rsidRPr="00311D68">
        <w:rPr>
          <w:rFonts w:ascii="Times New Roman" w:hAnsi="Times New Roman" w:cs="Times New Roman"/>
          <w:sz w:val="28"/>
          <w:szCs w:val="28"/>
        </w:rPr>
        <w:t>полілінії</w:t>
      </w:r>
      <w:proofErr w:type="spellEnd"/>
      <w:r w:rsidR="00311D68" w:rsidRPr="00311D68">
        <w:rPr>
          <w:rFonts w:ascii="Times New Roman" w:hAnsi="Times New Roman" w:cs="Times New Roman"/>
          <w:sz w:val="28"/>
          <w:szCs w:val="28"/>
        </w:rPr>
        <w:t xml:space="preserve"> (</w:t>
      </w:r>
      <w:r w:rsidR="00311D68" w:rsidRPr="00311D68">
        <w:rPr>
          <w:rFonts w:ascii="Times New Roman" w:hAnsi="Times New Roman" w:cs="Times New Roman"/>
          <w:sz w:val="28"/>
          <w:szCs w:val="28"/>
          <w:lang w:val="en-US"/>
        </w:rPr>
        <w:t>polyline</w:t>
      </w:r>
      <w:r w:rsidR="00311D68" w:rsidRPr="00311D68">
        <w:rPr>
          <w:rFonts w:ascii="Times New Roman" w:hAnsi="Times New Roman" w:cs="Times New Roman"/>
          <w:sz w:val="28"/>
          <w:szCs w:val="28"/>
        </w:rPr>
        <w:t>).</w:t>
      </w:r>
      <w:r w:rsidR="00311D68" w:rsidRPr="00311D68">
        <w:rPr>
          <w:rFonts w:ascii="Times New Roman" w:hAnsi="Times New Roman" w:cs="Times New Roman"/>
          <w:sz w:val="28"/>
          <w:szCs w:val="28"/>
        </w:rPr>
        <w:t xml:space="preserve"> </w:t>
      </w:r>
      <w:r w:rsidR="00311D68" w:rsidRPr="00311D68">
        <w:rPr>
          <w:rFonts w:ascii="Times New Roman" w:hAnsi="Times New Roman" w:cs="Times New Roman"/>
          <w:sz w:val="28"/>
          <w:szCs w:val="28"/>
        </w:rPr>
        <w:t>Побудова профілю протиударних кулачків виконується за попередньо розрахованим законом руху штовхача. Згідно даного закону переміщення штовхача та швидкість визначається методом шляхом інтегрування прискорення.</w:t>
      </w:r>
    </w:p>
    <w:p w14:paraId="31084471" w14:textId="4B8A7236" w:rsidR="00311D68" w:rsidRPr="00311D68" w:rsidRDefault="00311D68" w:rsidP="00311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D68">
        <w:rPr>
          <w:rFonts w:ascii="Times New Roman" w:hAnsi="Times New Roman" w:cs="Times New Roman"/>
          <w:sz w:val="28"/>
          <w:szCs w:val="28"/>
        </w:rPr>
        <w:t>З метою проведення теоретичних досліджень зада</w:t>
      </w:r>
      <w:r w:rsidR="00AA2387">
        <w:rPr>
          <w:rFonts w:ascii="Times New Roman" w:hAnsi="Times New Roman" w:cs="Times New Roman"/>
          <w:sz w:val="28"/>
          <w:szCs w:val="28"/>
        </w:rPr>
        <w:t xml:space="preserve">вались реальними </w:t>
      </w:r>
      <w:r w:rsidRPr="00311D68">
        <w:rPr>
          <w:rFonts w:ascii="Times New Roman" w:hAnsi="Times New Roman" w:cs="Times New Roman"/>
          <w:sz w:val="28"/>
          <w:szCs w:val="28"/>
        </w:rPr>
        <w:t xml:space="preserve">параметрами </w:t>
      </w:r>
      <w:r w:rsidR="00AA2387">
        <w:rPr>
          <w:rFonts w:ascii="Times New Roman" w:hAnsi="Times New Roman" w:cs="Times New Roman"/>
          <w:sz w:val="28"/>
          <w:szCs w:val="28"/>
        </w:rPr>
        <w:t xml:space="preserve">існуючого </w:t>
      </w:r>
      <w:r w:rsidR="00AA2387" w:rsidRPr="00311D68">
        <w:rPr>
          <w:rFonts w:ascii="Times New Roman" w:hAnsi="Times New Roman" w:cs="Times New Roman"/>
          <w:sz w:val="28"/>
          <w:szCs w:val="28"/>
        </w:rPr>
        <w:t>рядн</w:t>
      </w:r>
      <w:r w:rsidR="00AA2387">
        <w:rPr>
          <w:rFonts w:ascii="Times New Roman" w:hAnsi="Times New Roman" w:cs="Times New Roman"/>
          <w:sz w:val="28"/>
          <w:szCs w:val="28"/>
        </w:rPr>
        <w:t>ого</w:t>
      </w:r>
      <w:r w:rsidR="00AA2387" w:rsidRPr="00311D68">
        <w:rPr>
          <w:rFonts w:ascii="Times New Roman" w:hAnsi="Times New Roman" w:cs="Times New Roman"/>
          <w:sz w:val="28"/>
          <w:szCs w:val="28"/>
        </w:rPr>
        <w:t xml:space="preserve"> чотирициліндров</w:t>
      </w:r>
      <w:r w:rsidR="00AA2387">
        <w:rPr>
          <w:rFonts w:ascii="Times New Roman" w:hAnsi="Times New Roman" w:cs="Times New Roman"/>
          <w:sz w:val="28"/>
          <w:szCs w:val="28"/>
        </w:rPr>
        <w:t>ого</w:t>
      </w:r>
      <w:r w:rsidR="00AA2387" w:rsidRPr="00311D68">
        <w:rPr>
          <w:rFonts w:ascii="Times New Roman" w:hAnsi="Times New Roman" w:cs="Times New Roman"/>
          <w:sz w:val="28"/>
          <w:szCs w:val="28"/>
        </w:rPr>
        <w:t xml:space="preserve"> </w:t>
      </w:r>
      <w:r w:rsidRPr="00311D68">
        <w:rPr>
          <w:rFonts w:ascii="Times New Roman" w:hAnsi="Times New Roman" w:cs="Times New Roman"/>
          <w:sz w:val="28"/>
          <w:szCs w:val="28"/>
        </w:rPr>
        <w:t>бензинового двигуна</w:t>
      </w:r>
      <w:r w:rsidR="00AA2387">
        <w:rPr>
          <w:rFonts w:ascii="Times New Roman" w:hAnsi="Times New Roman" w:cs="Times New Roman"/>
          <w:sz w:val="28"/>
          <w:szCs w:val="28"/>
        </w:rPr>
        <w:t xml:space="preserve"> з </w:t>
      </w:r>
      <w:r w:rsidRPr="00311D68">
        <w:rPr>
          <w:rFonts w:ascii="Times New Roman" w:hAnsi="Times New Roman" w:cs="Times New Roman"/>
          <w:sz w:val="28"/>
          <w:szCs w:val="28"/>
        </w:rPr>
        <w:t xml:space="preserve"> номінальн</w:t>
      </w:r>
      <w:r w:rsidR="00AA2387">
        <w:rPr>
          <w:rFonts w:ascii="Times New Roman" w:hAnsi="Times New Roman" w:cs="Times New Roman"/>
          <w:sz w:val="28"/>
          <w:szCs w:val="28"/>
        </w:rPr>
        <w:t>ою</w:t>
      </w:r>
      <w:r w:rsidRPr="00311D68">
        <w:rPr>
          <w:rFonts w:ascii="Times New Roman" w:hAnsi="Times New Roman" w:cs="Times New Roman"/>
          <w:sz w:val="28"/>
          <w:szCs w:val="28"/>
        </w:rPr>
        <w:t xml:space="preserve"> потужніст</w:t>
      </w:r>
      <w:r w:rsidR="00AA2387">
        <w:rPr>
          <w:rFonts w:ascii="Times New Roman" w:hAnsi="Times New Roman" w:cs="Times New Roman"/>
          <w:sz w:val="28"/>
          <w:szCs w:val="28"/>
        </w:rPr>
        <w:t>ю</w:t>
      </w:r>
      <w:r w:rsidRPr="00311D68">
        <w:rPr>
          <w:rFonts w:ascii="Times New Roman" w:hAnsi="Times New Roman" w:cs="Times New Roman"/>
          <w:sz w:val="28"/>
          <w:szCs w:val="28"/>
        </w:rPr>
        <w:t xml:space="preserve"> 77 кВт (105 </w:t>
      </w:r>
      <w:proofErr w:type="spellStart"/>
      <w:r w:rsidRPr="00311D68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Pr="00311D68">
        <w:rPr>
          <w:rFonts w:ascii="Times New Roman" w:hAnsi="Times New Roman" w:cs="Times New Roman"/>
          <w:sz w:val="28"/>
          <w:szCs w:val="28"/>
        </w:rPr>
        <w:t xml:space="preserve">.) </w:t>
      </w:r>
      <w:r w:rsidR="00AA2387">
        <w:rPr>
          <w:rFonts w:ascii="Times New Roman" w:hAnsi="Times New Roman" w:cs="Times New Roman"/>
          <w:sz w:val="28"/>
          <w:szCs w:val="28"/>
        </w:rPr>
        <w:t xml:space="preserve">та </w:t>
      </w:r>
      <w:r w:rsidRPr="00311D68">
        <w:rPr>
          <w:rFonts w:ascii="Times New Roman" w:hAnsi="Times New Roman" w:cs="Times New Roman"/>
          <w:sz w:val="28"/>
          <w:szCs w:val="28"/>
        </w:rPr>
        <w:t>максимальни</w:t>
      </w:r>
      <w:r w:rsidR="00AA2387">
        <w:rPr>
          <w:rFonts w:ascii="Times New Roman" w:hAnsi="Times New Roman" w:cs="Times New Roman"/>
          <w:sz w:val="28"/>
          <w:szCs w:val="28"/>
        </w:rPr>
        <w:t>м</w:t>
      </w:r>
      <w:r w:rsidRPr="00311D68">
        <w:rPr>
          <w:rFonts w:ascii="Times New Roman" w:hAnsi="Times New Roman" w:cs="Times New Roman"/>
          <w:sz w:val="28"/>
          <w:szCs w:val="28"/>
        </w:rPr>
        <w:t xml:space="preserve"> оберт</w:t>
      </w:r>
      <w:r w:rsidR="00AA2387">
        <w:rPr>
          <w:rFonts w:ascii="Times New Roman" w:hAnsi="Times New Roman" w:cs="Times New Roman"/>
          <w:sz w:val="28"/>
          <w:szCs w:val="28"/>
        </w:rPr>
        <w:t>овим</w:t>
      </w:r>
      <w:r w:rsidRPr="00311D68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AA2387">
        <w:rPr>
          <w:rFonts w:ascii="Times New Roman" w:hAnsi="Times New Roman" w:cs="Times New Roman"/>
          <w:sz w:val="28"/>
          <w:szCs w:val="28"/>
        </w:rPr>
        <w:t>ом</w:t>
      </w:r>
      <w:r w:rsidRPr="00311D68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Pr="00311D68">
        <w:rPr>
          <w:rFonts w:ascii="Times New Roman" w:hAnsi="Times New Roman" w:cs="Times New Roman"/>
          <w:sz w:val="28"/>
          <w:szCs w:val="28"/>
        </w:rPr>
        <w:t>Н·м</w:t>
      </w:r>
      <w:proofErr w:type="spellEnd"/>
      <w:r w:rsidRPr="00311D68">
        <w:rPr>
          <w:rFonts w:ascii="Times New Roman" w:hAnsi="Times New Roman" w:cs="Times New Roman"/>
          <w:sz w:val="28"/>
          <w:szCs w:val="28"/>
        </w:rPr>
        <w:t xml:space="preserve">. За </w:t>
      </w:r>
      <w:r w:rsidR="00AA2387">
        <w:rPr>
          <w:rFonts w:ascii="Times New Roman" w:hAnsi="Times New Roman" w:cs="Times New Roman"/>
          <w:sz w:val="28"/>
          <w:szCs w:val="28"/>
        </w:rPr>
        <w:t xml:space="preserve">відомою методикою </w:t>
      </w:r>
      <w:r w:rsidRPr="00311D68">
        <w:rPr>
          <w:rFonts w:ascii="Times New Roman" w:hAnsi="Times New Roman" w:cs="Times New Roman"/>
          <w:sz w:val="28"/>
          <w:szCs w:val="28"/>
        </w:rPr>
        <w:t>обчислен</w:t>
      </w:r>
      <w:r w:rsidR="00AA2387">
        <w:rPr>
          <w:rFonts w:ascii="Times New Roman" w:hAnsi="Times New Roman" w:cs="Times New Roman"/>
          <w:sz w:val="28"/>
          <w:szCs w:val="28"/>
        </w:rPr>
        <w:t xml:space="preserve">о основні параметри </w:t>
      </w:r>
      <w:r w:rsidR="006B7535">
        <w:rPr>
          <w:rFonts w:ascii="Times New Roman" w:hAnsi="Times New Roman" w:cs="Times New Roman"/>
          <w:sz w:val="28"/>
          <w:szCs w:val="28"/>
        </w:rPr>
        <w:t xml:space="preserve">профілів кулачків </w:t>
      </w:r>
      <w:r w:rsidR="00AA2387">
        <w:rPr>
          <w:rFonts w:ascii="Times New Roman" w:hAnsi="Times New Roman" w:cs="Times New Roman"/>
          <w:sz w:val="28"/>
          <w:szCs w:val="28"/>
        </w:rPr>
        <w:t xml:space="preserve">для </w:t>
      </w:r>
      <w:r w:rsidR="006B7535">
        <w:rPr>
          <w:rFonts w:ascii="Times New Roman" w:hAnsi="Times New Roman" w:cs="Times New Roman"/>
          <w:sz w:val="28"/>
          <w:szCs w:val="28"/>
        </w:rPr>
        <w:t xml:space="preserve">кількох варіантів величини підйому клапана, та кута фаз газорозподілу </w:t>
      </w:r>
      <w:r w:rsidR="00AA2387" w:rsidRPr="00AA2387">
        <w:rPr>
          <w:rFonts w:ascii="Times New Roman" w:hAnsi="Times New Roman" w:cs="Times New Roman"/>
          <w:sz w:val="28"/>
          <w:szCs w:val="28"/>
        </w:rPr>
        <w:t>[1..</w:t>
      </w:r>
      <w:r w:rsidRPr="00311D68">
        <w:rPr>
          <w:rFonts w:ascii="Times New Roman" w:hAnsi="Times New Roman" w:cs="Times New Roman"/>
          <w:sz w:val="28"/>
          <w:szCs w:val="28"/>
        </w:rPr>
        <w:t>.</w:t>
      </w:r>
      <w:r w:rsidR="00AA2387" w:rsidRPr="00AA2387">
        <w:rPr>
          <w:rFonts w:ascii="Times New Roman" w:hAnsi="Times New Roman" w:cs="Times New Roman"/>
          <w:sz w:val="28"/>
          <w:szCs w:val="28"/>
        </w:rPr>
        <w:t>3].</w:t>
      </w:r>
      <w:r w:rsidR="006B7535">
        <w:rPr>
          <w:rFonts w:ascii="Times New Roman" w:hAnsi="Times New Roman" w:cs="Times New Roman"/>
          <w:sz w:val="28"/>
          <w:szCs w:val="28"/>
        </w:rPr>
        <w:t xml:space="preserve"> </w:t>
      </w:r>
      <w:r w:rsidRPr="00311D68">
        <w:rPr>
          <w:rFonts w:ascii="Times New Roman" w:hAnsi="Times New Roman" w:cs="Times New Roman"/>
          <w:sz w:val="28"/>
          <w:szCs w:val="28"/>
        </w:rPr>
        <w:t>Визнач</w:t>
      </w:r>
      <w:r w:rsidR="006B7535">
        <w:rPr>
          <w:rFonts w:ascii="Times New Roman" w:hAnsi="Times New Roman" w:cs="Times New Roman"/>
          <w:sz w:val="28"/>
          <w:szCs w:val="28"/>
        </w:rPr>
        <w:t>ено</w:t>
      </w:r>
      <w:r w:rsidRPr="00311D68">
        <w:rPr>
          <w:rFonts w:ascii="Times New Roman" w:hAnsi="Times New Roman" w:cs="Times New Roman"/>
          <w:sz w:val="28"/>
          <w:szCs w:val="28"/>
        </w:rPr>
        <w:t xml:space="preserve"> точки ділянок профілю кулачка, що є точками початку підйому та закінчення закриття клапана, методом симетричного відкладання від вертикальної осі кутів</w:t>
      </w:r>
      <w:r w:rsidR="006B7535">
        <w:rPr>
          <w:rFonts w:ascii="Times New Roman" w:hAnsi="Times New Roman" w:cs="Times New Roman"/>
          <w:sz w:val="28"/>
          <w:szCs w:val="28"/>
        </w:rPr>
        <w:t xml:space="preserve"> фаз газорозподілу</w:t>
      </w:r>
      <w:r w:rsidRPr="00311D68">
        <w:rPr>
          <w:rFonts w:ascii="Times New Roman" w:hAnsi="Times New Roman" w:cs="Times New Roman"/>
          <w:sz w:val="28"/>
          <w:szCs w:val="28"/>
        </w:rPr>
        <w:t>. Визнач</w:t>
      </w:r>
      <w:r w:rsidR="006B7535">
        <w:rPr>
          <w:rFonts w:ascii="Times New Roman" w:hAnsi="Times New Roman" w:cs="Times New Roman"/>
          <w:sz w:val="28"/>
          <w:szCs w:val="28"/>
        </w:rPr>
        <w:t xml:space="preserve">ено геометричні </w:t>
      </w:r>
      <w:r w:rsidRPr="00311D68">
        <w:rPr>
          <w:rFonts w:ascii="Times New Roman" w:hAnsi="Times New Roman" w:cs="Times New Roman"/>
          <w:sz w:val="28"/>
          <w:szCs w:val="28"/>
        </w:rPr>
        <w:lastRenderedPageBreak/>
        <w:t>розміри профіл</w:t>
      </w:r>
      <w:r w:rsidR="006B7535">
        <w:rPr>
          <w:rFonts w:ascii="Times New Roman" w:hAnsi="Times New Roman" w:cs="Times New Roman"/>
          <w:sz w:val="28"/>
          <w:szCs w:val="28"/>
        </w:rPr>
        <w:t>ів</w:t>
      </w:r>
      <w:r w:rsidRPr="00311D68">
        <w:rPr>
          <w:rFonts w:ascii="Times New Roman" w:hAnsi="Times New Roman" w:cs="Times New Roman"/>
          <w:sz w:val="28"/>
          <w:szCs w:val="28"/>
        </w:rPr>
        <w:t xml:space="preserve"> </w:t>
      </w:r>
      <w:r w:rsidR="006B7535" w:rsidRPr="00311D68">
        <w:rPr>
          <w:rFonts w:ascii="Times New Roman" w:hAnsi="Times New Roman" w:cs="Times New Roman"/>
          <w:sz w:val="28"/>
          <w:szCs w:val="28"/>
        </w:rPr>
        <w:t xml:space="preserve">протиударного </w:t>
      </w:r>
      <w:r w:rsidRPr="00311D68">
        <w:rPr>
          <w:rFonts w:ascii="Times New Roman" w:hAnsi="Times New Roman" w:cs="Times New Roman"/>
          <w:sz w:val="28"/>
          <w:szCs w:val="28"/>
        </w:rPr>
        <w:t>кулачка, який складається з чотирьох ділянок</w:t>
      </w:r>
      <w:r w:rsidR="006B7535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Pr="00311D68">
        <w:rPr>
          <w:rFonts w:ascii="Times New Roman" w:hAnsi="Times New Roman" w:cs="Times New Roman"/>
          <w:sz w:val="28"/>
          <w:szCs w:val="28"/>
        </w:rPr>
        <w:t>кутові інтервали ділянок штовхача</w:t>
      </w:r>
      <w:r w:rsidR="006B7535">
        <w:rPr>
          <w:rFonts w:ascii="Times New Roman" w:hAnsi="Times New Roman" w:cs="Times New Roman"/>
          <w:sz w:val="28"/>
          <w:szCs w:val="28"/>
        </w:rPr>
        <w:t>.</w:t>
      </w:r>
    </w:p>
    <w:p w14:paraId="270D480C" w14:textId="161EE343" w:rsidR="00311D68" w:rsidRPr="00311D68" w:rsidRDefault="00311D68" w:rsidP="00311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D68">
        <w:rPr>
          <w:rFonts w:ascii="Times New Roman" w:hAnsi="Times New Roman" w:cs="Times New Roman"/>
          <w:sz w:val="28"/>
          <w:szCs w:val="28"/>
        </w:rPr>
        <w:t>Отриман</w:t>
      </w:r>
      <w:r w:rsidR="006B7535">
        <w:rPr>
          <w:rFonts w:ascii="Times New Roman" w:hAnsi="Times New Roman" w:cs="Times New Roman"/>
          <w:sz w:val="28"/>
          <w:szCs w:val="28"/>
        </w:rPr>
        <w:t>о</w:t>
      </w:r>
      <w:r w:rsidRPr="00311D68">
        <w:rPr>
          <w:rFonts w:ascii="Times New Roman" w:hAnsi="Times New Roman" w:cs="Times New Roman"/>
          <w:sz w:val="28"/>
          <w:szCs w:val="28"/>
        </w:rPr>
        <w:t xml:space="preserve"> результати обчислень величини переміщення, швидкості та прискорення штовхача</w:t>
      </w:r>
      <w:r w:rsidR="003E78F0">
        <w:rPr>
          <w:rFonts w:ascii="Times New Roman" w:hAnsi="Times New Roman" w:cs="Times New Roman"/>
          <w:sz w:val="28"/>
          <w:szCs w:val="28"/>
        </w:rPr>
        <w:t xml:space="preserve"> для величин максимального підйому штовхача </w:t>
      </w:r>
      <w:r w:rsidR="00BE3B0F">
        <w:rPr>
          <w:rFonts w:ascii="Times New Roman" w:hAnsi="Times New Roman" w:cs="Times New Roman"/>
          <w:sz w:val="28"/>
          <w:szCs w:val="28"/>
        </w:rPr>
        <w:t xml:space="preserve">8, 9 </w:t>
      </w:r>
      <w:r w:rsidR="003E78F0">
        <w:rPr>
          <w:rFonts w:ascii="Times New Roman" w:hAnsi="Times New Roman" w:cs="Times New Roman"/>
          <w:sz w:val="28"/>
          <w:szCs w:val="28"/>
        </w:rPr>
        <w:t xml:space="preserve">та </w:t>
      </w:r>
      <w:r w:rsidR="00BE3B0F">
        <w:rPr>
          <w:rFonts w:ascii="Times New Roman" w:hAnsi="Times New Roman" w:cs="Times New Roman"/>
          <w:sz w:val="28"/>
          <w:szCs w:val="28"/>
        </w:rPr>
        <w:t xml:space="preserve">10 </w:t>
      </w:r>
      <w:r w:rsidR="00BE3B0F" w:rsidRPr="00BE3B0F">
        <w:rPr>
          <w:rFonts w:ascii="Times New Roman" w:hAnsi="Times New Roman" w:cs="Times New Roman"/>
          <w:sz w:val="28"/>
          <w:szCs w:val="28"/>
        </w:rPr>
        <w:t>мм, а також</w:t>
      </w:r>
      <w:r w:rsidRPr="00BE3B0F">
        <w:rPr>
          <w:rFonts w:ascii="Times New Roman" w:hAnsi="Times New Roman" w:cs="Times New Roman"/>
          <w:sz w:val="28"/>
          <w:szCs w:val="28"/>
        </w:rPr>
        <w:t xml:space="preserve"> </w:t>
      </w:r>
      <w:r w:rsidR="003E78F0" w:rsidRPr="00BE3B0F">
        <w:rPr>
          <w:rFonts w:ascii="Times New Roman" w:hAnsi="Times New Roman" w:cs="Times New Roman"/>
          <w:sz w:val="28"/>
          <w:szCs w:val="28"/>
        </w:rPr>
        <w:t>трьох величин кутів фаз газорозподілу</w:t>
      </w:r>
      <w:r w:rsidR="00BE3B0F" w:rsidRPr="00BE3B0F">
        <w:rPr>
          <w:rFonts w:ascii="Times New Roman" w:hAnsi="Times New Roman" w:cs="Times New Roman"/>
          <w:sz w:val="28"/>
          <w:szCs w:val="28"/>
        </w:rPr>
        <w:t xml:space="preserve"> </w:t>
      </w:r>
      <w:r w:rsidR="00BE3B0F" w:rsidRPr="00BE3B0F">
        <w:rPr>
          <w:rFonts w:ascii="Times New Roman" w:hAnsi="Times New Roman" w:cs="Times New Roman"/>
          <w:sz w:val="24"/>
          <w:szCs w:val="24"/>
        </w:rPr>
        <w:t>57,5°; 60°</w:t>
      </w:r>
      <w:r w:rsidR="00BE3B0F" w:rsidRPr="00BE3B0F">
        <w:rPr>
          <w:rFonts w:ascii="Times New Roman" w:hAnsi="Times New Roman" w:cs="Times New Roman"/>
          <w:sz w:val="24"/>
          <w:szCs w:val="24"/>
        </w:rPr>
        <w:t>;</w:t>
      </w:r>
      <w:r w:rsidR="00BE3B0F" w:rsidRPr="00BE3B0F">
        <w:rPr>
          <w:rFonts w:ascii="Times New Roman" w:hAnsi="Times New Roman" w:cs="Times New Roman"/>
          <w:sz w:val="24"/>
          <w:szCs w:val="24"/>
        </w:rPr>
        <w:t> 70°</w:t>
      </w:r>
      <w:r w:rsidR="003E78F0" w:rsidRPr="00BE3B0F">
        <w:rPr>
          <w:rFonts w:ascii="Times New Roman" w:hAnsi="Times New Roman" w:cs="Times New Roman"/>
          <w:sz w:val="28"/>
          <w:szCs w:val="28"/>
        </w:rPr>
        <w:t xml:space="preserve">. </w:t>
      </w:r>
      <w:r w:rsidRPr="00BE3B0F">
        <w:rPr>
          <w:rFonts w:ascii="Times New Roman" w:hAnsi="Times New Roman" w:cs="Times New Roman"/>
          <w:sz w:val="28"/>
          <w:szCs w:val="28"/>
        </w:rPr>
        <w:t xml:space="preserve">За </w:t>
      </w:r>
      <w:r w:rsidR="003E78F0" w:rsidRPr="00BE3B0F">
        <w:rPr>
          <w:rFonts w:ascii="Times New Roman" w:hAnsi="Times New Roman" w:cs="Times New Roman"/>
          <w:sz w:val="28"/>
          <w:szCs w:val="28"/>
        </w:rPr>
        <w:t>проведеними</w:t>
      </w:r>
      <w:r w:rsidR="003E78F0">
        <w:rPr>
          <w:rFonts w:ascii="Times New Roman" w:hAnsi="Times New Roman" w:cs="Times New Roman"/>
          <w:sz w:val="28"/>
          <w:szCs w:val="28"/>
        </w:rPr>
        <w:t xml:space="preserve"> розрахунками </w:t>
      </w:r>
      <w:r w:rsidRPr="00311D68">
        <w:rPr>
          <w:rFonts w:ascii="Times New Roman" w:hAnsi="Times New Roman" w:cs="Times New Roman"/>
          <w:sz w:val="28"/>
          <w:szCs w:val="28"/>
        </w:rPr>
        <w:t>побудован</w:t>
      </w:r>
      <w:r w:rsidR="003E78F0">
        <w:rPr>
          <w:rFonts w:ascii="Times New Roman" w:hAnsi="Times New Roman" w:cs="Times New Roman"/>
          <w:sz w:val="28"/>
          <w:szCs w:val="28"/>
        </w:rPr>
        <w:t>о</w:t>
      </w:r>
      <w:r w:rsidRPr="00311D68">
        <w:rPr>
          <w:rFonts w:ascii="Times New Roman" w:hAnsi="Times New Roman" w:cs="Times New Roman"/>
          <w:sz w:val="28"/>
          <w:szCs w:val="28"/>
        </w:rPr>
        <w:t xml:space="preserve"> графічні залежності цих параметрів і наведено на рис.</w:t>
      </w:r>
      <w:r w:rsidR="00BE3B0F">
        <w:rPr>
          <w:rFonts w:ascii="Times New Roman" w:hAnsi="Times New Roman" w:cs="Times New Roman"/>
          <w:sz w:val="28"/>
          <w:szCs w:val="28"/>
        </w:rPr>
        <w:t> </w:t>
      </w:r>
      <w:r w:rsidRPr="00311D68">
        <w:rPr>
          <w:rFonts w:ascii="Times New Roman" w:hAnsi="Times New Roman" w:cs="Times New Roman"/>
          <w:sz w:val="28"/>
          <w:szCs w:val="28"/>
        </w:rPr>
        <w:t>1.</w:t>
      </w:r>
    </w:p>
    <w:p w14:paraId="3C067C5B" w14:textId="77777777" w:rsidR="003E78F0" w:rsidRDefault="003E78F0" w:rsidP="00311D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9B0BDB" w14:textId="77777777" w:rsidR="003E78F0" w:rsidRDefault="003E78F0" w:rsidP="003E78F0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9D29B7D" wp14:editId="2FA3F2DD">
            <wp:extent cx="5838825" cy="3190875"/>
            <wp:effectExtent l="0" t="0" r="0" b="0"/>
            <wp:docPr id="206062367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D97AB90A-0DD3-4652-AE7F-3087E50445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222BDA8" w14:textId="757B2943" w:rsidR="003E78F0" w:rsidRPr="003E78F0" w:rsidRDefault="003E78F0" w:rsidP="003E78F0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78F0">
        <w:rPr>
          <w:rFonts w:ascii="Times New Roman" w:hAnsi="Times New Roman" w:cs="Times New Roman"/>
          <w:i/>
          <w:iCs/>
          <w:sz w:val="24"/>
          <w:szCs w:val="24"/>
        </w:rPr>
        <w:t xml:space="preserve">Рис. </w:t>
      </w:r>
      <w:r w:rsidRPr="003E78F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3E78F0">
        <w:rPr>
          <w:rFonts w:ascii="Times New Roman" w:hAnsi="Times New Roman" w:cs="Times New Roman"/>
          <w:i/>
          <w:iCs/>
          <w:sz w:val="24"/>
          <w:szCs w:val="24"/>
        </w:rPr>
        <w:t xml:space="preserve">. Діаграми переміщення штовхача під час роботи з протиударним кулачком з кутами фаз газорозподілу </w:t>
      </w:r>
      <w:proofErr w:type="spellStart"/>
      <w:r w:rsidRPr="003E78F0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3E78F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р</w:t>
      </w:r>
      <w:proofErr w:type="spellEnd"/>
      <w:r w:rsidRPr="003E78F0">
        <w:rPr>
          <w:rFonts w:ascii="Times New Roman" w:hAnsi="Times New Roman" w:cs="Times New Roman"/>
          <w:i/>
          <w:iCs/>
          <w:sz w:val="24"/>
          <w:szCs w:val="24"/>
        </w:rPr>
        <w:t xml:space="preserve"> = 57,5°; </w:t>
      </w:r>
      <w:proofErr w:type="spellStart"/>
      <w:r w:rsidRPr="003E78F0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3E78F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р</w:t>
      </w:r>
      <w:proofErr w:type="spellEnd"/>
      <w:r w:rsidRPr="003E78F0">
        <w:rPr>
          <w:rFonts w:ascii="Times New Roman" w:hAnsi="Times New Roman" w:cs="Times New Roman"/>
          <w:i/>
          <w:iCs/>
          <w:sz w:val="24"/>
          <w:szCs w:val="24"/>
        </w:rPr>
        <w:t xml:space="preserve"> = 60° та </w:t>
      </w:r>
      <w:proofErr w:type="spellStart"/>
      <w:r w:rsidRPr="003E78F0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3E78F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р</w:t>
      </w:r>
      <w:proofErr w:type="spellEnd"/>
      <w:r w:rsidRPr="003E78F0">
        <w:rPr>
          <w:rFonts w:ascii="Times New Roman" w:hAnsi="Times New Roman" w:cs="Times New Roman"/>
          <w:i/>
          <w:iCs/>
          <w:sz w:val="24"/>
          <w:szCs w:val="24"/>
        </w:rPr>
        <w:t> = 70°</w:t>
      </w:r>
    </w:p>
    <w:p w14:paraId="4F0AE60C" w14:textId="77777777" w:rsidR="003E78F0" w:rsidRPr="003E78F0" w:rsidRDefault="003E78F0" w:rsidP="00311D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E69756" w14:textId="5FDD7CD5" w:rsidR="00311D68" w:rsidRPr="00311D68" w:rsidRDefault="00311D68" w:rsidP="00311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D68">
        <w:rPr>
          <w:rFonts w:ascii="Times New Roman" w:hAnsi="Times New Roman" w:cs="Times New Roman"/>
          <w:bCs/>
          <w:sz w:val="28"/>
          <w:szCs w:val="28"/>
        </w:rPr>
        <w:t xml:space="preserve">Проведені теоретичні дослідження підтвердили що </w:t>
      </w:r>
      <w:r w:rsidRPr="00311D68">
        <w:rPr>
          <w:rFonts w:ascii="Times New Roman" w:hAnsi="Times New Roman" w:cs="Times New Roman"/>
          <w:sz w:val="28"/>
          <w:szCs w:val="28"/>
        </w:rPr>
        <w:t xml:space="preserve">профіль кулачка </w:t>
      </w:r>
      <w:r w:rsidRPr="00311D68">
        <w:rPr>
          <w:rFonts w:ascii="Times New Roman" w:hAnsi="Times New Roman" w:cs="Times New Roman"/>
          <w:bCs/>
          <w:sz w:val="28"/>
          <w:szCs w:val="28"/>
        </w:rPr>
        <w:t xml:space="preserve">з максимальним підйомом клапана 9 мм і </w:t>
      </w:r>
      <w:r w:rsidRPr="00311D68">
        <w:rPr>
          <w:rFonts w:ascii="Times New Roman" w:hAnsi="Times New Roman" w:cs="Times New Roman"/>
          <w:sz w:val="28"/>
          <w:szCs w:val="28"/>
        </w:rPr>
        <w:t xml:space="preserve">кутом фаз газорозподілу 57,5° </w:t>
      </w:r>
      <w:r w:rsidRPr="00311D68">
        <w:rPr>
          <w:rFonts w:ascii="Times New Roman" w:hAnsi="Times New Roman" w:cs="Times New Roman"/>
          <w:bCs/>
          <w:sz w:val="28"/>
          <w:szCs w:val="28"/>
        </w:rPr>
        <w:t xml:space="preserve">дозволяє здійснити впуск свіжої суміші на 33%  менше, ніж </w:t>
      </w:r>
      <w:r w:rsidRPr="00311D68">
        <w:rPr>
          <w:rFonts w:ascii="Times New Roman" w:hAnsi="Times New Roman" w:cs="Times New Roman"/>
          <w:sz w:val="28"/>
          <w:szCs w:val="28"/>
        </w:rPr>
        <w:t xml:space="preserve">профіль кулачка </w:t>
      </w:r>
      <w:r w:rsidRPr="00311D68">
        <w:rPr>
          <w:rFonts w:ascii="Times New Roman" w:hAnsi="Times New Roman" w:cs="Times New Roman"/>
          <w:bCs/>
          <w:sz w:val="28"/>
          <w:szCs w:val="28"/>
        </w:rPr>
        <w:t xml:space="preserve">з максимальним підйомом клапана 10 мм і </w:t>
      </w:r>
      <w:r w:rsidRPr="00311D68">
        <w:rPr>
          <w:rFonts w:ascii="Times New Roman" w:hAnsi="Times New Roman" w:cs="Times New Roman"/>
          <w:sz w:val="28"/>
          <w:szCs w:val="28"/>
        </w:rPr>
        <w:t>кутом 70°</w:t>
      </w:r>
      <w:r w:rsidRPr="00311D68">
        <w:rPr>
          <w:rFonts w:ascii="Times New Roman" w:hAnsi="Times New Roman" w:cs="Times New Roman"/>
          <w:bCs/>
          <w:sz w:val="28"/>
          <w:szCs w:val="28"/>
        </w:rPr>
        <w:t xml:space="preserve">. І відповідно максимальна потужність двигуна з </w:t>
      </w:r>
      <w:r w:rsidRPr="00311D68">
        <w:rPr>
          <w:rFonts w:ascii="Times New Roman" w:hAnsi="Times New Roman" w:cs="Times New Roman"/>
          <w:sz w:val="28"/>
          <w:szCs w:val="28"/>
        </w:rPr>
        <w:t xml:space="preserve">профілем кулачка </w:t>
      </w:r>
      <w:r w:rsidRPr="00311D68">
        <w:rPr>
          <w:rFonts w:ascii="Times New Roman" w:hAnsi="Times New Roman" w:cs="Times New Roman"/>
          <w:bCs/>
          <w:sz w:val="28"/>
          <w:szCs w:val="28"/>
        </w:rPr>
        <w:t>з максимальним підйомом клапана 8 мм буде 51 кВт проти 77 кВт</w:t>
      </w:r>
      <w:r w:rsidRPr="00311D68">
        <w:rPr>
          <w:rFonts w:ascii="Times New Roman" w:hAnsi="Times New Roman" w:cs="Times New Roman"/>
          <w:sz w:val="28"/>
          <w:szCs w:val="28"/>
        </w:rPr>
        <w:t xml:space="preserve"> кулачка </w:t>
      </w:r>
      <w:r w:rsidRPr="00311D68">
        <w:rPr>
          <w:rFonts w:ascii="Times New Roman" w:hAnsi="Times New Roman" w:cs="Times New Roman"/>
          <w:bCs/>
          <w:sz w:val="28"/>
          <w:szCs w:val="28"/>
        </w:rPr>
        <w:t xml:space="preserve">з максимальним підйомом клапана 10 мм. Зменшення потужності двигуна відбувається внаслідок потрапляння у циліндри двигуна меншої кількості паливо-повітряної суміші. Також і відповідно на 33,6% </w:t>
      </w:r>
      <w:r w:rsidRPr="00311D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зменшиться середній обертовий момент двигуна (зі 150 </w:t>
      </w:r>
      <w:proofErr w:type="spellStart"/>
      <w:r w:rsidRPr="00311D68">
        <w:rPr>
          <w:rFonts w:ascii="Times New Roman" w:hAnsi="Times New Roman" w:cs="Times New Roman"/>
          <w:bCs/>
          <w:sz w:val="28"/>
          <w:szCs w:val="28"/>
        </w:rPr>
        <w:t>Н·м</w:t>
      </w:r>
      <w:proofErr w:type="spellEnd"/>
      <w:r w:rsidRPr="00311D68">
        <w:rPr>
          <w:rFonts w:ascii="Times New Roman" w:hAnsi="Times New Roman" w:cs="Times New Roman"/>
          <w:bCs/>
          <w:sz w:val="28"/>
          <w:szCs w:val="28"/>
        </w:rPr>
        <w:t xml:space="preserve"> до 99,2 </w:t>
      </w:r>
      <w:proofErr w:type="spellStart"/>
      <w:r w:rsidRPr="00311D68">
        <w:rPr>
          <w:rFonts w:ascii="Times New Roman" w:hAnsi="Times New Roman" w:cs="Times New Roman"/>
          <w:bCs/>
          <w:sz w:val="28"/>
          <w:szCs w:val="28"/>
        </w:rPr>
        <w:t>Н·м</w:t>
      </w:r>
      <w:proofErr w:type="spellEnd"/>
      <w:r w:rsidRPr="00311D68">
        <w:rPr>
          <w:rFonts w:ascii="Times New Roman" w:hAnsi="Times New Roman" w:cs="Times New Roman"/>
          <w:bCs/>
          <w:sz w:val="28"/>
          <w:szCs w:val="28"/>
        </w:rPr>
        <w:t xml:space="preserve"> відповідно).</w:t>
      </w:r>
    </w:p>
    <w:p w14:paraId="254883ED" w14:textId="77777777" w:rsidR="00311D68" w:rsidRPr="00311D68" w:rsidRDefault="00311D68" w:rsidP="00311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D68">
        <w:rPr>
          <w:rFonts w:ascii="Times New Roman" w:hAnsi="Times New Roman" w:cs="Times New Roman"/>
          <w:sz w:val="28"/>
          <w:szCs w:val="28"/>
        </w:rPr>
        <w:t xml:space="preserve">З порівняння діаграм швидкостей штовхача, який виконує переміщення </w:t>
      </w:r>
      <w:r w:rsidRPr="00311D68">
        <w:rPr>
          <w:rFonts w:ascii="Times New Roman" w:hAnsi="Times New Roman" w:cs="Times New Roman"/>
          <w:bCs/>
          <w:sz w:val="28"/>
          <w:szCs w:val="28"/>
        </w:rPr>
        <w:t>по ш</w:t>
      </w:r>
      <w:r w:rsidRPr="00311D68">
        <w:rPr>
          <w:rFonts w:ascii="Times New Roman" w:hAnsi="Times New Roman" w:cs="Times New Roman"/>
          <w:sz w:val="28"/>
          <w:szCs w:val="28"/>
        </w:rPr>
        <w:t>видкості руху штовхачів по</w:t>
      </w:r>
      <w:r w:rsidRPr="00311D68">
        <w:rPr>
          <w:rFonts w:ascii="Times New Roman" w:hAnsi="Times New Roman" w:cs="Times New Roman"/>
          <w:bCs/>
          <w:sz w:val="28"/>
          <w:szCs w:val="28"/>
        </w:rPr>
        <w:t xml:space="preserve"> профілях </w:t>
      </w:r>
      <w:r w:rsidRPr="00311D68">
        <w:rPr>
          <w:rFonts w:ascii="Times New Roman" w:hAnsi="Times New Roman" w:cs="Times New Roman"/>
          <w:sz w:val="28"/>
          <w:szCs w:val="28"/>
        </w:rPr>
        <w:t>кулачків з кутами фаз газорозподілу 57,5° та 70° за величиною відрізняються незначно.</w:t>
      </w:r>
    </w:p>
    <w:p w14:paraId="69F9F216" w14:textId="77777777" w:rsidR="00311D68" w:rsidRPr="00311D68" w:rsidRDefault="00311D68" w:rsidP="00311D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D68">
        <w:rPr>
          <w:rFonts w:ascii="Times New Roman" w:hAnsi="Times New Roman" w:cs="Times New Roman"/>
          <w:bCs/>
          <w:sz w:val="28"/>
          <w:szCs w:val="28"/>
        </w:rPr>
        <w:t>Профіль протиударного кулачка з</w:t>
      </w:r>
      <w:r w:rsidRPr="00311D68">
        <w:rPr>
          <w:rFonts w:ascii="Times New Roman" w:hAnsi="Times New Roman" w:cs="Times New Roman"/>
          <w:sz w:val="28"/>
          <w:szCs w:val="28"/>
        </w:rPr>
        <w:t xml:space="preserve"> кутом фаз газорозподілу 57,5° та</w:t>
      </w:r>
      <w:r w:rsidRPr="00311D68">
        <w:rPr>
          <w:rFonts w:ascii="Times New Roman" w:hAnsi="Times New Roman" w:cs="Times New Roman"/>
          <w:bCs/>
          <w:sz w:val="28"/>
          <w:szCs w:val="28"/>
        </w:rPr>
        <w:t xml:space="preserve"> максимальним підйомом клапана 8 мм створює на </w:t>
      </w:r>
      <w:r w:rsidRPr="00311D68">
        <w:rPr>
          <w:rFonts w:ascii="Times New Roman" w:hAnsi="Times New Roman" w:cs="Times New Roman"/>
          <w:sz w:val="28"/>
          <w:szCs w:val="28"/>
        </w:rPr>
        <w:t xml:space="preserve">19% </w:t>
      </w:r>
      <w:r w:rsidRPr="00311D68">
        <w:rPr>
          <w:rFonts w:ascii="Times New Roman" w:hAnsi="Times New Roman" w:cs="Times New Roman"/>
          <w:bCs/>
          <w:sz w:val="28"/>
          <w:szCs w:val="28"/>
        </w:rPr>
        <w:t>вищі максимальні прискорення штовхача, ніж профіль кулачка</w:t>
      </w:r>
      <w:r w:rsidRPr="00311D68">
        <w:rPr>
          <w:rFonts w:ascii="Times New Roman" w:hAnsi="Times New Roman" w:cs="Times New Roman"/>
          <w:sz w:val="28"/>
          <w:szCs w:val="28"/>
        </w:rPr>
        <w:t xml:space="preserve"> кутом фаз 70°. Також у </w:t>
      </w:r>
      <w:r w:rsidRPr="00311D68">
        <w:rPr>
          <w:rFonts w:ascii="Times New Roman" w:hAnsi="Times New Roman" w:cs="Times New Roman"/>
          <w:bCs/>
          <w:sz w:val="28"/>
          <w:szCs w:val="28"/>
        </w:rPr>
        <w:t>профілю кулачка</w:t>
      </w:r>
      <w:r w:rsidRPr="00311D68">
        <w:rPr>
          <w:rFonts w:ascii="Times New Roman" w:hAnsi="Times New Roman" w:cs="Times New Roman"/>
          <w:sz w:val="28"/>
          <w:szCs w:val="28"/>
        </w:rPr>
        <w:t xml:space="preserve"> з кутом 70° і</w:t>
      </w:r>
      <w:r w:rsidRPr="00311D68">
        <w:rPr>
          <w:rFonts w:ascii="Times New Roman" w:hAnsi="Times New Roman" w:cs="Times New Roman"/>
          <w:bCs/>
          <w:sz w:val="28"/>
          <w:szCs w:val="28"/>
        </w:rPr>
        <w:t xml:space="preserve"> максимальним підйомом клапана 10 мм зміна прискорень розтягнута на більш широкій ділянці (близько 140° проти 115°), ніж </w:t>
      </w:r>
      <w:r w:rsidRPr="00311D68">
        <w:rPr>
          <w:rFonts w:ascii="Times New Roman" w:hAnsi="Times New Roman" w:cs="Times New Roman"/>
          <w:sz w:val="28"/>
          <w:szCs w:val="28"/>
        </w:rPr>
        <w:t xml:space="preserve">у </w:t>
      </w:r>
      <w:r w:rsidRPr="00311D68">
        <w:rPr>
          <w:rFonts w:ascii="Times New Roman" w:hAnsi="Times New Roman" w:cs="Times New Roman"/>
          <w:bCs/>
          <w:sz w:val="28"/>
          <w:szCs w:val="28"/>
        </w:rPr>
        <w:t>профілю кулачка</w:t>
      </w:r>
      <w:r w:rsidRPr="00311D68">
        <w:rPr>
          <w:rFonts w:ascii="Times New Roman" w:hAnsi="Times New Roman" w:cs="Times New Roman"/>
          <w:sz w:val="28"/>
          <w:szCs w:val="28"/>
        </w:rPr>
        <w:t xml:space="preserve"> з кутом 57,5°</w:t>
      </w:r>
      <w:r w:rsidRPr="00311D68">
        <w:rPr>
          <w:rFonts w:ascii="Times New Roman" w:hAnsi="Times New Roman" w:cs="Times New Roman"/>
          <w:bCs/>
          <w:sz w:val="28"/>
          <w:szCs w:val="28"/>
        </w:rPr>
        <w:t xml:space="preserve">, що сприяє більш плавній зміні навантаження на кулачок. </w:t>
      </w:r>
    </w:p>
    <w:p w14:paraId="34C931C6" w14:textId="77777777" w:rsidR="00311D68" w:rsidRPr="00311D68" w:rsidRDefault="00311D68" w:rsidP="00311D68">
      <w:pPr>
        <w:spacing w:after="0" w:line="360" w:lineRule="auto"/>
        <w:ind w:firstLine="709"/>
        <w:jc w:val="both"/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D68">
        <w:rPr>
          <w:rFonts w:ascii="Times New Roman" w:hAnsi="Times New Roman" w:cs="Times New Roman"/>
          <w:bCs/>
          <w:sz w:val="28"/>
          <w:szCs w:val="28"/>
        </w:rPr>
        <w:t>Обчисленнями підтверджено, що на робочу поверхню профілю кулачка</w:t>
      </w:r>
      <w:r w:rsidRPr="00311D68">
        <w:rPr>
          <w:rFonts w:ascii="Times New Roman" w:hAnsi="Times New Roman" w:cs="Times New Roman"/>
          <w:sz w:val="28"/>
          <w:szCs w:val="28"/>
        </w:rPr>
        <w:t xml:space="preserve"> з кутом 70° і</w:t>
      </w:r>
      <w:r w:rsidRPr="00311D68">
        <w:rPr>
          <w:rFonts w:ascii="Times New Roman" w:hAnsi="Times New Roman" w:cs="Times New Roman"/>
          <w:bCs/>
          <w:sz w:val="28"/>
          <w:szCs w:val="28"/>
        </w:rPr>
        <w:t xml:space="preserve"> максимальним підйомом клапана 10 мм діють менші на 19% зусилля від пружини штовхача, і його робоча поверхня буде зношуватись повільніше.</w:t>
      </w:r>
    </w:p>
    <w:p w14:paraId="25875578" w14:textId="77777777" w:rsidR="00311D68" w:rsidRPr="00311D68" w:rsidRDefault="00311D68" w:rsidP="00311D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D68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311D68">
        <w:rPr>
          <w:rFonts w:ascii="Times New Roman" w:hAnsi="Times New Roman" w:cs="Times New Roman"/>
          <w:bCs/>
          <w:sz w:val="28"/>
          <w:szCs w:val="28"/>
        </w:rPr>
        <w:t>профілю протиударного кулачка з</w:t>
      </w:r>
      <w:r w:rsidRPr="00311D68">
        <w:rPr>
          <w:rFonts w:ascii="Times New Roman" w:hAnsi="Times New Roman" w:cs="Times New Roman"/>
          <w:sz w:val="28"/>
          <w:szCs w:val="28"/>
        </w:rPr>
        <w:t xml:space="preserve"> кутом фаз газорозподілу 57,5° та</w:t>
      </w:r>
      <w:r w:rsidRPr="00311D68">
        <w:rPr>
          <w:rFonts w:ascii="Times New Roman" w:hAnsi="Times New Roman" w:cs="Times New Roman"/>
          <w:bCs/>
          <w:sz w:val="28"/>
          <w:szCs w:val="28"/>
        </w:rPr>
        <w:t xml:space="preserve"> максимальним підйомом клапана 8 мм потрібно застосовувати на 19% жорсткішу та відповідно важчу пружину клапана.</w:t>
      </w:r>
    </w:p>
    <w:p w14:paraId="342D5B72" w14:textId="77777777" w:rsidR="00420770" w:rsidRPr="00311D68" w:rsidRDefault="00420770" w:rsidP="00311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3612F" w14:textId="0A4093CC" w:rsidR="00420770" w:rsidRPr="007F6685" w:rsidRDefault="00A94ADB" w:rsidP="00A94ADB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685">
        <w:rPr>
          <w:rFonts w:ascii="Times New Roman" w:hAnsi="Times New Roman"/>
          <w:b/>
          <w:bCs/>
          <w:sz w:val="24"/>
          <w:szCs w:val="24"/>
        </w:rPr>
        <w:t>Література</w:t>
      </w:r>
    </w:p>
    <w:p w14:paraId="47095C0B" w14:textId="77777777" w:rsidR="005624F9" w:rsidRPr="005624F9" w:rsidRDefault="005624F9" w:rsidP="005624F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4F9">
        <w:rPr>
          <w:rFonts w:ascii="Times New Roman" w:hAnsi="Times New Roman" w:cs="Times New Roman"/>
          <w:sz w:val="24"/>
          <w:szCs w:val="24"/>
        </w:rPr>
        <w:t xml:space="preserve">Абрамчук Ф.І., Гутаревич Ю.Ф., Долганов К.Є., Тимченко І.І. Автомобільні двигуни: Підручник. - 3-тє видання.– К.: </w:t>
      </w:r>
      <w:proofErr w:type="spellStart"/>
      <w:r w:rsidRPr="005624F9">
        <w:rPr>
          <w:rFonts w:ascii="Times New Roman" w:hAnsi="Times New Roman" w:cs="Times New Roman"/>
          <w:sz w:val="24"/>
          <w:szCs w:val="24"/>
        </w:rPr>
        <w:t>Арістей</w:t>
      </w:r>
      <w:proofErr w:type="spellEnd"/>
      <w:r w:rsidRPr="005624F9">
        <w:rPr>
          <w:rFonts w:ascii="Times New Roman" w:hAnsi="Times New Roman" w:cs="Times New Roman"/>
          <w:sz w:val="24"/>
          <w:szCs w:val="24"/>
        </w:rPr>
        <w:t>, 2006. – 476 с.</w:t>
      </w:r>
    </w:p>
    <w:p w14:paraId="4D1CE70A" w14:textId="77777777" w:rsidR="005624F9" w:rsidRPr="005624F9" w:rsidRDefault="005624F9" w:rsidP="005624F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4F9">
        <w:rPr>
          <w:rFonts w:ascii="Times New Roman" w:hAnsi="Times New Roman" w:cs="Times New Roman"/>
          <w:sz w:val="24"/>
          <w:szCs w:val="24"/>
        </w:rPr>
        <w:t>Гащук П.М., Миськів Т.Г., Нікіпчук С.В. Автомобільні двигуни. Тепловий та динамічний розрахунок: навчальний посібник.- Львів: Українські технології, 2006.- 144 с.</w:t>
      </w:r>
    </w:p>
    <w:p w14:paraId="68D84AB0" w14:textId="77777777" w:rsidR="005624F9" w:rsidRPr="005624F9" w:rsidRDefault="005624F9" w:rsidP="005624F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4F9">
        <w:rPr>
          <w:rFonts w:ascii="Times New Roman" w:hAnsi="Times New Roman" w:cs="Times New Roman"/>
          <w:color w:val="000000"/>
          <w:sz w:val="24"/>
          <w:szCs w:val="24"/>
        </w:rPr>
        <w:t xml:space="preserve">Двигуни внутрішнього згоряння : Серія підручників у 6 т. Т. 1. Розробка форсованих двигунів наземних транспортних машин / За ред. проф. А. П. Марченка та </w:t>
      </w:r>
      <w:proofErr w:type="spellStart"/>
      <w:r w:rsidRPr="005624F9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spellEnd"/>
      <w:r w:rsidRPr="005624F9">
        <w:rPr>
          <w:rFonts w:ascii="Times New Roman" w:hAnsi="Times New Roman" w:cs="Times New Roman"/>
          <w:color w:val="000000"/>
          <w:sz w:val="24"/>
          <w:szCs w:val="24"/>
        </w:rPr>
        <w:t xml:space="preserve">. діяча науки Украйни проф. А. Ф. </w:t>
      </w:r>
      <w:proofErr w:type="spellStart"/>
      <w:r w:rsidRPr="005624F9">
        <w:rPr>
          <w:rFonts w:ascii="Times New Roman" w:hAnsi="Times New Roman" w:cs="Times New Roman"/>
          <w:color w:val="000000"/>
          <w:sz w:val="24"/>
          <w:szCs w:val="24"/>
        </w:rPr>
        <w:t>Шеховцова</w:t>
      </w:r>
      <w:proofErr w:type="spellEnd"/>
      <w:r w:rsidRPr="005624F9">
        <w:rPr>
          <w:rFonts w:ascii="Times New Roman" w:hAnsi="Times New Roman" w:cs="Times New Roman"/>
          <w:color w:val="000000"/>
          <w:sz w:val="24"/>
          <w:szCs w:val="24"/>
        </w:rPr>
        <w:t>. – Харків : Прапор, 2004. – 384 с.</w:t>
      </w:r>
    </w:p>
    <w:p w14:paraId="4CB63CE5" w14:textId="77777777" w:rsidR="005624F9" w:rsidRPr="005624F9" w:rsidRDefault="005624F9" w:rsidP="005624F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F9">
        <w:rPr>
          <w:rFonts w:ascii="Times New Roman" w:hAnsi="Times New Roman" w:cs="Times New Roman"/>
          <w:sz w:val="24"/>
          <w:szCs w:val="24"/>
        </w:rPr>
        <w:t>Заховайко</w:t>
      </w:r>
      <w:proofErr w:type="spellEnd"/>
      <w:r w:rsidRPr="005624F9">
        <w:rPr>
          <w:rFonts w:ascii="Times New Roman" w:hAnsi="Times New Roman" w:cs="Times New Roman"/>
          <w:sz w:val="24"/>
          <w:szCs w:val="24"/>
        </w:rPr>
        <w:t xml:space="preserve"> О.П. Теорія механізмів і машин. Курс лекцій для студентів.- К: НТУУ «КПІ», 2010.- 243 с.</w:t>
      </w:r>
    </w:p>
    <w:p w14:paraId="698B63DB" w14:textId="112695F4" w:rsidR="00A629DD" w:rsidRPr="005624F9" w:rsidRDefault="005624F9" w:rsidP="005624F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F9">
        <w:rPr>
          <w:rFonts w:ascii="Times New Roman" w:hAnsi="Times New Roman" w:cs="Times New Roman"/>
          <w:sz w:val="24"/>
          <w:szCs w:val="24"/>
        </w:rPr>
        <w:t>Кіницький</w:t>
      </w:r>
      <w:proofErr w:type="spellEnd"/>
      <w:r w:rsidRPr="005624F9">
        <w:rPr>
          <w:rFonts w:ascii="Times New Roman" w:hAnsi="Times New Roman" w:cs="Times New Roman"/>
          <w:sz w:val="24"/>
          <w:szCs w:val="24"/>
        </w:rPr>
        <w:t xml:space="preserve"> Я.Т. Короткий курс теорії механізмів і машин: Підручник для </w:t>
      </w:r>
      <w:proofErr w:type="spellStart"/>
      <w:r w:rsidRPr="005624F9">
        <w:rPr>
          <w:rFonts w:ascii="Times New Roman" w:hAnsi="Times New Roman" w:cs="Times New Roman"/>
          <w:sz w:val="24"/>
          <w:szCs w:val="24"/>
        </w:rPr>
        <w:t>інж-тех</w:t>
      </w:r>
      <w:proofErr w:type="spellEnd"/>
      <w:r w:rsidRPr="005624F9">
        <w:rPr>
          <w:rFonts w:ascii="Times New Roman" w:hAnsi="Times New Roman" w:cs="Times New Roman"/>
          <w:sz w:val="24"/>
          <w:szCs w:val="24"/>
        </w:rPr>
        <w:t>. спец.- Львів: Афіша, 2004.- 272 с.</w:t>
      </w:r>
    </w:p>
    <w:p w14:paraId="2551DD4D" w14:textId="77777777" w:rsidR="00420770" w:rsidRPr="007F6685" w:rsidRDefault="00420770" w:rsidP="00A94AD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20770" w:rsidRPr="007F6685" w:rsidSect="00132D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24F0"/>
    <w:multiLevelType w:val="hybridMultilevel"/>
    <w:tmpl w:val="405EB474"/>
    <w:lvl w:ilvl="0" w:tplc="4992E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E3CBA"/>
    <w:multiLevelType w:val="hybridMultilevel"/>
    <w:tmpl w:val="126059E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620A28"/>
    <w:multiLevelType w:val="hybridMultilevel"/>
    <w:tmpl w:val="31EA2496"/>
    <w:lvl w:ilvl="0" w:tplc="1AA8FF8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34814805">
    <w:abstractNumId w:val="1"/>
  </w:num>
  <w:num w:numId="2" w16cid:durableId="1774855682">
    <w:abstractNumId w:val="0"/>
  </w:num>
  <w:num w:numId="3" w16cid:durableId="77945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AC"/>
    <w:rsid w:val="00132DEA"/>
    <w:rsid w:val="002061A4"/>
    <w:rsid w:val="002C0A5F"/>
    <w:rsid w:val="002F6F18"/>
    <w:rsid w:val="00311D68"/>
    <w:rsid w:val="0034765D"/>
    <w:rsid w:val="003E78F0"/>
    <w:rsid w:val="00420770"/>
    <w:rsid w:val="004C0A37"/>
    <w:rsid w:val="005624F9"/>
    <w:rsid w:val="00651A20"/>
    <w:rsid w:val="006B7535"/>
    <w:rsid w:val="007F6685"/>
    <w:rsid w:val="00A629DD"/>
    <w:rsid w:val="00A94ADB"/>
    <w:rsid w:val="00AA2387"/>
    <w:rsid w:val="00BB683B"/>
    <w:rsid w:val="00BE3B0F"/>
    <w:rsid w:val="00CC5179"/>
    <w:rsid w:val="00E17CA4"/>
    <w:rsid w:val="00F027AC"/>
    <w:rsid w:val="00F3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A8FE"/>
  <w15:chartTrackingRefBased/>
  <w15:docId w15:val="{FB8A64C6-A82B-4924-84DD-E19A1D7C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70"/>
    <w:pPr>
      <w:ind w:left="720"/>
      <w:contextualSpacing/>
    </w:pPr>
    <w:rPr>
      <w:kern w:val="0"/>
    </w:rPr>
  </w:style>
  <w:style w:type="character" w:styleId="a4">
    <w:name w:val="Hyperlink"/>
    <w:uiPriority w:val="99"/>
    <w:rsid w:val="00F355B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6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jlqj4b">
    <w:name w:val="jlqj4b"/>
    <w:basedOn w:val="a0"/>
    <w:rsid w:val="0031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orcid.org/0000-0002-5685-1440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EG\DISCIPLINU\AUTO%20Dvigunu\Rozr%20AD-K-new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 i="1"/>
              <a:t>h</a:t>
            </a:r>
            <a:r>
              <a:rPr lang="uk-UA" sz="800" i="1"/>
              <a:t>ш</a:t>
            </a:r>
            <a:r>
              <a:rPr lang="uk-UA" sz="1200"/>
              <a:t>, мм</a:t>
            </a:r>
          </a:p>
        </c:rich>
      </c:tx>
      <c:layout>
        <c:manualLayout>
          <c:xMode val="edge"/>
          <c:yMode val="edge"/>
          <c:x val="7.8868950516585087E-2"/>
          <c:y val="2.786069651741293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1872851130150336E-2"/>
          <c:y val="2.6447917890860657E-2"/>
          <c:w val="0.93115045828695497"/>
          <c:h val="0.9036918270003108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Аркуш1!$F$4</c:f>
              <c:strCache>
                <c:ptCount val="1"/>
                <c:pt idx="0">
                  <c:v>hх, мм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circle"/>
            <c:size val="4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</c:spPr>
          </c:marker>
          <c:xVal>
            <c:numRef>
              <c:f>Аркуш1!$M$5:$M$20</c:f>
              <c:numCache>
                <c:formatCode>0.0</c:formatCode>
                <c:ptCount val="16"/>
                <c:pt idx="0">
                  <c:v>-30.94</c:v>
                </c:pt>
                <c:pt idx="1">
                  <c:v>-25.94</c:v>
                </c:pt>
                <c:pt idx="2">
                  <c:v>-20.94</c:v>
                </c:pt>
                <c:pt idx="3">
                  <c:v>-15.940000000000001</c:v>
                </c:pt>
                <c:pt idx="4">
                  <c:v>-10</c:v>
                </c:pt>
                <c:pt idx="5">
                  <c:v>-5</c:v>
                </c:pt>
                <c:pt idx="6">
                  <c:v>0</c:v>
                </c:pt>
                <c:pt idx="7">
                  <c:v>5</c:v>
                </c:pt>
                <c:pt idx="8">
                  <c:v>12.58</c:v>
                </c:pt>
                <c:pt idx="9">
                  <c:v>14.58</c:v>
                </c:pt>
                <c:pt idx="10">
                  <c:v>16.579999999999998</c:v>
                </c:pt>
                <c:pt idx="11">
                  <c:v>19.010000000000002</c:v>
                </c:pt>
                <c:pt idx="12">
                  <c:v>29.01</c:v>
                </c:pt>
                <c:pt idx="13">
                  <c:v>39.01</c:v>
                </c:pt>
                <c:pt idx="14">
                  <c:v>49.01</c:v>
                </c:pt>
                <c:pt idx="15">
                  <c:v>59.2</c:v>
                </c:pt>
              </c:numCache>
            </c:numRef>
          </c:xVal>
          <c:yVal>
            <c:numRef>
              <c:f>Аркуш1!$F$5:$F$20</c:f>
              <c:numCache>
                <c:formatCode>General</c:formatCode>
                <c:ptCount val="16"/>
                <c:pt idx="0">
                  <c:v>0</c:v>
                </c:pt>
                <c:pt idx="1">
                  <c:v>1.4E-2</c:v>
                </c:pt>
                <c:pt idx="2">
                  <c:v>5.3999999999999999E-2</c:v>
                </c:pt>
                <c:pt idx="3">
                  <c:v>0.114</c:v>
                </c:pt>
                <c:pt idx="4">
                  <c:v>0.2</c:v>
                </c:pt>
                <c:pt idx="5">
                  <c:v>0.32300000000000001</c:v>
                </c:pt>
                <c:pt idx="6">
                  <c:v>0.71099999999999997</c:v>
                </c:pt>
                <c:pt idx="7">
                  <c:v>1.502</c:v>
                </c:pt>
                <c:pt idx="8">
                  <c:v>3.319</c:v>
                </c:pt>
                <c:pt idx="9">
                  <c:v>3.84</c:v>
                </c:pt>
                <c:pt idx="10">
                  <c:v>4.3529999999999998</c:v>
                </c:pt>
                <c:pt idx="11">
                  <c:v>4.9580000000000002</c:v>
                </c:pt>
                <c:pt idx="12">
                  <c:v>7.1559999999999997</c:v>
                </c:pt>
                <c:pt idx="13">
                  <c:v>8.8119999999999994</c:v>
                </c:pt>
                <c:pt idx="14">
                  <c:v>9.843</c:v>
                </c:pt>
                <c:pt idx="15">
                  <c:v>10.199999999999999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E4A-4E39-9E62-86E4D822291F}"/>
            </c:ext>
          </c:extLst>
        </c:ser>
        <c:ser>
          <c:idx val="1"/>
          <c:order val="1"/>
          <c:tx>
            <c:strRef>
              <c:f>Аркуш1!$J$2</c:f>
              <c:strCache>
                <c:ptCount val="1"/>
                <c:pt idx="0">
                  <c:v>Фр = 70°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circle"/>
            <c:size val="4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</c:spPr>
          </c:marker>
          <c:xVal>
            <c:numRef>
              <c:f>Аркуш1!$J$5:$J$20</c:f>
              <c:numCache>
                <c:formatCode>General</c:formatCode>
                <c:ptCount val="16"/>
                <c:pt idx="0">
                  <c:v>149.34</c:v>
                </c:pt>
                <c:pt idx="1">
                  <c:v>144.34</c:v>
                </c:pt>
                <c:pt idx="2">
                  <c:v>139.34</c:v>
                </c:pt>
                <c:pt idx="3">
                  <c:v>134.34</c:v>
                </c:pt>
                <c:pt idx="4">
                  <c:v>128.4</c:v>
                </c:pt>
                <c:pt idx="5">
                  <c:v>123.4</c:v>
                </c:pt>
                <c:pt idx="6">
                  <c:v>118.4</c:v>
                </c:pt>
                <c:pt idx="7">
                  <c:v>113.4</c:v>
                </c:pt>
                <c:pt idx="8">
                  <c:v>105.81</c:v>
                </c:pt>
                <c:pt idx="9">
                  <c:v>103.81</c:v>
                </c:pt>
                <c:pt idx="10">
                  <c:v>101.81</c:v>
                </c:pt>
                <c:pt idx="11">
                  <c:v>99.38</c:v>
                </c:pt>
                <c:pt idx="12">
                  <c:v>89.38</c:v>
                </c:pt>
                <c:pt idx="13">
                  <c:v>79.38</c:v>
                </c:pt>
                <c:pt idx="14">
                  <c:v>69.38</c:v>
                </c:pt>
                <c:pt idx="15">
                  <c:v>59.2</c:v>
                </c:pt>
              </c:numCache>
            </c:numRef>
          </c:xVal>
          <c:yVal>
            <c:numRef>
              <c:f>Аркуш1!$F$5:$F$20</c:f>
              <c:numCache>
                <c:formatCode>General</c:formatCode>
                <c:ptCount val="16"/>
                <c:pt idx="0">
                  <c:v>0</c:v>
                </c:pt>
                <c:pt idx="1">
                  <c:v>1.4E-2</c:v>
                </c:pt>
                <c:pt idx="2">
                  <c:v>5.3999999999999999E-2</c:v>
                </c:pt>
                <c:pt idx="3">
                  <c:v>0.114</c:v>
                </c:pt>
                <c:pt idx="4">
                  <c:v>0.2</c:v>
                </c:pt>
                <c:pt idx="5">
                  <c:v>0.32300000000000001</c:v>
                </c:pt>
                <c:pt idx="6">
                  <c:v>0.71099999999999997</c:v>
                </c:pt>
                <c:pt idx="7">
                  <c:v>1.502</c:v>
                </c:pt>
                <c:pt idx="8">
                  <c:v>3.319</c:v>
                </c:pt>
                <c:pt idx="9">
                  <c:v>3.84</c:v>
                </c:pt>
                <c:pt idx="10">
                  <c:v>4.3529999999999998</c:v>
                </c:pt>
                <c:pt idx="11">
                  <c:v>4.9580000000000002</c:v>
                </c:pt>
                <c:pt idx="12">
                  <c:v>7.1559999999999997</c:v>
                </c:pt>
                <c:pt idx="13">
                  <c:v>8.8119999999999994</c:v>
                </c:pt>
                <c:pt idx="14">
                  <c:v>9.843</c:v>
                </c:pt>
                <c:pt idx="15">
                  <c:v>10.199999999999999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0E4A-4E39-9E62-86E4D822291F}"/>
            </c:ext>
          </c:extLst>
        </c:ser>
        <c:ser>
          <c:idx val="2"/>
          <c:order val="2"/>
          <c:tx>
            <c:strRef>
              <c:f>Аркуш1!$J$23</c:f>
              <c:strCache>
                <c:ptCount val="1"/>
                <c:pt idx="0">
                  <c:v>Фр = 57,5°</c:v>
                </c:pt>
              </c:strCache>
            </c:strRef>
          </c:tx>
          <c:spPr>
            <a:ln>
              <a:solidFill>
                <a:schemeClr val="bg2">
                  <a:lumMod val="25000"/>
                </a:schemeClr>
              </a:solidFill>
            </a:ln>
          </c:spPr>
          <c:marker>
            <c:symbol val="triangle"/>
            <c:size val="5"/>
            <c:spPr>
              <a:solidFill>
                <a:schemeClr val="bg1"/>
              </a:solidFill>
            </c:spPr>
          </c:marker>
          <c:xVal>
            <c:numRef>
              <c:f>Аркуш1!$M$26:$M$41</c:f>
              <c:numCache>
                <c:formatCode>0.0</c:formatCode>
                <c:ptCount val="16"/>
                <c:pt idx="0">
                  <c:v>-30.94</c:v>
                </c:pt>
                <c:pt idx="1">
                  <c:v>-25.94</c:v>
                </c:pt>
                <c:pt idx="2">
                  <c:v>-20.94</c:v>
                </c:pt>
                <c:pt idx="3">
                  <c:v>-15.940000000000001</c:v>
                </c:pt>
                <c:pt idx="4">
                  <c:v>-10</c:v>
                </c:pt>
                <c:pt idx="5">
                  <c:v>-5</c:v>
                </c:pt>
                <c:pt idx="6">
                  <c:v>0</c:v>
                </c:pt>
                <c:pt idx="7">
                  <c:v>5</c:v>
                </c:pt>
                <c:pt idx="8">
                  <c:v>8.5500000000000007</c:v>
                </c:pt>
                <c:pt idx="9">
                  <c:v>10.55</c:v>
                </c:pt>
                <c:pt idx="10">
                  <c:v>12.55</c:v>
                </c:pt>
                <c:pt idx="11">
                  <c:v>13.83</c:v>
                </c:pt>
                <c:pt idx="12">
                  <c:v>23.83</c:v>
                </c:pt>
                <c:pt idx="13">
                  <c:v>33.83</c:v>
                </c:pt>
                <c:pt idx="14">
                  <c:v>43.83</c:v>
                </c:pt>
                <c:pt idx="15">
                  <c:v>46.8</c:v>
                </c:pt>
              </c:numCache>
            </c:numRef>
          </c:xVal>
          <c:yVal>
            <c:numRef>
              <c:f>Аркуш1!$F$26:$F$41</c:f>
              <c:numCache>
                <c:formatCode>General</c:formatCode>
                <c:ptCount val="16"/>
                <c:pt idx="0">
                  <c:v>0</c:v>
                </c:pt>
                <c:pt idx="1">
                  <c:v>1.4E-2</c:v>
                </c:pt>
                <c:pt idx="2">
                  <c:v>5.3999999999999999E-2</c:v>
                </c:pt>
                <c:pt idx="3">
                  <c:v>0.114</c:v>
                </c:pt>
                <c:pt idx="4">
                  <c:v>0.2</c:v>
                </c:pt>
                <c:pt idx="5">
                  <c:v>0.34399999999999997</c:v>
                </c:pt>
                <c:pt idx="6">
                  <c:v>0.84499999999999997</c:v>
                </c:pt>
                <c:pt idx="7">
                  <c:v>1.82</c:v>
                </c:pt>
                <c:pt idx="8">
                  <c:v>2.698</c:v>
                </c:pt>
                <c:pt idx="9">
                  <c:v>3.2040000000000002</c:v>
                </c:pt>
                <c:pt idx="10">
                  <c:v>3.7</c:v>
                </c:pt>
                <c:pt idx="11">
                  <c:v>4.008</c:v>
                </c:pt>
                <c:pt idx="12">
                  <c:v>6.0940000000000003</c:v>
                </c:pt>
                <c:pt idx="13">
                  <c:v>7.5129999999999999</c:v>
                </c:pt>
                <c:pt idx="14">
                  <c:v>8.1630000000000003</c:v>
                </c:pt>
                <c:pt idx="15">
                  <c:v>8.1999999999999993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0E4A-4E39-9E62-86E4D822291F}"/>
            </c:ext>
          </c:extLst>
        </c:ser>
        <c:ser>
          <c:idx val="3"/>
          <c:order val="3"/>
          <c:tx>
            <c:strRef>
              <c:f>Аркуш1!$H$23</c:f>
              <c:strCache>
                <c:ptCount val="1"/>
                <c:pt idx="0">
                  <c:v>8</c:v>
                </c:pt>
              </c:strCache>
            </c:strRef>
          </c:tx>
          <c:spPr>
            <a:ln>
              <a:solidFill>
                <a:schemeClr val="bg2">
                  <a:lumMod val="25000"/>
                </a:schemeClr>
              </a:solidFill>
            </a:ln>
          </c:spPr>
          <c:marker>
            <c:symbol val="triangle"/>
            <c:size val="5"/>
            <c:spPr>
              <a:solidFill>
                <a:schemeClr val="bg1"/>
              </a:solidFill>
            </c:spPr>
          </c:marker>
          <c:xVal>
            <c:numRef>
              <c:f>Аркуш1!$J$26:$J$41</c:f>
              <c:numCache>
                <c:formatCode>General</c:formatCode>
                <c:ptCount val="16"/>
                <c:pt idx="0">
                  <c:v>124.62</c:v>
                </c:pt>
                <c:pt idx="1">
                  <c:v>119.62</c:v>
                </c:pt>
                <c:pt idx="2">
                  <c:v>114.62</c:v>
                </c:pt>
                <c:pt idx="3">
                  <c:v>109.62</c:v>
                </c:pt>
                <c:pt idx="4">
                  <c:v>103.7</c:v>
                </c:pt>
                <c:pt idx="5">
                  <c:v>98.7</c:v>
                </c:pt>
                <c:pt idx="6">
                  <c:v>93.7</c:v>
                </c:pt>
                <c:pt idx="7">
                  <c:v>88.7</c:v>
                </c:pt>
                <c:pt idx="8">
                  <c:v>85.13</c:v>
                </c:pt>
                <c:pt idx="9">
                  <c:v>83.13</c:v>
                </c:pt>
                <c:pt idx="10">
                  <c:v>81.13</c:v>
                </c:pt>
                <c:pt idx="11">
                  <c:v>79.849999999999994</c:v>
                </c:pt>
                <c:pt idx="12">
                  <c:v>69.849999999999994</c:v>
                </c:pt>
                <c:pt idx="13">
                  <c:v>59.85</c:v>
                </c:pt>
                <c:pt idx="14">
                  <c:v>49.85</c:v>
                </c:pt>
                <c:pt idx="15">
                  <c:v>46.8</c:v>
                </c:pt>
              </c:numCache>
            </c:numRef>
          </c:xVal>
          <c:yVal>
            <c:numRef>
              <c:f>Аркуш1!$F$26:$F$41</c:f>
              <c:numCache>
                <c:formatCode>General</c:formatCode>
                <c:ptCount val="16"/>
                <c:pt idx="0">
                  <c:v>0</c:v>
                </c:pt>
                <c:pt idx="1">
                  <c:v>1.4E-2</c:v>
                </c:pt>
                <c:pt idx="2">
                  <c:v>5.3999999999999999E-2</c:v>
                </c:pt>
                <c:pt idx="3">
                  <c:v>0.114</c:v>
                </c:pt>
                <c:pt idx="4">
                  <c:v>0.2</c:v>
                </c:pt>
                <c:pt idx="5">
                  <c:v>0.34399999999999997</c:v>
                </c:pt>
                <c:pt idx="6">
                  <c:v>0.84499999999999997</c:v>
                </c:pt>
                <c:pt idx="7">
                  <c:v>1.82</c:v>
                </c:pt>
                <c:pt idx="8">
                  <c:v>2.698</c:v>
                </c:pt>
                <c:pt idx="9">
                  <c:v>3.2040000000000002</c:v>
                </c:pt>
                <c:pt idx="10">
                  <c:v>3.7</c:v>
                </c:pt>
                <c:pt idx="11">
                  <c:v>4.008</c:v>
                </c:pt>
                <c:pt idx="12">
                  <c:v>6.0940000000000003</c:v>
                </c:pt>
                <c:pt idx="13">
                  <c:v>7.5129999999999999</c:v>
                </c:pt>
                <c:pt idx="14">
                  <c:v>8.1630000000000003</c:v>
                </c:pt>
                <c:pt idx="15">
                  <c:v>8.1999999999999993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0E4A-4E39-9E62-86E4D822291F}"/>
            </c:ext>
          </c:extLst>
        </c:ser>
        <c:ser>
          <c:idx val="4"/>
          <c:order val="4"/>
          <c:tx>
            <c:strRef>
              <c:f>Аркуш1!$J$44</c:f>
              <c:strCache>
                <c:ptCount val="1"/>
                <c:pt idx="0">
                  <c:v>Фр = 65°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diamond"/>
            <c:size val="5"/>
            <c:spPr>
              <a:solidFill>
                <a:schemeClr val="bg1"/>
              </a:solidFill>
            </c:spPr>
          </c:marker>
          <c:xVal>
            <c:numRef>
              <c:f>Аркуш1!$M$47:$M$62</c:f>
              <c:numCache>
                <c:formatCode>0.0</c:formatCode>
                <c:ptCount val="16"/>
                <c:pt idx="0">
                  <c:v>-30.94</c:v>
                </c:pt>
                <c:pt idx="1">
                  <c:v>-25.94</c:v>
                </c:pt>
                <c:pt idx="2">
                  <c:v>-20.94</c:v>
                </c:pt>
                <c:pt idx="3">
                  <c:v>-15.940000000000001</c:v>
                </c:pt>
                <c:pt idx="4">
                  <c:v>-10</c:v>
                </c:pt>
                <c:pt idx="5">
                  <c:v>-5</c:v>
                </c:pt>
                <c:pt idx="6">
                  <c:v>0</c:v>
                </c:pt>
                <c:pt idx="7">
                  <c:v>5</c:v>
                </c:pt>
                <c:pt idx="8">
                  <c:v>10.97</c:v>
                </c:pt>
                <c:pt idx="9">
                  <c:v>12.97</c:v>
                </c:pt>
                <c:pt idx="10">
                  <c:v>14.97</c:v>
                </c:pt>
                <c:pt idx="11">
                  <c:v>16.940000000000001</c:v>
                </c:pt>
                <c:pt idx="12">
                  <c:v>26.94</c:v>
                </c:pt>
                <c:pt idx="13">
                  <c:v>36.94</c:v>
                </c:pt>
                <c:pt idx="14">
                  <c:v>46.94</c:v>
                </c:pt>
                <c:pt idx="15">
                  <c:v>54.3</c:v>
                </c:pt>
              </c:numCache>
            </c:numRef>
          </c:xVal>
          <c:yVal>
            <c:numRef>
              <c:f>Аркуш1!$F$47:$F$62</c:f>
              <c:numCache>
                <c:formatCode>General</c:formatCode>
                <c:ptCount val="16"/>
                <c:pt idx="0">
                  <c:v>0</c:v>
                </c:pt>
                <c:pt idx="1">
                  <c:v>1.4E-2</c:v>
                </c:pt>
                <c:pt idx="2">
                  <c:v>5.3999999999999999E-2</c:v>
                </c:pt>
                <c:pt idx="3">
                  <c:v>0.114</c:v>
                </c:pt>
                <c:pt idx="4">
                  <c:v>0.2</c:v>
                </c:pt>
                <c:pt idx="5">
                  <c:v>0.32900000000000001</c:v>
                </c:pt>
                <c:pt idx="6">
                  <c:v>0.748</c:v>
                </c:pt>
                <c:pt idx="7">
                  <c:v>1.59</c:v>
                </c:pt>
                <c:pt idx="8">
                  <c:v>3.0089999999999999</c:v>
                </c:pt>
                <c:pt idx="9">
                  <c:v>3.5129999999999999</c:v>
                </c:pt>
                <c:pt idx="10">
                  <c:v>4.0090000000000003</c:v>
                </c:pt>
                <c:pt idx="11">
                  <c:v>4.4820000000000002</c:v>
                </c:pt>
                <c:pt idx="12">
                  <c:v>6.5919999999999996</c:v>
                </c:pt>
                <c:pt idx="13">
                  <c:v>8.1270000000000007</c:v>
                </c:pt>
                <c:pt idx="14">
                  <c:v>9.0030000000000001</c:v>
                </c:pt>
                <c:pt idx="15">
                  <c:v>9.1999999999999993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0E4A-4E39-9E62-86E4D822291F}"/>
            </c:ext>
          </c:extLst>
        </c:ser>
        <c:ser>
          <c:idx val="5"/>
          <c:order val="5"/>
          <c:tx>
            <c:strRef>
              <c:f>Аркуш1!$H$44</c:f>
              <c:strCache>
                <c:ptCount val="1"/>
                <c:pt idx="0">
                  <c:v>9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diamond"/>
            <c:size val="5"/>
            <c:spPr>
              <a:solidFill>
                <a:schemeClr val="bg1"/>
              </a:solidFill>
            </c:spPr>
          </c:marker>
          <c:xVal>
            <c:numRef>
              <c:f>Аркуш1!$J$47:$J$62</c:f>
              <c:numCache>
                <c:formatCode>General</c:formatCode>
                <c:ptCount val="16"/>
                <c:pt idx="0">
                  <c:v>139.44999999999999</c:v>
                </c:pt>
                <c:pt idx="1">
                  <c:v>134.44999999999999</c:v>
                </c:pt>
                <c:pt idx="2">
                  <c:v>129.44999999999999</c:v>
                </c:pt>
                <c:pt idx="3">
                  <c:v>124.45</c:v>
                </c:pt>
                <c:pt idx="4">
                  <c:v>118.5</c:v>
                </c:pt>
                <c:pt idx="5">
                  <c:v>113.5</c:v>
                </c:pt>
                <c:pt idx="6">
                  <c:v>108.5</c:v>
                </c:pt>
                <c:pt idx="7">
                  <c:v>103.5</c:v>
                </c:pt>
                <c:pt idx="8">
                  <c:v>97.54</c:v>
                </c:pt>
                <c:pt idx="9">
                  <c:v>95.54</c:v>
                </c:pt>
                <c:pt idx="10">
                  <c:v>93.54</c:v>
                </c:pt>
                <c:pt idx="11">
                  <c:v>91.57</c:v>
                </c:pt>
                <c:pt idx="12">
                  <c:v>81.569999999999993</c:v>
                </c:pt>
                <c:pt idx="13">
                  <c:v>71.569999999999993</c:v>
                </c:pt>
                <c:pt idx="14">
                  <c:v>61.57</c:v>
                </c:pt>
                <c:pt idx="15">
                  <c:v>54.3</c:v>
                </c:pt>
              </c:numCache>
            </c:numRef>
          </c:xVal>
          <c:yVal>
            <c:numRef>
              <c:f>Аркуш1!$F$47:$F$62</c:f>
              <c:numCache>
                <c:formatCode>General</c:formatCode>
                <c:ptCount val="16"/>
                <c:pt idx="0">
                  <c:v>0</c:v>
                </c:pt>
                <c:pt idx="1">
                  <c:v>1.4E-2</c:v>
                </c:pt>
                <c:pt idx="2">
                  <c:v>5.3999999999999999E-2</c:v>
                </c:pt>
                <c:pt idx="3">
                  <c:v>0.114</c:v>
                </c:pt>
                <c:pt idx="4">
                  <c:v>0.2</c:v>
                </c:pt>
                <c:pt idx="5">
                  <c:v>0.32900000000000001</c:v>
                </c:pt>
                <c:pt idx="6">
                  <c:v>0.748</c:v>
                </c:pt>
                <c:pt idx="7">
                  <c:v>1.59</c:v>
                </c:pt>
                <c:pt idx="8">
                  <c:v>3.0089999999999999</c:v>
                </c:pt>
                <c:pt idx="9">
                  <c:v>3.5129999999999999</c:v>
                </c:pt>
                <c:pt idx="10">
                  <c:v>4.0090000000000003</c:v>
                </c:pt>
                <c:pt idx="11">
                  <c:v>4.4820000000000002</c:v>
                </c:pt>
                <c:pt idx="12">
                  <c:v>6.5919999999999996</c:v>
                </c:pt>
                <c:pt idx="13">
                  <c:v>8.1270000000000007</c:v>
                </c:pt>
                <c:pt idx="14">
                  <c:v>9.0030000000000001</c:v>
                </c:pt>
                <c:pt idx="15">
                  <c:v>9.1999999999999993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0E4A-4E39-9E62-86E4D82229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8853375"/>
        <c:axId val="1"/>
      </c:scatterChart>
      <c:valAx>
        <c:axId val="1608853375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>
                    <a:latin typeface="Symbol" panose="05050102010706020507" pitchFamily="18" charset="2"/>
                  </a:rPr>
                  <a:t>j</a:t>
                </a:r>
                <a:r>
                  <a:rPr lang="uk-UA" sz="800"/>
                  <a:t>р.в</a:t>
                </a:r>
              </a:p>
            </c:rich>
          </c:tx>
          <c:layout>
            <c:manualLayout>
              <c:xMode val="edge"/>
              <c:yMode val="edge"/>
              <c:x val="0.86121094569540957"/>
              <c:y val="0.8097512437810945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 val="autoZero"/>
        <c:crossBetween val="midCat"/>
        <c:majorUnit val="20"/>
      </c:val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uk-UA"/>
          </a:p>
        </c:txPr>
        <c:crossAx val="1608853375"/>
        <c:crossesAt val="0"/>
        <c:crossBetween val="midCat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 panose="02020603050405020304" pitchFamily="18" charset="0"/>
          <a:ea typeface="Calibri"/>
          <a:cs typeface="Times New Roman" panose="02020603050405020304" pitchFamily="18" charset="0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4368</Words>
  <Characters>2490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Sorokivskji</dc:creator>
  <cp:keywords/>
  <dc:description/>
  <cp:lastModifiedBy>Oleg Sorokivskji</cp:lastModifiedBy>
  <cp:revision>12</cp:revision>
  <dcterms:created xsi:type="dcterms:W3CDTF">2024-03-06T10:05:00Z</dcterms:created>
  <dcterms:modified xsi:type="dcterms:W3CDTF">2024-03-06T20:09:00Z</dcterms:modified>
</cp:coreProperties>
</file>