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AA2EE" w14:textId="5E2C8F26" w:rsidR="00F25156" w:rsidRPr="00F25156" w:rsidRDefault="00F25156" w:rsidP="00F25156">
      <w:pPr>
        <w:spacing w:line="360" w:lineRule="auto"/>
        <w:jc w:val="right"/>
        <w:rPr>
          <w:sz w:val="28"/>
          <w:szCs w:val="28"/>
        </w:rPr>
      </w:pPr>
      <w:r w:rsidRPr="00F25156">
        <w:rPr>
          <w:sz w:val="28"/>
          <w:szCs w:val="28"/>
        </w:rPr>
        <w:t>Соколов Владислав В’ячеславов</w:t>
      </w:r>
      <w:r>
        <w:rPr>
          <w:sz w:val="28"/>
          <w:szCs w:val="28"/>
        </w:rPr>
        <w:t>ич</w:t>
      </w:r>
      <w:r w:rsidRPr="00F25156">
        <w:rPr>
          <w:sz w:val="28"/>
          <w:szCs w:val="28"/>
        </w:rPr>
        <w:t xml:space="preserve">, </w:t>
      </w:r>
    </w:p>
    <w:p w14:paraId="253BAB3B" w14:textId="35FEA94F" w:rsidR="00F25156" w:rsidRPr="00F25156" w:rsidRDefault="00F25156" w:rsidP="00F25156">
      <w:pPr>
        <w:spacing w:line="360" w:lineRule="auto"/>
        <w:jc w:val="right"/>
        <w:rPr>
          <w:sz w:val="28"/>
          <w:szCs w:val="28"/>
        </w:rPr>
      </w:pPr>
      <w:r w:rsidRPr="00F25156">
        <w:rPr>
          <w:sz w:val="28"/>
          <w:szCs w:val="28"/>
        </w:rPr>
        <w:t>здобувач</w:t>
      </w:r>
      <w:r w:rsidR="00505E12">
        <w:rPr>
          <w:sz w:val="28"/>
          <w:szCs w:val="28"/>
        </w:rPr>
        <w:t xml:space="preserve"> </w:t>
      </w:r>
      <w:r w:rsidRPr="00F25156">
        <w:rPr>
          <w:sz w:val="28"/>
          <w:szCs w:val="28"/>
        </w:rPr>
        <w:t>другого (магістерського)</w:t>
      </w:r>
      <w:r w:rsidR="00505E12">
        <w:rPr>
          <w:sz w:val="28"/>
          <w:szCs w:val="28"/>
        </w:rPr>
        <w:t xml:space="preserve"> </w:t>
      </w:r>
      <w:r w:rsidRPr="00F25156">
        <w:rPr>
          <w:sz w:val="28"/>
          <w:szCs w:val="28"/>
        </w:rPr>
        <w:t>рівня вищої</w:t>
      </w:r>
      <w:r w:rsidR="00505E12">
        <w:rPr>
          <w:sz w:val="28"/>
          <w:szCs w:val="28"/>
        </w:rPr>
        <w:t xml:space="preserve"> </w:t>
      </w:r>
      <w:r w:rsidRPr="00F25156">
        <w:rPr>
          <w:sz w:val="28"/>
          <w:szCs w:val="28"/>
        </w:rPr>
        <w:t>освіти.</w:t>
      </w:r>
    </w:p>
    <w:p w14:paraId="5E1F7F76" w14:textId="1D0AD422" w:rsidR="00F25156" w:rsidRPr="00F25156" w:rsidRDefault="00F25156" w:rsidP="00F25156">
      <w:pPr>
        <w:spacing w:line="360" w:lineRule="auto"/>
        <w:jc w:val="right"/>
        <w:rPr>
          <w:sz w:val="28"/>
          <w:szCs w:val="28"/>
        </w:rPr>
      </w:pPr>
      <w:r w:rsidRPr="00F25156">
        <w:rPr>
          <w:sz w:val="28"/>
          <w:szCs w:val="28"/>
        </w:rPr>
        <w:t>Одеський</w:t>
      </w:r>
      <w:r w:rsidR="00505E12">
        <w:rPr>
          <w:sz w:val="28"/>
          <w:szCs w:val="28"/>
        </w:rPr>
        <w:t xml:space="preserve"> </w:t>
      </w:r>
      <w:r w:rsidRPr="00F25156">
        <w:rPr>
          <w:sz w:val="28"/>
          <w:szCs w:val="28"/>
        </w:rPr>
        <w:t>державний аграрний університет, м. Одеса</w:t>
      </w:r>
    </w:p>
    <w:p w14:paraId="6ABE14AB" w14:textId="77777777" w:rsidR="00F25156" w:rsidRPr="00F25156" w:rsidRDefault="00F25156" w:rsidP="00F25156">
      <w:pPr>
        <w:spacing w:line="360" w:lineRule="auto"/>
        <w:jc w:val="right"/>
        <w:rPr>
          <w:sz w:val="28"/>
          <w:szCs w:val="28"/>
        </w:rPr>
      </w:pPr>
      <w:proofErr w:type="spellStart"/>
      <w:r w:rsidRPr="00F25156">
        <w:rPr>
          <w:sz w:val="28"/>
          <w:szCs w:val="28"/>
        </w:rPr>
        <w:t>Куліджанов</w:t>
      </w:r>
      <w:proofErr w:type="spellEnd"/>
      <w:r w:rsidRPr="00F25156">
        <w:rPr>
          <w:sz w:val="28"/>
          <w:szCs w:val="28"/>
        </w:rPr>
        <w:t xml:space="preserve"> </w:t>
      </w:r>
      <w:proofErr w:type="spellStart"/>
      <w:r w:rsidRPr="00F25156">
        <w:rPr>
          <w:sz w:val="28"/>
          <w:szCs w:val="28"/>
        </w:rPr>
        <w:t>Елгуджа</w:t>
      </w:r>
      <w:proofErr w:type="spellEnd"/>
      <w:r w:rsidRPr="00F25156">
        <w:rPr>
          <w:sz w:val="28"/>
          <w:szCs w:val="28"/>
        </w:rPr>
        <w:t xml:space="preserve"> </w:t>
      </w:r>
      <w:proofErr w:type="spellStart"/>
      <w:r w:rsidRPr="00F25156">
        <w:rPr>
          <w:sz w:val="28"/>
          <w:szCs w:val="28"/>
        </w:rPr>
        <w:t>Вахтангович</w:t>
      </w:r>
      <w:proofErr w:type="spellEnd"/>
      <w:r w:rsidRPr="00F25156">
        <w:rPr>
          <w:sz w:val="28"/>
          <w:szCs w:val="28"/>
        </w:rPr>
        <w:t xml:space="preserve">, </w:t>
      </w:r>
    </w:p>
    <w:p w14:paraId="7070D979" w14:textId="77777777" w:rsidR="00F25156" w:rsidRPr="00F25156" w:rsidRDefault="00F25156" w:rsidP="00F25156">
      <w:pPr>
        <w:spacing w:line="360" w:lineRule="auto"/>
        <w:jc w:val="right"/>
        <w:rPr>
          <w:sz w:val="28"/>
          <w:szCs w:val="28"/>
        </w:rPr>
      </w:pPr>
      <w:r w:rsidRPr="00F25156">
        <w:rPr>
          <w:sz w:val="28"/>
          <w:szCs w:val="28"/>
        </w:rPr>
        <w:t xml:space="preserve">науковий керівник, кандидат </w:t>
      </w:r>
      <w:proofErr w:type="spellStart"/>
      <w:r w:rsidRPr="00F25156">
        <w:rPr>
          <w:sz w:val="28"/>
          <w:szCs w:val="28"/>
        </w:rPr>
        <w:t>с.г.н</w:t>
      </w:r>
      <w:proofErr w:type="spellEnd"/>
      <w:r w:rsidRPr="00F25156">
        <w:rPr>
          <w:sz w:val="28"/>
          <w:szCs w:val="28"/>
        </w:rPr>
        <w:t>., доцент</w:t>
      </w:r>
    </w:p>
    <w:p w14:paraId="533A125E" w14:textId="3453EDCB" w:rsidR="00F25156" w:rsidRPr="00F25156" w:rsidRDefault="00F25156" w:rsidP="00F25156">
      <w:pPr>
        <w:spacing w:line="360" w:lineRule="auto"/>
        <w:jc w:val="right"/>
        <w:rPr>
          <w:sz w:val="28"/>
          <w:szCs w:val="28"/>
        </w:rPr>
      </w:pPr>
      <w:r w:rsidRPr="00F25156">
        <w:rPr>
          <w:sz w:val="28"/>
          <w:szCs w:val="28"/>
        </w:rPr>
        <w:t>Одеський державний аграрний університет, м. Одеса.</w:t>
      </w:r>
    </w:p>
    <w:p w14:paraId="48A7A6ED" w14:textId="77777777" w:rsidR="00F25156" w:rsidRPr="00F25156" w:rsidRDefault="00F25156" w:rsidP="00F25156">
      <w:pPr>
        <w:widowControl w:val="0"/>
        <w:jc w:val="right"/>
        <w:rPr>
          <w:sz w:val="28"/>
          <w:szCs w:val="28"/>
        </w:rPr>
      </w:pPr>
      <w:r w:rsidRPr="00F25156">
        <w:rPr>
          <w:b/>
          <w:sz w:val="28"/>
          <w:szCs w:val="28"/>
        </w:rPr>
        <w:t xml:space="preserve">ORCID: </w:t>
      </w:r>
      <w:hyperlink r:id="rId6" w:history="1">
        <w:r w:rsidRPr="00F25156">
          <w:rPr>
            <w:rStyle w:val="a8"/>
            <w:color w:val="auto"/>
            <w:sz w:val="28"/>
            <w:szCs w:val="28"/>
          </w:rPr>
          <w:t>https://orcid.org/0000-0003-2808-0199</w:t>
        </w:r>
      </w:hyperlink>
    </w:p>
    <w:p w14:paraId="73779E2F" w14:textId="77777777" w:rsidR="00F25156" w:rsidRPr="00F25156" w:rsidRDefault="00F25156" w:rsidP="00F25156">
      <w:pPr>
        <w:rPr>
          <w:sz w:val="28"/>
          <w:szCs w:val="28"/>
        </w:rPr>
      </w:pPr>
    </w:p>
    <w:p w14:paraId="410C70B0" w14:textId="46AB05E6" w:rsidR="003437A0" w:rsidRPr="0021469E" w:rsidRDefault="0038491C" w:rsidP="0038491C">
      <w:pPr>
        <w:spacing w:line="360" w:lineRule="auto"/>
        <w:ind w:firstLine="709"/>
        <w:rPr>
          <w:b/>
          <w:sz w:val="28"/>
          <w:szCs w:val="28"/>
        </w:rPr>
      </w:pPr>
      <w:r w:rsidRPr="00F25156">
        <w:rPr>
          <w:sz w:val="28"/>
          <w:szCs w:val="28"/>
        </w:rPr>
        <w:t>ЕФЕКТИВНІСТЬ</w:t>
      </w:r>
      <w:r w:rsidR="00665507" w:rsidRPr="00F25156">
        <w:rPr>
          <w:sz w:val="28"/>
          <w:szCs w:val="28"/>
        </w:rPr>
        <w:t xml:space="preserve"> </w:t>
      </w:r>
      <w:r w:rsidRPr="00F25156">
        <w:rPr>
          <w:sz w:val="28"/>
          <w:szCs w:val="28"/>
        </w:rPr>
        <w:t>ОРГАНО-МІНЕРАЛЬНИХ</w:t>
      </w:r>
      <w:r w:rsidR="00665507" w:rsidRPr="00F25156">
        <w:rPr>
          <w:sz w:val="28"/>
          <w:szCs w:val="28"/>
        </w:rPr>
        <w:t xml:space="preserve"> </w:t>
      </w:r>
      <w:r w:rsidRPr="00F25156">
        <w:rPr>
          <w:sz w:val="28"/>
          <w:szCs w:val="28"/>
        </w:rPr>
        <w:t>ДОБРИВ У СИСТЕМІ</w:t>
      </w:r>
      <w:r w:rsidR="00665507" w:rsidRPr="0021469E">
        <w:rPr>
          <w:sz w:val="28"/>
          <w:szCs w:val="28"/>
        </w:rPr>
        <w:t xml:space="preserve"> </w:t>
      </w:r>
      <w:r w:rsidRPr="0021469E">
        <w:rPr>
          <w:sz w:val="28"/>
          <w:szCs w:val="28"/>
        </w:rPr>
        <w:t>ЖИВЛЕННЯ</w:t>
      </w:r>
      <w:r w:rsidR="00665507" w:rsidRPr="0021469E">
        <w:rPr>
          <w:sz w:val="28"/>
          <w:szCs w:val="28"/>
        </w:rPr>
        <w:t xml:space="preserve"> </w:t>
      </w:r>
      <w:r w:rsidR="00421C9A">
        <w:rPr>
          <w:sz w:val="28"/>
          <w:szCs w:val="28"/>
        </w:rPr>
        <w:t xml:space="preserve">ТА ВИРОЩУВАННЯ </w:t>
      </w:r>
      <w:r w:rsidRPr="0021469E">
        <w:rPr>
          <w:sz w:val="28"/>
          <w:szCs w:val="28"/>
        </w:rPr>
        <w:t>ЯЧМЕНЮ ЯРОГО</w:t>
      </w:r>
    </w:p>
    <w:p w14:paraId="0F0B6CDD" w14:textId="77777777" w:rsidR="00404B17" w:rsidRPr="0021469E" w:rsidRDefault="00404B17" w:rsidP="00404B17">
      <w:pPr>
        <w:spacing w:line="360" w:lineRule="auto"/>
        <w:ind w:firstLine="720"/>
        <w:jc w:val="right"/>
        <w:rPr>
          <w:noProof/>
          <w:sz w:val="28"/>
          <w:szCs w:val="28"/>
        </w:rPr>
      </w:pPr>
    </w:p>
    <w:p w14:paraId="1ECD8B53" w14:textId="6B3E2F63" w:rsidR="001E3C59" w:rsidRPr="0021469E" w:rsidRDefault="0038491C" w:rsidP="0021469E">
      <w:pPr>
        <w:pStyle w:val="a9"/>
        <w:spacing w:before="0" w:beforeAutospacing="0" w:after="0" w:afterAutospacing="0" w:line="360" w:lineRule="auto"/>
        <w:ind w:firstLine="709"/>
        <w:jc w:val="both"/>
        <w:rPr>
          <w:sz w:val="28"/>
          <w:szCs w:val="28"/>
          <w:lang w:val="uk-UA"/>
        </w:rPr>
      </w:pPr>
      <w:r w:rsidRPr="0021469E">
        <w:rPr>
          <w:sz w:val="28"/>
          <w:szCs w:val="28"/>
          <w:lang w:val="uk-UA"/>
        </w:rPr>
        <w:t>Ярий ячмінь важлива зернова культура з широким ареалом поширення та різноманітними традиціями застосування. Він відіграє важливу роль у зерновому балансі України</w:t>
      </w:r>
      <w:r w:rsidR="004D1CFD">
        <w:rPr>
          <w:sz w:val="28"/>
          <w:szCs w:val="28"/>
          <w:lang w:val="uk-UA"/>
        </w:rPr>
        <w:t>,</w:t>
      </w:r>
      <w:r w:rsidRPr="0021469E">
        <w:rPr>
          <w:sz w:val="28"/>
          <w:szCs w:val="28"/>
          <w:lang w:val="uk-UA"/>
        </w:rPr>
        <w:t xml:space="preserve"> виконуючи роль страхової культури</w:t>
      </w:r>
      <w:r w:rsidR="006950A5" w:rsidRPr="0021469E">
        <w:rPr>
          <w:sz w:val="28"/>
          <w:szCs w:val="28"/>
          <w:lang w:val="uk-UA"/>
        </w:rPr>
        <w:t>,</w:t>
      </w:r>
      <w:r w:rsidRPr="0021469E">
        <w:rPr>
          <w:sz w:val="28"/>
          <w:szCs w:val="28"/>
          <w:lang w:val="uk-UA"/>
        </w:rPr>
        <w:t xml:space="preserve"> компенсуючи валове виробництво</w:t>
      </w:r>
      <w:r w:rsidR="00665507" w:rsidRPr="0021469E">
        <w:rPr>
          <w:sz w:val="28"/>
          <w:szCs w:val="28"/>
          <w:lang w:val="uk-UA"/>
        </w:rPr>
        <w:t xml:space="preserve"> </w:t>
      </w:r>
      <w:r w:rsidRPr="0021469E">
        <w:rPr>
          <w:sz w:val="28"/>
          <w:szCs w:val="28"/>
          <w:lang w:val="uk-UA"/>
        </w:rPr>
        <w:t>зерна</w:t>
      </w:r>
      <w:r w:rsidR="006950A5" w:rsidRPr="0021469E">
        <w:rPr>
          <w:sz w:val="28"/>
          <w:szCs w:val="28"/>
          <w:lang w:val="uk-UA"/>
        </w:rPr>
        <w:t>,</w:t>
      </w:r>
      <w:r w:rsidRPr="0021469E">
        <w:rPr>
          <w:sz w:val="28"/>
          <w:szCs w:val="28"/>
          <w:lang w:val="uk-UA"/>
        </w:rPr>
        <w:t xml:space="preserve"> у разі зменшення посівів озимих культур</w:t>
      </w:r>
      <w:r w:rsidR="00421C9A">
        <w:rPr>
          <w:sz w:val="28"/>
          <w:szCs w:val="28"/>
          <w:lang w:val="uk-UA"/>
        </w:rPr>
        <w:t>,</w:t>
      </w:r>
      <w:r w:rsidR="00505E12">
        <w:rPr>
          <w:sz w:val="28"/>
          <w:szCs w:val="28"/>
          <w:lang w:val="uk-UA"/>
        </w:rPr>
        <w:t xml:space="preserve"> </w:t>
      </w:r>
      <w:r w:rsidR="00421C9A">
        <w:rPr>
          <w:sz w:val="28"/>
          <w:szCs w:val="28"/>
          <w:lang w:val="uk-UA"/>
        </w:rPr>
        <w:t>забезпечуючи фуражний</w:t>
      </w:r>
      <w:r w:rsidR="00505E12">
        <w:rPr>
          <w:sz w:val="28"/>
          <w:szCs w:val="28"/>
          <w:lang w:val="uk-UA"/>
        </w:rPr>
        <w:t xml:space="preserve"> </w:t>
      </w:r>
      <w:r w:rsidR="00421C9A">
        <w:rPr>
          <w:sz w:val="28"/>
          <w:szCs w:val="28"/>
          <w:lang w:val="uk-UA"/>
        </w:rPr>
        <w:t>баланс та являючись</w:t>
      </w:r>
      <w:r w:rsidR="00505E12">
        <w:rPr>
          <w:sz w:val="28"/>
          <w:szCs w:val="28"/>
          <w:lang w:val="uk-UA"/>
        </w:rPr>
        <w:t xml:space="preserve"> </w:t>
      </w:r>
      <w:r w:rsidR="00421C9A">
        <w:rPr>
          <w:sz w:val="28"/>
          <w:szCs w:val="28"/>
          <w:lang w:val="uk-UA"/>
        </w:rPr>
        <w:t xml:space="preserve"> об’єктом</w:t>
      </w:r>
      <w:r w:rsidR="00505E12">
        <w:rPr>
          <w:sz w:val="28"/>
          <w:szCs w:val="28"/>
          <w:lang w:val="uk-UA"/>
        </w:rPr>
        <w:t xml:space="preserve"> </w:t>
      </w:r>
      <w:r w:rsidR="00421C9A">
        <w:rPr>
          <w:sz w:val="28"/>
          <w:szCs w:val="28"/>
          <w:lang w:val="uk-UA"/>
        </w:rPr>
        <w:t>експорту</w:t>
      </w:r>
      <w:r w:rsidR="00505E12">
        <w:rPr>
          <w:sz w:val="28"/>
          <w:szCs w:val="28"/>
          <w:lang w:val="uk-UA"/>
        </w:rPr>
        <w:t xml:space="preserve"> </w:t>
      </w:r>
      <w:r w:rsidR="00784CC9" w:rsidRPr="00421C9A">
        <w:rPr>
          <w:sz w:val="28"/>
          <w:szCs w:val="28"/>
          <w:lang w:val="uk-UA"/>
        </w:rPr>
        <w:t>[1</w:t>
      </w:r>
      <w:r w:rsidR="00F25156">
        <w:rPr>
          <w:sz w:val="28"/>
          <w:szCs w:val="28"/>
          <w:lang w:val="uk-UA"/>
        </w:rPr>
        <w:t>, с. 56</w:t>
      </w:r>
      <w:r w:rsidR="00784CC9" w:rsidRPr="00421C9A">
        <w:rPr>
          <w:sz w:val="28"/>
          <w:szCs w:val="28"/>
          <w:lang w:val="uk-UA"/>
        </w:rPr>
        <w:t>]</w:t>
      </w:r>
      <w:r w:rsidRPr="0021469E">
        <w:rPr>
          <w:sz w:val="28"/>
          <w:szCs w:val="28"/>
          <w:lang w:val="uk-UA"/>
        </w:rPr>
        <w:t>.</w:t>
      </w:r>
    </w:p>
    <w:p w14:paraId="3D8A4543" w14:textId="400A4FF1" w:rsidR="0038491C" w:rsidRPr="00784CC9" w:rsidRDefault="0038491C" w:rsidP="0038491C">
      <w:pPr>
        <w:pStyle w:val="a9"/>
        <w:spacing w:before="0" w:beforeAutospacing="0" w:after="0" w:afterAutospacing="0" w:line="360" w:lineRule="auto"/>
        <w:ind w:firstLine="709"/>
        <w:jc w:val="both"/>
        <w:rPr>
          <w:sz w:val="28"/>
          <w:szCs w:val="28"/>
        </w:rPr>
      </w:pPr>
      <w:r w:rsidRPr="0021469E">
        <w:rPr>
          <w:sz w:val="28"/>
          <w:szCs w:val="28"/>
          <w:lang w:val="uk-UA"/>
        </w:rPr>
        <w:t>У інтенсивних технологіях, які спрямованій на максимальне використання генетичного потенціалу сортів ячменю, ключову роль відіграють правильне внесення мінеральних добрив, ефективна система обробітку ґрунту, формування продуктивного стеблостою та надійний захист рослин від шкідливих організмів. У комплексі агротехнічних заходів важливим є розміщення ячменю в полях сівозміни з достатньою родючістю</w:t>
      </w:r>
      <w:r w:rsidR="006950A5" w:rsidRPr="0021469E">
        <w:rPr>
          <w:sz w:val="28"/>
          <w:szCs w:val="28"/>
          <w:lang w:val="uk-UA"/>
        </w:rPr>
        <w:t>,</w:t>
      </w:r>
      <w:r w:rsidRPr="0021469E">
        <w:rPr>
          <w:sz w:val="28"/>
          <w:szCs w:val="28"/>
          <w:lang w:val="uk-UA"/>
        </w:rPr>
        <w:t xml:space="preserve"> на високому агрономічному фоні та </w:t>
      </w:r>
      <w:r w:rsidR="006950A5" w:rsidRPr="0021469E">
        <w:rPr>
          <w:sz w:val="28"/>
          <w:szCs w:val="28"/>
          <w:lang w:val="uk-UA"/>
        </w:rPr>
        <w:t>рівнем</w:t>
      </w:r>
      <w:r w:rsidRPr="0021469E">
        <w:rPr>
          <w:sz w:val="28"/>
          <w:szCs w:val="28"/>
          <w:lang w:val="uk-UA"/>
        </w:rPr>
        <w:t xml:space="preserve"> забезпечення культури</w:t>
      </w:r>
      <w:r w:rsidR="00665507" w:rsidRPr="0021469E">
        <w:rPr>
          <w:sz w:val="28"/>
          <w:szCs w:val="28"/>
          <w:lang w:val="uk-UA"/>
        </w:rPr>
        <w:t xml:space="preserve"> </w:t>
      </w:r>
      <w:r w:rsidRPr="0021469E">
        <w:rPr>
          <w:sz w:val="28"/>
          <w:szCs w:val="28"/>
          <w:lang w:val="uk-UA"/>
        </w:rPr>
        <w:t>елементами</w:t>
      </w:r>
      <w:r w:rsidR="00665507" w:rsidRPr="0021469E">
        <w:rPr>
          <w:sz w:val="28"/>
          <w:szCs w:val="28"/>
          <w:lang w:val="uk-UA"/>
        </w:rPr>
        <w:t xml:space="preserve"> </w:t>
      </w:r>
      <w:r w:rsidRPr="0021469E">
        <w:rPr>
          <w:sz w:val="28"/>
          <w:szCs w:val="28"/>
          <w:lang w:val="uk-UA"/>
        </w:rPr>
        <w:t>живлення</w:t>
      </w:r>
      <w:r w:rsidR="006950A5" w:rsidRPr="0021469E">
        <w:rPr>
          <w:sz w:val="28"/>
          <w:szCs w:val="28"/>
          <w:lang w:val="uk-UA"/>
        </w:rPr>
        <w:t>, п</w:t>
      </w:r>
      <w:r w:rsidRPr="0021469E">
        <w:rPr>
          <w:sz w:val="28"/>
          <w:szCs w:val="28"/>
          <w:lang w:val="uk-UA"/>
        </w:rPr>
        <w:t>ерш</w:t>
      </w:r>
      <w:r w:rsidR="00665507" w:rsidRPr="0021469E">
        <w:rPr>
          <w:sz w:val="28"/>
          <w:szCs w:val="28"/>
          <w:lang w:val="uk-UA"/>
        </w:rPr>
        <w:t xml:space="preserve"> </w:t>
      </w:r>
      <w:r w:rsidRPr="0021469E">
        <w:rPr>
          <w:sz w:val="28"/>
          <w:szCs w:val="28"/>
          <w:lang w:val="uk-UA"/>
        </w:rPr>
        <w:t>за все азотом</w:t>
      </w:r>
      <w:r w:rsidR="00784CC9" w:rsidRPr="00784CC9">
        <w:rPr>
          <w:sz w:val="28"/>
          <w:szCs w:val="28"/>
          <w:lang w:val="uk-UA"/>
        </w:rPr>
        <w:t xml:space="preserve"> [2</w:t>
      </w:r>
      <w:r w:rsidR="00F25156">
        <w:rPr>
          <w:sz w:val="28"/>
          <w:szCs w:val="28"/>
          <w:lang w:val="uk-UA"/>
        </w:rPr>
        <w:t>, с. 83</w:t>
      </w:r>
      <w:r w:rsidR="00784CC9" w:rsidRPr="00784CC9">
        <w:rPr>
          <w:sz w:val="28"/>
          <w:szCs w:val="28"/>
          <w:lang w:val="uk-UA"/>
        </w:rPr>
        <w:t>]</w:t>
      </w:r>
      <w:r w:rsidRPr="0021469E">
        <w:rPr>
          <w:sz w:val="28"/>
          <w:szCs w:val="28"/>
          <w:lang w:val="uk-UA"/>
        </w:rPr>
        <w:t>.</w:t>
      </w:r>
      <w:r w:rsidR="00665507" w:rsidRPr="0021469E">
        <w:rPr>
          <w:sz w:val="28"/>
          <w:szCs w:val="28"/>
          <w:lang w:val="uk-UA"/>
        </w:rPr>
        <w:t xml:space="preserve"> </w:t>
      </w:r>
      <w:r w:rsidR="006950A5" w:rsidRPr="0021469E">
        <w:rPr>
          <w:sz w:val="28"/>
          <w:szCs w:val="28"/>
          <w:lang w:val="uk-UA"/>
        </w:rPr>
        <w:t>Висока вартість</w:t>
      </w:r>
      <w:r w:rsidR="00665507" w:rsidRPr="0021469E">
        <w:rPr>
          <w:sz w:val="28"/>
          <w:szCs w:val="28"/>
          <w:lang w:val="uk-UA"/>
        </w:rPr>
        <w:t xml:space="preserve"> </w:t>
      </w:r>
      <w:r w:rsidR="006950A5" w:rsidRPr="0021469E">
        <w:rPr>
          <w:sz w:val="28"/>
          <w:szCs w:val="28"/>
          <w:lang w:val="uk-UA"/>
        </w:rPr>
        <w:t>мінеральних</w:t>
      </w:r>
      <w:r w:rsidR="00665507" w:rsidRPr="0021469E">
        <w:rPr>
          <w:sz w:val="28"/>
          <w:szCs w:val="28"/>
          <w:lang w:val="uk-UA"/>
        </w:rPr>
        <w:t xml:space="preserve"> </w:t>
      </w:r>
      <w:r w:rsidR="006950A5" w:rsidRPr="0021469E">
        <w:rPr>
          <w:sz w:val="28"/>
          <w:szCs w:val="28"/>
          <w:lang w:val="uk-UA"/>
        </w:rPr>
        <w:t>добрив</w:t>
      </w:r>
      <w:r w:rsidR="00665507" w:rsidRPr="0021469E">
        <w:rPr>
          <w:sz w:val="28"/>
          <w:szCs w:val="28"/>
          <w:lang w:val="uk-UA"/>
        </w:rPr>
        <w:t xml:space="preserve"> </w:t>
      </w:r>
      <w:r w:rsidR="006950A5" w:rsidRPr="0021469E">
        <w:rPr>
          <w:sz w:val="28"/>
          <w:szCs w:val="28"/>
          <w:lang w:val="uk-UA"/>
        </w:rPr>
        <w:t>та</w:t>
      </w:r>
      <w:r w:rsidR="00665507" w:rsidRPr="0021469E">
        <w:rPr>
          <w:sz w:val="28"/>
          <w:szCs w:val="28"/>
          <w:lang w:val="uk-UA"/>
        </w:rPr>
        <w:t xml:space="preserve"> </w:t>
      </w:r>
      <w:r w:rsidR="006950A5" w:rsidRPr="0021469E">
        <w:rPr>
          <w:sz w:val="28"/>
          <w:szCs w:val="28"/>
          <w:lang w:val="uk-UA"/>
        </w:rPr>
        <w:t>зниження</w:t>
      </w:r>
      <w:r w:rsidR="00665507" w:rsidRPr="0021469E">
        <w:rPr>
          <w:sz w:val="28"/>
          <w:szCs w:val="28"/>
          <w:lang w:val="uk-UA"/>
        </w:rPr>
        <w:t xml:space="preserve"> </w:t>
      </w:r>
      <w:r w:rsidR="006950A5" w:rsidRPr="0021469E">
        <w:rPr>
          <w:sz w:val="28"/>
          <w:szCs w:val="28"/>
          <w:lang w:val="uk-UA"/>
        </w:rPr>
        <w:t>їх окупності</w:t>
      </w:r>
      <w:r w:rsidR="00665507" w:rsidRPr="0021469E">
        <w:rPr>
          <w:sz w:val="28"/>
          <w:szCs w:val="28"/>
          <w:lang w:val="uk-UA"/>
        </w:rPr>
        <w:t xml:space="preserve"> </w:t>
      </w:r>
      <w:r w:rsidR="006950A5" w:rsidRPr="0021469E">
        <w:rPr>
          <w:sz w:val="28"/>
          <w:szCs w:val="28"/>
          <w:lang w:val="uk-UA"/>
        </w:rPr>
        <w:t>формують потребу</w:t>
      </w:r>
      <w:r w:rsidR="00665507" w:rsidRPr="0021469E">
        <w:rPr>
          <w:sz w:val="28"/>
          <w:szCs w:val="28"/>
          <w:lang w:val="uk-UA"/>
        </w:rPr>
        <w:t xml:space="preserve"> </w:t>
      </w:r>
      <w:r w:rsidR="006950A5" w:rsidRPr="0021469E">
        <w:rPr>
          <w:sz w:val="28"/>
          <w:szCs w:val="28"/>
          <w:lang w:val="uk-UA"/>
        </w:rPr>
        <w:t>пошуку</w:t>
      </w:r>
      <w:r w:rsidR="00665507" w:rsidRPr="0021469E">
        <w:rPr>
          <w:sz w:val="28"/>
          <w:szCs w:val="28"/>
          <w:lang w:val="uk-UA"/>
        </w:rPr>
        <w:t xml:space="preserve"> </w:t>
      </w:r>
      <w:r w:rsidR="006950A5" w:rsidRPr="0021469E">
        <w:rPr>
          <w:sz w:val="28"/>
          <w:szCs w:val="28"/>
          <w:lang w:val="uk-UA"/>
        </w:rPr>
        <w:t>інших систем</w:t>
      </w:r>
      <w:r w:rsidR="004D1CFD">
        <w:rPr>
          <w:sz w:val="28"/>
          <w:szCs w:val="28"/>
          <w:lang w:val="uk-UA"/>
        </w:rPr>
        <w:t>, н</w:t>
      </w:r>
      <w:r w:rsidR="006950A5" w:rsidRPr="0021469E">
        <w:rPr>
          <w:sz w:val="28"/>
          <w:szCs w:val="28"/>
          <w:lang w:val="uk-UA"/>
        </w:rPr>
        <w:t>априклад</w:t>
      </w:r>
      <w:r w:rsidR="00665507" w:rsidRPr="0021469E">
        <w:rPr>
          <w:sz w:val="28"/>
          <w:szCs w:val="28"/>
          <w:lang w:val="uk-UA"/>
        </w:rPr>
        <w:t xml:space="preserve"> </w:t>
      </w:r>
      <w:r w:rsidR="006950A5" w:rsidRPr="0021469E">
        <w:rPr>
          <w:sz w:val="28"/>
          <w:szCs w:val="28"/>
          <w:lang w:val="uk-UA"/>
        </w:rPr>
        <w:t>застосування</w:t>
      </w:r>
      <w:r w:rsidR="004D1CFD">
        <w:rPr>
          <w:sz w:val="28"/>
          <w:szCs w:val="28"/>
          <w:lang w:val="uk-UA"/>
        </w:rPr>
        <w:t>м</w:t>
      </w:r>
      <w:r w:rsidR="00665507" w:rsidRPr="0021469E">
        <w:rPr>
          <w:sz w:val="28"/>
          <w:szCs w:val="28"/>
          <w:lang w:val="uk-UA"/>
        </w:rPr>
        <w:t xml:space="preserve"> </w:t>
      </w:r>
      <w:r w:rsidR="006950A5" w:rsidRPr="0021469E">
        <w:rPr>
          <w:sz w:val="28"/>
          <w:szCs w:val="28"/>
          <w:lang w:val="uk-UA"/>
        </w:rPr>
        <w:t>сучасних</w:t>
      </w:r>
      <w:r w:rsidR="00665507" w:rsidRPr="0021469E">
        <w:rPr>
          <w:sz w:val="28"/>
          <w:szCs w:val="28"/>
          <w:lang w:val="uk-UA"/>
        </w:rPr>
        <w:t xml:space="preserve"> </w:t>
      </w:r>
      <w:r w:rsidR="006950A5" w:rsidRPr="0021469E">
        <w:rPr>
          <w:sz w:val="28"/>
          <w:szCs w:val="28"/>
          <w:lang w:val="uk-UA"/>
        </w:rPr>
        <w:t>органо-мінеральних</w:t>
      </w:r>
      <w:r w:rsidR="00665507" w:rsidRPr="0021469E">
        <w:rPr>
          <w:sz w:val="28"/>
          <w:szCs w:val="28"/>
          <w:lang w:val="uk-UA"/>
        </w:rPr>
        <w:t xml:space="preserve"> </w:t>
      </w:r>
      <w:r w:rsidR="006950A5" w:rsidRPr="0021469E">
        <w:rPr>
          <w:sz w:val="28"/>
          <w:szCs w:val="28"/>
          <w:lang w:val="uk-UA"/>
        </w:rPr>
        <w:t>добрив, які</w:t>
      </w:r>
      <w:r w:rsidR="00665507" w:rsidRPr="0021469E">
        <w:rPr>
          <w:sz w:val="28"/>
          <w:szCs w:val="28"/>
          <w:lang w:val="uk-UA"/>
        </w:rPr>
        <w:t xml:space="preserve"> </w:t>
      </w:r>
      <w:r w:rsidR="004D1CFD">
        <w:rPr>
          <w:sz w:val="28"/>
          <w:szCs w:val="28"/>
          <w:lang w:val="uk-UA"/>
        </w:rPr>
        <w:t>широко</w:t>
      </w:r>
      <w:r w:rsidR="006950A5" w:rsidRPr="0021469E">
        <w:rPr>
          <w:sz w:val="28"/>
          <w:szCs w:val="28"/>
          <w:lang w:val="uk-UA"/>
        </w:rPr>
        <w:t xml:space="preserve"> </w:t>
      </w:r>
      <w:r w:rsidR="004D1CFD">
        <w:rPr>
          <w:sz w:val="28"/>
          <w:szCs w:val="28"/>
          <w:lang w:val="uk-UA"/>
        </w:rPr>
        <w:t xml:space="preserve">представлені на </w:t>
      </w:r>
      <w:r w:rsidR="00421C9A">
        <w:rPr>
          <w:sz w:val="28"/>
          <w:szCs w:val="28"/>
          <w:lang w:val="uk-UA"/>
        </w:rPr>
        <w:t xml:space="preserve">аграрному </w:t>
      </w:r>
      <w:r w:rsidR="004D1CFD">
        <w:rPr>
          <w:sz w:val="28"/>
          <w:szCs w:val="28"/>
          <w:lang w:val="uk-UA"/>
        </w:rPr>
        <w:t>ринку</w:t>
      </w:r>
      <w:r w:rsidR="00784CC9" w:rsidRPr="00784CC9">
        <w:rPr>
          <w:sz w:val="28"/>
          <w:szCs w:val="28"/>
        </w:rPr>
        <w:t xml:space="preserve"> [3</w:t>
      </w:r>
      <w:r w:rsidR="00F25156">
        <w:rPr>
          <w:sz w:val="28"/>
          <w:szCs w:val="28"/>
          <w:lang w:val="uk-UA"/>
        </w:rPr>
        <w:t>, с. 12</w:t>
      </w:r>
      <w:r w:rsidR="00784CC9" w:rsidRPr="00784CC9">
        <w:rPr>
          <w:sz w:val="28"/>
          <w:szCs w:val="28"/>
        </w:rPr>
        <w:t>]</w:t>
      </w:r>
      <w:r w:rsidR="006950A5" w:rsidRPr="0021469E">
        <w:rPr>
          <w:sz w:val="28"/>
          <w:szCs w:val="28"/>
          <w:lang w:val="uk-UA"/>
        </w:rPr>
        <w:t>.</w:t>
      </w:r>
      <w:r w:rsidR="00505E12">
        <w:rPr>
          <w:sz w:val="28"/>
          <w:szCs w:val="28"/>
          <w:lang w:val="uk-UA"/>
        </w:rPr>
        <w:t xml:space="preserve"> </w:t>
      </w:r>
    </w:p>
    <w:p w14:paraId="606E6D8B" w14:textId="5365C754" w:rsidR="006950A5" w:rsidRPr="0021469E" w:rsidRDefault="006950A5" w:rsidP="0038491C">
      <w:pPr>
        <w:pStyle w:val="a9"/>
        <w:spacing w:before="0" w:beforeAutospacing="0" w:after="0" w:afterAutospacing="0" w:line="360" w:lineRule="auto"/>
        <w:ind w:firstLine="709"/>
        <w:jc w:val="both"/>
        <w:rPr>
          <w:sz w:val="28"/>
          <w:szCs w:val="28"/>
          <w:lang w:val="uk-UA"/>
        </w:rPr>
      </w:pPr>
      <w:r w:rsidRPr="0021469E">
        <w:rPr>
          <w:sz w:val="28"/>
          <w:szCs w:val="28"/>
          <w:lang w:val="uk-UA"/>
        </w:rPr>
        <w:t xml:space="preserve">Польові дослідження були проведені </w:t>
      </w:r>
      <w:r w:rsidR="00504E83" w:rsidRPr="0021469E">
        <w:rPr>
          <w:sz w:val="28"/>
          <w:szCs w:val="28"/>
          <w:lang w:val="uk-UA"/>
        </w:rPr>
        <w:t xml:space="preserve">в </w:t>
      </w:r>
      <w:r w:rsidR="00421C9A" w:rsidRPr="0021469E">
        <w:rPr>
          <w:sz w:val="28"/>
          <w:szCs w:val="28"/>
          <w:lang w:val="uk-UA"/>
        </w:rPr>
        <w:t>ґрунтово</w:t>
      </w:r>
      <w:r w:rsidR="00504E83" w:rsidRPr="0021469E">
        <w:rPr>
          <w:sz w:val="28"/>
          <w:szCs w:val="28"/>
          <w:lang w:val="uk-UA"/>
        </w:rPr>
        <w:t xml:space="preserve">-кліматичних умовах </w:t>
      </w:r>
      <w:r w:rsidRPr="0021469E">
        <w:rPr>
          <w:sz w:val="28"/>
          <w:szCs w:val="28"/>
          <w:lang w:val="uk-UA"/>
        </w:rPr>
        <w:t>Білозерському районі Херсонської області на темно каш</w:t>
      </w:r>
      <w:r w:rsidR="00F25156">
        <w:rPr>
          <w:sz w:val="28"/>
          <w:szCs w:val="28"/>
          <w:lang w:val="uk-UA"/>
        </w:rPr>
        <w:t>т</w:t>
      </w:r>
      <w:r w:rsidRPr="0021469E">
        <w:rPr>
          <w:sz w:val="28"/>
          <w:szCs w:val="28"/>
          <w:lang w:val="uk-UA"/>
        </w:rPr>
        <w:t>анових</w:t>
      </w:r>
      <w:r w:rsidR="00665507" w:rsidRPr="0021469E">
        <w:rPr>
          <w:sz w:val="28"/>
          <w:szCs w:val="28"/>
          <w:lang w:val="uk-UA"/>
        </w:rPr>
        <w:t xml:space="preserve"> </w:t>
      </w:r>
      <w:r w:rsidR="00421C9A" w:rsidRPr="0021469E">
        <w:rPr>
          <w:sz w:val="28"/>
          <w:szCs w:val="28"/>
          <w:lang w:val="uk-UA"/>
        </w:rPr>
        <w:t>ґр</w:t>
      </w:r>
      <w:r w:rsidR="00421C9A">
        <w:rPr>
          <w:sz w:val="28"/>
          <w:szCs w:val="28"/>
          <w:lang w:val="uk-UA"/>
        </w:rPr>
        <w:t>у</w:t>
      </w:r>
      <w:r w:rsidR="00421C9A" w:rsidRPr="0021469E">
        <w:rPr>
          <w:sz w:val="28"/>
          <w:szCs w:val="28"/>
          <w:lang w:val="uk-UA"/>
        </w:rPr>
        <w:t>нтах</w:t>
      </w:r>
      <w:r w:rsidRPr="0021469E">
        <w:rPr>
          <w:sz w:val="28"/>
          <w:szCs w:val="28"/>
          <w:lang w:val="uk-UA"/>
        </w:rPr>
        <w:t xml:space="preserve">. </w:t>
      </w:r>
      <w:r w:rsidR="00504E83" w:rsidRPr="0021469E">
        <w:rPr>
          <w:sz w:val="28"/>
          <w:szCs w:val="28"/>
          <w:lang w:val="uk-UA"/>
        </w:rPr>
        <w:t>Рік</w:t>
      </w:r>
      <w:r w:rsidR="00665507" w:rsidRPr="0021469E">
        <w:rPr>
          <w:sz w:val="28"/>
          <w:szCs w:val="28"/>
          <w:lang w:val="uk-UA"/>
        </w:rPr>
        <w:t xml:space="preserve"> </w:t>
      </w:r>
      <w:r w:rsidR="00504E83" w:rsidRPr="0021469E">
        <w:rPr>
          <w:sz w:val="28"/>
          <w:szCs w:val="28"/>
          <w:lang w:val="uk-UA"/>
        </w:rPr>
        <w:t>був</w:t>
      </w:r>
      <w:r w:rsidR="00665507" w:rsidRPr="0021469E">
        <w:rPr>
          <w:sz w:val="28"/>
          <w:szCs w:val="28"/>
          <w:lang w:val="uk-UA"/>
        </w:rPr>
        <w:t xml:space="preserve"> </w:t>
      </w:r>
      <w:r w:rsidR="00504E83" w:rsidRPr="0021469E">
        <w:rPr>
          <w:sz w:val="28"/>
          <w:szCs w:val="28"/>
          <w:lang w:val="uk-UA"/>
        </w:rPr>
        <w:t>жарким та посушливим</w:t>
      </w:r>
      <w:r w:rsidR="004D1CFD">
        <w:rPr>
          <w:sz w:val="28"/>
          <w:szCs w:val="28"/>
          <w:lang w:val="uk-UA"/>
        </w:rPr>
        <w:t>,</w:t>
      </w:r>
      <w:r w:rsidR="00665507" w:rsidRPr="0021469E">
        <w:rPr>
          <w:sz w:val="28"/>
          <w:szCs w:val="28"/>
          <w:lang w:val="uk-UA"/>
        </w:rPr>
        <w:t xml:space="preserve"> </w:t>
      </w:r>
      <w:r w:rsidRPr="0021469E">
        <w:rPr>
          <w:sz w:val="28"/>
          <w:szCs w:val="28"/>
          <w:lang w:val="uk-UA"/>
        </w:rPr>
        <w:t>що</w:t>
      </w:r>
      <w:r w:rsidR="00665507" w:rsidRPr="0021469E">
        <w:rPr>
          <w:sz w:val="28"/>
          <w:szCs w:val="28"/>
          <w:lang w:val="uk-UA"/>
        </w:rPr>
        <w:t xml:space="preserve"> </w:t>
      </w:r>
      <w:r w:rsidRPr="0021469E">
        <w:rPr>
          <w:sz w:val="28"/>
          <w:szCs w:val="28"/>
          <w:lang w:val="uk-UA"/>
        </w:rPr>
        <w:t>суттєво вплинуло на ефективність систем</w:t>
      </w:r>
      <w:r w:rsidR="00665507" w:rsidRPr="0021469E">
        <w:rPr>
          <w:sz w:val="28"/>
          <w:szCs w:val="28"/>
          <w:lang w:val="uk-UA"/>
        </w:rPr>
        <w:t xml:space="preserve"> </w:t>
      </w:r>
      <w:r w:rsidRPr="0021469E">
        <w:rPr>
          <w:sz w:val="28"/>
          <w:szCs w:val="28"/>
          <w:lang w:val="uk-UA"/>
        </w:rPr>
        <w:t>живлення.</w:t>
      </w:r>
      <w:r w:rsidR="00504E83" w:rsidRPr="0021469E">
        <w:rPr>
          <w:sz w:val="28"/>
          <w:szCs w:val="28"/>
          <w:lang w:val="uk-UA"/>
        </w:rPr>
        <w:t xml:space="preserve"> У</w:t>
      </w:r>
      <w:r w:rsidR="00665507" w:rsidRPr="0021469E">
        <w:rPr>
          <w:sz w:val="28"/>
          <w:szCs w:val="28"/>
          <w:lang w:val="uk-UA"/>
        </w:rPr>
        <w:t xml:space="preserve"> </w:t>
      </w:r>
      <w:r w:rsidR="00504E83" w:rsidRPr="0021469E">
        <w:rPr>
          <w:sz w:val="28"/>
          <w:szCs w:val="28"/>
          <w:lang w:val="uk-UA"/>
        </w:rPr>
        <w:t>досліді</w:t>
      </w:r>
      <w:r w:rsidR="00665507" w:rsidRPr="0021469E">
        <w:rPr>
          <w:sz w:val="28"/>
          <w:szCs w:val="28"/>
          <w:lang w:val="uk-UA"/>
        </w:rPr>
        <w:t xml:space="preserve"> </w:t>
      </w:r>
      <w:r w:rsidR="00504E83" w:rsidRPr="0021469E">
        <w:rPr>
          <w:sz w:val="28"/>
          <w:szCs w:val="28"/>
          <w:lang w:val="uk-UA"/>
        </w:rPr>
        <w:t>застосовувати</w:t>
      </w:r>
      <w:r w:rsidR="00665507" w:rsidRPr="0021469E">
        <w:rPr>
          <w:sz w:val="28"/>
          <w:szCs w:val="28"/>
          <w:lang w:val="uk-UA"/>
        </w:rPr>
        <w:t xml:space="preserve"> </w:t>
      </w:r>
      <w:r w:rsidR="00504E83" w:rsidRPr="0021469E">
        <w:rPr>
          <w:sz w:val="28"/>
          <w:szCs w:val="28"/>
          <w:lang w:val="uk-UA"/>
        </w:rPr>
        <w:t>азотне</w:t>
      </w:r>
      <w:r w:rsidR="00665507" w:rsidRPr="0021469E">
        <w:rPr>
          <w:sz w:val="28"/>
          <w:szCs w:val="28"/>
          <w:lang w:val="uk-UA"/>
        </w:rPr>
        <w:t xml:space="preserve"> </w:t>
      </w:r>
      <w:r w:rsidR="00504E83" w:rsidRPr="0021469E">
        <w:rPr>
          <w:sz w:val="28"/>
          <w:szCs w:val="28"/>
          <w:lang w:val="uk-UA"/>
        </w:rPr>
        <w:t>добриво</w:t>
      </w:r>
      <w:r w:rsidR="00665507" w:rsidRPr="0021469E">
        <w:rPr>
          <w:sz w:val="28"/>
          <w:szCs w:val="28"/>
          <w:lang w:val="uk-UA"/>
        </w:rPr>
        <w:t xml:space="preserve"> </w:t>
      </w:r>
      <w:r w:rsidR="00504E83" w:rsidRPr="0021469E">
        <w:rPr>
          <w:sz w:val="28"/>
          <w:szCs w:val="28"/>
          <w:lang w:val="uk-UA"/>
        </w:rPr>
        <w:t>КАС</w:t>
      </w:r>
      <w:r w:rsidR="004D1CFD">
        <w:rPr>
          <w:sz w:val="28"/>
          <w:szCs w:val="28"/>
          <w:lang w:val="uk-UA"/>
        </w:rPr>
        <w:t xml:space="preserve"> </w:t>
      </w:r>
      <w:r w:rsidR="00504E83" w:rsidRPr="0021469E">
        <w:rPr>
          <w:sz w:val="28"/>
          <w:szCs w:val="28"/>
          <w:lang w:val="uk-UA"/>
        </w:rPr>
        <w:t>32 та органо-мінеральне</w:t>
      </w:r>
      <w:r w:rsidR="00665507" w:rsidRPr="0021469E">
        <w:rPr>
          <w:sz w:val="28"/>
          <w:szCs w:val="28"/>
          <w:lang w:val="uk-UA"/>
        </w:rPr>
        <w:t xml:space="preserve"> </w:t>
      </w:r>
      <w:r w:rsidR="00504E83" w:rsidRPr="0021469E">
        <w:rPr>
          <w:sz w:val="28"/>
          <w:szCs w:val="28"/>
          <w:lang w:val="uk-UA"/>
        </w:rPr>
        <w:t xml:space="preserve">добриво </w:t>
      </w:r>
      <w:proofErr w:type="spellStart"/>
      <w:r w:rsidR="00504E83" w:rsidRPr="0021469E">
        <w:rPr>
          <w:sz w:val="28"/>
          <w:szCs w:val="28"/>
          <w:lang w:val="uk-UA"/>
        </w:rPr>
        <w:t>Гумат</w:t>
      </w:r>
      <w:proofErr w:type="spellEnd"/>
      <w:r w:rsidR="00504E83" w:rsidRPr="0021469E">
        <w:rPr>
          <w:sz w:val="28"/>
          <w:szCs w:val="28"/>
          <w:lang w:val="uk-UA"/>
        </w:rPr>
        <w:t xml:space="preserve"> калію АКТИВ із</w:t>
      </w:r>
      <w:r w:rsidR="00665507" w:rsidRPr="0021469E">
        <w:rPr>
          <w:sz w:val="28"/>
          <w:szCs w:val="28"/>
          <w:lang w:val="uk-UA"/>
        </w:rPr>
        <w:t xml:space="preserve"> </w:t>
      </w:r>
      <w:r w:rsidR="00504E83" w:rsidRPr="0021469E">
        <w:rPr>
          <w:sz w:val="28"/>
          <w:szCs w:val="28"/>
          <w:lang w:val="uk-UA"/>
        </w:rPr>
        <w:t>підвищеним вмістом азоту. Основне внесення</w:t>
      </w:r>
      <w:r w:rsidR="00665507" w:rsidRPr="0021469E">
        <w:rPr>
          <w:sz w:val="28"/>
          <w:szCs w:val="28"/>
          <w:lang w:val="uk-UA"/>
        </w:rPr>
        <w:t xml:space="preserve"> </w:t>
      </w:r>
      <w:r w:rsidR="00504E83" w:rsidRPr="0021469E">
        <w:rPr>
          <w:sz w:val="28"/>
          <w:szCs w:val="28"/>
          <w:lang w:val="uk-UA"/>
        </w:rPr>
        <w:t>проводили</w:t>
      </w:r>
      <w:r w:rsidR="00665507" w:rsidRPr="0021469E">
        <w:rPr>
          <w:sz w:val="28"/>
          <w:szCs w:val="28"/>
          <w:lang w:val="uk-UA"/>
        </w:rPr>
        <w:t xml:space="preserve"> </w:t>
      </w:r>
      <w:r w:rsidR="00504E83" w:rsidRPr="0021469E">
        <w:rPr>
          <w:sz w:val="28"/>
          <w:szCs w:val="28"/>
          <w:lang w:val="uk-UA"/>
        </w:rPr>
        <w:lastRenderedPageBreak/>
        <w:t>під передпосівну культивацію, а підживлення у</w:t>
      </w:r>
      <w:r w:rsidR="00665507" w:rsidRPr="0021469E">
        <w:rPr>
          <w:sz w:val="28"/>
          <w:szCs w:val="28"/>
          <w:lang w:val="uk-UA"/>
        </w:rPr>
        <w:t xml:space="preserve"> </w:t>
      </w:r>
      <w:r w:rsidR="00504E83" w:rsidRPr="0021469E">
        <w:rPr>
          <w:sz w:val="28"/>
          <w:szCs w:val="28"/>
          <w:lang w:val="uk-UA"/>
        </w:rPr>
        <w:t>фазу кущення</w:t>
      </w:r>
      <w:r w:rsidR="00665507" w:rsidRPr="0021469E">
        <w:rPr>
          <w:sz w:val="28"/>
          <w:szCs w:val="28"/>
          <w:lang w:val="uk-UA"/>
        </w:rPr>
        <w:t xml:space="preserve"> </w:t>
      </w:r>
      <w:r w:rsidR="00504E83" w:rsidRPr="0021469E">
        <w:rPr>
          <w:sz w:val="28"/>
          <w:szCs w:val="28"/>
          <w:lang w:val="uk-UA"/>
        </w:rPr>
        <w:t>та</w:t>
      </w:r>
      <w:r w:rsidR="00665507" w:rsidRPr="0021469E">
        <w:rPr>
          <w:sz w:val="28"/>
          <w:szCs w:val="28"/>
          <w:lang w:val="uk-UA"/>
        </w:rPr>
        <w:t xml:space="preserve"> </w:t>
      </w:r>
      <w:r w:rsidR="00504E83" w:rsidRPr="0021469E">
        <w:rPr>
          <w:sz w:val="28"/>
          <w:szCs w:val="28"/>
          <w:lang w:val="uk-UA"/>
        </w:rPr>
        <w:t>трубкування. У</w:t>
      </w:r>
      <w:r w:rsidR="00665507" w:rsidRPr="0021469E">
        <w:rPr>
          <w:sz w:val="28"/>
          <w:szCs w:val="28"/>
          <w:lang w:val="uk-UA"/>
        </w:rPr>
        <w:t xml:space="preserve"> </w:t>
      </w:r>
      <w:r w:rsidR="00504E83" w:rsidRPr="0021469E">
        <w:rPr>
          <w:sz w:val="28"/>
          <w:szCs w:val="28"/>
          <w:lang w:val="uk-UA"/>
        </w:rPr>
        <w:t>досліді проводили</w:t>
      </w:r>
      <w:r w:rsidR="00665507" w:rsidRPr="0021469E">
        <w:rPr>
          <w:sz w:val="28"/>
          <w:szCs w:val="28"/>
          <w:lang w:val="uk-UA"/>
        </w:rPr>
        <w:t xml:space="preserve"> </w:t>
      </w:r>
      <w:r w:rsidR="00504E83" w:rsidRPr="0021469E">
        <w:rPr>
          <w:sz w:val="28"/>
          <w:szCs w:val="28"/>
          <w:lang w:val="uk-UA"/>
        </w:rPr>
        <w:t>порівняння</w:t>
      </w:r>
      <w:r w:rsidR="00665507" w:rsidRPr="0021469E">
        <w:rPr>
          <w:sz w:val="28"/>
          <w:szCs w:val="28"/>
          <w:lang w:val="uk-UA"/>
        </w:rPr>
        <w:t xml:space="preserve"> </w:t>
      </w:r>
      <w:r w:rsidR="00504E83" w:rsidRPr="0021469E">
        <w:rPr>
          <w:sz w:val="28"/>
          <w:szCs w:val="28"/>
          <w:lang w:val="uk-UA"/>
        </w:rPr>
        <w:t>систем</w:t>
      </w:r>
      <w:r w:rsidR="00665507" w:rsidRPr="0021469E">
        <w:rPr>
          <w:sz w:val="28"/>
          <w:szCs w:val="28"/>
          <w:lang w:val="uk-UA"/>
        </w:rPr>
        <w:t xml:space="preserve"> </w:t>
      </w:r>
      <w:r w:rsidR="00504E83" w:rsidRPr="0021469E">
        <w:rPr>
          <w:sz w:val="28"/>
          <w:szCs w:val="28"/>
          <w:lang w:val="uk-UA"/>
        </w:rPr>
        <w:t>живлення на основі</w:t>
      </w:r>
      <w:r w:rsidR="00665507" w:rsidRPr="0021469E">
        <w:rPr>
          <w:sz w:val="28"/>
          <w:szCs w:val="28"/>
          <w:lang w:val="uk-UA"/>
        </w:rPr>
        <w:t xml:space="preserve"> </w:t>
      </w:r>
      <w:r w:rsidR="00504E83" w:rsidRPr="0021469E">
        <w:rPr>
          <w:sz w:val="28"/>
          <w:szCs w:val="28"/>
          <w:lang w:val="uk-UA"/>
        </w:rPr>
        <w:t>мінеральних</w:t>
      </w:r>
      <w:r w:rsidR="00665507" w:rsidRPr="0021469E">
        <w:rPr>
          <w:sz w:val="28"/>
          <w:szCs w:val="28"/>
          <w:lang w:val="uk-UA"/>
        </w:rPr>
        <w:t xml:space="preserve"> </w:t>
      </w:r>
      <w:r w:rsidR="00504E83" w:rsidRPr="0021469E">
        <w:rPr>
          <w:sz w:val="28"/>
          <w:szCs w:val="28"/>
          <w:lang w:val="uk-UA"/>
        </w:rPr>
        <w:t>добрив та</w:t>
      </w:r>
      <w:r w:rsidR="00665507" w:rsidRPr="0021469E">
        <w:rPr>
          <w:sz w:val="28"/>
          <w:szCs w:val="28"/>
          <w:lang w:val="uk-UA"/>
        </w:rPr>
        <w:t xml:space="preserve"> </w:t>
      </w:r>
      <w:r w:rsidR="00504E83" w:rsidRPr="0021469E">
        <w:rPr>
          <w:sz w:val="28"/>
          <w:szCs w:val="28"/>
          <w:lang w:val="uk-UA"/>
        </w:rPr>
        <w:t>поєднання</w:t>
      </w:r>
      <w:r w:rsidR="00665507" w:rsidRPr="0021469E">
        <w:rPr>
          <w:sz w:val="28"/>
          <w:szCs w:val="28"/>
          <w:lang w:val="uk-UA"/>
        </w:rPr>
        <w:t xml:space="preserve"> </w:t>
      </w:r>
      <w:r w:rsidR="00504E83" w:rsidRPr="0021469E">
        <w:rPr>
          <w:sz w:val="28"/>
          <w:szCs w:val="28"/>
          <w:lang w:val="uk-UA"/>
        </w:rPr>
        <w:t>мінеральних</w:t>
      </w:r>
      <w:r w:rsidR="00665507" w:rsidRPr="0021469E">
        <w:rPr>
          <w:sz w:val="28"/>
          <w:szCs w:val="28"/>
          <w:lang w:val="uk-UA"/>
        </w:rPr>
        <w:t xml:space="preserve"> </w:t>
      </w:r>
      <w:r w:rsidR="00504E83" w:rsidRPr="0021469E">
        <w:rPr>
          <w:sz w:val="28"/>
          <w:szCs w:val="28"/>
          <w:lang w:val="uk-UA"/>
        </w:rPr>
        <w:t>добрив у основному внесенні та двох підживлень органо-мінеральним</w:t>
      </w:r>
      <w:r w:rsidR="00665507" w:rsidRPr="0021469E">
        <w:rPr>
          <w:sz w:val="28"/>
          <w:szCs w:val="28"/>
          <w:lang w:val="uk-UA"/>
        </w:rPr>
        <w:t xml:space="preserve"> </w:t>
      </w:r>
      <w:r w:rsidR="00504E83" w:rsidRPr="0021469E">
        <w:rPr>
          <w:sz w:val="28"/>
          <w:szCs w:val="28"/>
          <w:lang w:val="uk-UA"/>
        </w:rPr>
        <w:t>добривом</w:t>
      </w:r>
      <w:r w:rsidR="00665507" w:rsidRPr="0021469E">
        <w:rPr>
          <w:sz w:val="28"/>
          <w:szCs w:val="28"/>
          <w:lang w:val="uk-UA"/>
        </w:rPr>
        <w:t xml:space="preserve"> </w:t>
      </w:r>
      <w:proofErr w:type="spellStart"/>
      <w:r w:rsidR="00504E83" w:rsidRPr="0021469E">
        <w:rPr>
          <w:sz w:val="28"/>
          <w:szCs w:val="28"/>
          <w:lang w:val="uk-UA"/>
        </w:rPr>
        <w:t>Гумат</w:t>
      </w:r>
      <w:proofErr w:type="spellEnd"/>
      <w:r w:rsidR="00504E83" w:rsidRPr="0021469E">
        <w:rPr>
          <w:sz w:val="28"/>
          <w:szCs w:val="28"/>
          <w:lang w:val="uk-UA"/>
        </w:rPr>
        <w:t xml:space="preserve"> калію АКТИВ.</w:t>
      </w:r>
      <w:r w:rsidR="00665507" w:rsidRPr="0021469E">
        <w:rPr>
          <w:sz w:val="28"/>
          <w:szCs w:val="28"/>
          <w:lang w:val="uk-UA"/>
        </w:rPr>
        <w:t xml:space="preserve"> </w:t>
      </w:r>
    </w:p>
    <w:p w14:paraId="7E9B7EA6" w14:textId="7F87E432" w:rsidR="00504E83" w:rsidRPr="0021469E" w:rsidRDefault="00665507" w:rsidP="00665507">
      <w:pPr>
        <w:pStyle w:val="a9"/>
        <w:spacing w:before="0" w:beforeAutospacing="0" w:after="0" w:afterAutospacing="0" w:line="360" w:lineRule="auto"/>
        <w:ind w:firstLine="709"/>
        <w:jc w:val="both"/>
        <w:rPr>
          <w:sz w:val="28"/>
          <w:szCs w:val="28"/>
          <w:lang w:val="uk-UA"/>
        </w:rPr>
      </w:pPr>
      <w:r w:rsidRPr="0021469E">
        <w:rPr>
          <w:sz w:val="28"/>
          <w:szCs w:val="28"/>
          <w:lang w:val="uk-UA"/>
        </w:rPr>
        <w:t>Основне внесення добрив та проведення підживлень покращувало стан фітоценозу. Спостерігалося збільшення загальної і продуктивної кущистості, висоти та сухої маси рослин, кількості зерен та маси колоса, що</w:t>
      </w:r>
      <w:r w:rsidR="0021469E" w:rsidRPr="0021469E">
        <w:rPr>
          <w:sz w:val="28"/>
          <w:szCs w:val="28"/>
          <w:lang w:val="uk-UA"/>
        </w:rPr>
        <w:t xml:space="preserve"> </w:t>
      </w:r>
      <w:r w:rsidRPr="0021469E">
        <w:rPr>
          <w:sz w:val="28"/>
          <w:szCs w:val="28"/>
          <w:lang w:val="uk-UA"/>
        </w:rPr>
        <w:t xml:space="preserve">мало вплив не продуктивність культури. </w:t>
      </w:r>
      <w:bookmarkStart w:id="0" w:name="_Hlk184557069"/>
      <w:r w:rsidR="00504E83" w:rsidRPr="0021469E">
        <w:rPr>
          <w:sz w:val="28"/>
          <w:szCs w:val="28"/>
          <w:lang w:val="uk-UA"/>
        </w:rPr>
        <w:t>Урожайність</w:t>
      </w:r>
      <w:r w:rsidRPr="0021469E">
        <w:rPr>
          <w:sz w:val="28"/>
          <w:szCs w:val="28"/>
          <w:lang w:val="uk-UA"/>
        </w:rPr>
        <w:t xml:space="preserve"> </w:t>
      </w:r>
      <w:r w:rsidR="00504E83" w:rsidRPr="0021469E">
        <w:rPr>
          <w:sz w:val="28"/>
          <w:szCs w:val="28"/>
          <w:lang w:val="uk-UA"/>
        </w:rPr>
        <w:t>зерна</w:t>
      </w:r>
      <w:r w:rsidRPr="0021469E">
        <w:rPr>
          <w:sz w:val="28"/>
          <w:szCs w:val="28"/>
          <w:lang w:val="uk-UA"/>
        </w:rPr>
        <w:t xml:space="preserve"> </w:t>
      </w:r>
      <w:r w:rsidR="00504E83" w:rsidRPr="0021469E">
        <w:rPr>
          <w:sz w:val="28"/>
          <w:szCs w:val="28"/>
          <w:lang w:val="uk-UA"/>
        </w:rPr>
        <w:t xml:space="preserve">ячменю сорту </w:t>
      </w:r>
      <w:proofErr w:type="spellStart"/>
      <w:r w:rsidR="00504E83" w:rsidRPr="0021469E">
        <w:rPr>
          <w:sz w:val="28"/>
          <w:szCs w:val="28"/>
          <w:lang w:val="uk-UA"/>
        </w:rPr>
        <w:t>Адапт</w:t>
      </w:r>
      <w:proofErr w:type="spellEnd"/>
      <w:r w:rsidR="00504E83" w:rsidRPr="0021469E">
        <w:rPr>
          <w:sz w:val="28"/>
          <w:szCs w:val="28"/>
          <w:lang w:val="uk-UA"/>
        </w:rPr>
        <w:t xml:space="preserve"> коливався в межах від 2,66 т/га на контролі до 3,0 т/га при внесенні під культивацію </w:t>
      </w:r>
      <w:r w:rsidR="00504E83" w:rsidRPr="0021469E">
        <w:rPr>
          <w:rFonts w:eastAsia="Calibri"/>
          <w:spacing w:val="-4"/>
          <w:position w:val="2"/>
          <w:sz w:val="28"/>
          <w:szCs w:val="28"/>
          <w:lang w:val="uk-UA"/>
        </w:rPr>
        <w:t>N</w:t>
      </w:r>
      <w:r w:rsidR="00504E83" w:rsidRPr="0021469E">
        <w:rPr>
          <w:rFonts w:eastAsia="Calibri"/>
          <w:sz w:val="28"/>
          <w:szCs w:val="28"/>
          <w:vertAlign w:val="subscript"/>
          <w:lang w:val="uk-UA"/>
        </w:rPr>
        <w:t>40</w:t>
      </w:r>
      <w:r w:rsidR="00504E83" w:rsidRPr="0021469E">
        <w:rPr>
          <w:sz w:val="28"/>
          <w:szCs w:val="28"/>
          <w:lang w:val="uk-UA"/>
        </w:rPr>
        <w:t xml:space="preserve"> та проведення підживлень у фазу кущення та трубкування </w:t>
      </w:r>
      <w:r w:rsidRPr="0021469E">
        <w:rPr>
          <w:sz w:val="28"/>
          <w:szCs w:val="28"/>
          <w:lang w:val="uk-UA"/>
        </w:rPr>
        <w:t>препаратом</w:t>
      </w:r>
      <w:r w:rsidR="00504E83" w:rsidRPr="0021469E">
        <w:rPr>
          <w:sz w:val="28"/>
          <w:szCs w:val="28"/>
          <w:lang w:val="uk-UA"/>
        </w:rPr>
        <w:t xml:space="preserve"> </w:t>
      </w:r>
      <w:proofErr w:type="spellStart"/>
      <w:r w:rsidR="00504E83" w:rsidRPr="0021469E">
        <w:rPr>
          <w:sz w:val="28"/>
          <w:szCs w:val="28"/>
          <w:lang w:val="uk-UA"/>
        </w:rPr>
        <w:t>Гумат</w:t>
      </w:r>
      <w:proofErr w:type="spellEnd"/>
      <w:r w:rsidR="00504E83" w:rsidRPr="0021469E">
        <w:rPr>
          <w:sz w:val="28"/>
          <w:szCs w:val="28"/>
          <w:lang w:val="uk-UA"/>
        </w:rPr>
        <w:t xml:space="preserve"> калію АКТИВ</w:t>
      </w:r>
      <w:bookmarkEnd w:id="0"/>
      <w:r w:rsidR="0021469E" w:rsidRPr="0021469E">
        <w:rPr>
          <w:sz w:val="28"/>
          <w:szCs w:val="28"/>
          <w:lang w:val="uk-UA"/>
        </w:rPr>
        <w:t xml:space="preserve"> (0,8 л/га)</w:t>
      </w:r>
      <w:r w:rsidR="00504E83" w:rsidRPr="0021469E">
        <w:rPr>
          <w:sz w:val="28"/>
          <w:szCs w:val="28"/>
          <w:lang w:val="uk-UA"/>
        </w:rPr>
        <w:t xml:space="preserve"> (табл. 1).</w:t>
      </w:r>
    </w:p>
    <w:p w14:paraId="3667AC70" w14:textId="62CC316D" w:rsidR="006B040E" w:rsidRPr="0021469E" w:rsidRDefault="00665507" w:rsidP="006B040E">
      <w:pPr>
        <w:spacing w:line="360" w:lineRule="auto"/>
        <w:ind w:firstLine="709"/>
        <w:jc w:val="center"/>
        <w:rPr>
          <w:b/>
          <w:bCs/>
          <w:sz w:val="28"/>
          <w:szCs w:val="28"/>
        </w:rPr>
      </w:pPr>
      <w:r w:rsidRPr="0021469E">
        <w:rPr>
          <w:b/>
          <w:bCs/>
          <w:sz w:val="28"/>
          <w:szCs w:val="28"/>
        </w:rPr>
        <w:t xml:space="preserve">Таблиця 1. </w:t>
      </w:r>
      <w:r w:rsidR="006B040E" w:rsidRPr="0021469E">
        <w:rPr>
          <w:b/>
          <w:bCs/>
          <w:sz w:val="28"/>
          <w:szCs w:val="28"/>
        </w:rPr>
        <w:t>Урожайність зерна ячменю ярого сорту</w:t>
      </w:r>
      <w:r w:rsidRPr="0021469E">
        <w:rPr>
          <w:b/>
          <w:bCs/>
          <w:sz w:val="28"/>
          <w:szCs w:val="28"/>
        </w:rPr>
        <w:t xml:space="preserve"> </w:t>
      </w:r>
      <w:proofErr w:type="spellStart"/>
      <w:r w:rsidR="006B040E" w:rsidRPr="0021469E">
        <w:rPr>
          <w:b/>
          <w:bCs/>
          <w:sz w:val="28"/>
          <w:szCs w:val="28"/>
        </w:rPr>
        <w:t>Адапт</w:t>
      </w:r>
      <w:proofErr w:type="spellEnd"/>
      <w:r w:rsidR="006B040E" w:rsidRPr="0021469E">
        <w:rPr>
          <w:b/>
          <w:bCs/>
          <w:sz w:val="28"/>
          <w:szCs w:val="28"/>
        </w:rPr>
        <w:t xml:space="preserve"> залежно від системи живлення</w:t>
      </w:r>
      <w:r w:rsidRPr="0021469E">
        <w:rPr>
          <w:b/>
          <w:bCs/>
          <w:sz w:val="28"/>
          <w:szCs w:val="28"/>
        </w:rPr>
        <w:t xml:space="preserve">, т/га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21"/>
        <w:gridCol w:w="2201"/>
        <w:gridCol w:w="1259"/>
        <w:gridCol w:w="1723"/>
        <w:gridCol w:w="2024"/>
      </w:tblGrid>
      <w:tr w:rsidR="006B040E" w:rsidRPr="0021469E" w14:paraId="77CBA49D" w14:textId="77777777" w:rsidTr="006B040E">
        <w:trPr>
          <w:trHeight w:val="525"/>
        </w:trPr>
        <w:tc>
          <w:tcPr>
            <w:tcW w:w="2400" w:type="pct"/>
            <w:gridSpan w:val="2"/>
          </w:tcPr>
          <w:p w14:paraId="702AB486" w14:textId="77777777" w:rsidR="006B040E" w:rsidRPr="0021469E" w:rsidRDefault="006B040E" w:rsidP="006B040E">
            <w:pPr>
              <w:pStyle w:val="TableParagraph"/>
              <w:rPr>
                <w:rFonts w:eastAsia="Calibri"/>
                <w:sz w:val="28"/>
                <w:szCs w:val="28"/>
              </w:rPr>
            </w:pPr>
            <w:r w:rsidRPr="0021469E">
              <w:rPr>
                <w:rFonts w:eastAsia="Calibri"/>
                <w:sz w:val="28"/>
                <w:szCs w:val="28"/>
              </w:rPr>
              <w:t>Спосіб внесення</w:t>
            </w:r>
          </w:p>
        </w:tc>
        <w:tc>
          <w:tcPr>
            <w:tcW w:w="1549" w:type="pct"/>
            <w:gridSpan w:val="2"/>
          </w:tcPr>
          <w:p w14:paraId="315C6567" w14:textId="77777777" w:rsidR="006B040E" w:rsidRPr="0021469E" w:rsidRDefault="006B040E" w:rsidP="006B040E">
            <w:pPr>
              <w:pStyle w:val="TableParagraph"/>
              <w:rPr>
                <w:rFonts w:eastAsia="Calibri"/>
                <w:sz w:val="28"/>
                <w:szCs w:val="28"/>
              </w:rPr>
            </w:pPr>
            <w:r w:rsidRPr="0021469E">
              <w:rPr>
                <w:rFonts w:eastAsia="Calibri"/>
                <w:sz w:val="28"/>
                <w:szCs w:val="28"/>
              </w:rPr>
              <w:t>Урожайність зерна</w:t>
            </w:r>
          </w:p>
        </w:tc>
        <w:tc>
          <w:tcPr>
            <w:tcW w:w="1051" w:type="pct"/>
            <w:vMerge w:val="restart"/>
          </w:tcPr>
          <w:p w14:paraId="40AAE979" w14:textId="77777777" w:rsidR="006B040E" w:rsidRPr="0021469E" w:rsidRDefault="006B040E" w:rsidP="006B040E">
            <w:pPr>
              <w:pStyle w:val="TableParagraph"/>
              <w:rPr>
                <w:rFonts w:eastAsia="Calibri"/>
                <w:sz w:val="28"/>
                <w:szCs w:val="28"/>
              </w:rPr>
            </w:pPr>
            <w:r w:rsidRPr="0021469E">
              <w:rPr>
                <w:rFonts w:eastAsia="Calibri"/>
                <w:sz w:val="28"/>
                <w:szCs w:val="28"/>
              </w:rPr>
              <w:t>Прибавка від підживлення, т/га</w:t>
            </w:r>
          </w:p>
        </w:tc>
      </w:tr>
      <w:tr w:rsidR="006B040E" w:rsidRPr="0021469E" w14:paraId="771AB26A" w14:textId="77777777" w:rsidTr="006B040E">
        <w:trPr>
          <w:trHeight w:val="695"/>
        </w:trPr>
        <w:tc>
          <w:tcPr>
            <w:tcW w:w="1257" w:type="pct"/>
          </w:tcPr>
          <w:p w14:paraId="5A771D2F" w14:textId="77777777" w:rsidR="006B040E" w:rsidRPr="0021469E" w:rsidRDefault="006B040E" w:rsidP="006B040E">
            <w:pPr>
              <w:pStyle w:val="TableParagraph"/>
              <w:rPr>
                <w:rFonts w:eastAsia="Calibri"/>
                <w:sz w:val="28"/>
                <w:szCs w:val="28"/>
              </w:rPr>
            </w:pPr>
            <w:r w:rsidRPr="0021469E">
              <w:rPr>
                <w:rFonts w:eastAsia="Calibri"/>
                <w:sz w:val="28"/>
                <w:szCs w:val="28"/>
              </w:rPr>
              <w:t>передпосівна культивація</w:t>
            </w:r>
          </w:p>
        </w:tc>
        <w:tc>
          <w:tcPr>
            <w:tcW w:w="1143" w:type="pct"/>
          </w:tcPr>
          <w:p w14:paraId="26A7818C" w14:textId="77777777" w:rsidR="006B040E" w:rsidRPr="0021469E" w:rsidRDefault="006B040E" w:rsidP="006B040E">
            <w:pPr>
              <w:pStyle w:val="TableParagraph"/>
              <w:rPr>
                <w:rFonts w:eastAsia="Calibri"/>
                <w:sz w:val="28"/>
                <w:szCs w:val="28"/>
              </w:rPr>
            </w:pPr>
            <w:r w:rsidRPr="0021469E">
              <w:rPr>
                <w:rFonts w:eastAsia="Calibri"/>
                <w:sz w:val="28"/>
                <w:szCs w:val="28"/>
              </w:rPr>
              <w:t>підживлення</w:t>
            </w:r>
          </w:p>
        </w:tc>
        <w:tc>
          <w:tcPr>
            <w:tcW w:w="654" w:type="pct"/>
          </w:tcPr>
          <w:p w14:paraId="032199CD" w14:textId="77777777" w:rsidR="006B040E" w:rsidRPr="0021469E" w:rsidRDefault="006B040E" w:rsidP="006B040E">
            <w:pPr>
              <w:pStyle w:val="TableParagraph"/>
              <w:rPr>
                <w:rFonts w:eastAsia="Calibri"/>
                <w:sz w:val="28"/>
                <w:szCs w:val="28"/>
              </w:rPr>
            </w:pPr>
            <w:r w:rsidRPr="0021469E">
              <w:rPr>
                <w:rFonts w:eastAsia="Calibri"/>
                <w:sz w:val="28"/>
                <w:szCs w:val="28"/>
              </w:rPr>
              <w:t>т/га</w:t>
            </w:r>
          </w:p>
        </w:tc>
        <w:tc>
          <w:tcPr>
            <w:tcW w:w="895" w:type="pct"/>
          </w:tcPr>
          <w:p w14:paraId="3B15FAF4" w14:textId="77777777" w:rsidR="006B040E" w:rsidRPr="0021469E" w:rsidRDefault="006B040E" w:rsidP="006B040E">
            <w:pPr>
              <w:pStyle w:val="TableParagraph"/>
              <w:rPr>
                <w:rFonts w:eastAsia="Calibri"/>
                <w:sz w:val="28"/>
                <w:szCs w:val="28"/>
              </w:rPr>
            </w:pPr>
            <w:r w:rsidRPr="0021469E">
              <w:rPr>
                <w:rFonts w:eastAsia="Calibri"/>
                <w:sz w:val="28"/>
                <w:szCs w:val="28"/>
              </w:rPr>
              <w:t>±</w:t>
            </w:r>
          </w:p>
        </w:tc>
        <w:tc>
          <w:tcPr>
            <w:tcW w:w="1051" w:type="pct"/>
            <w:vMerge/>
          </w:tcPr>
          <w:p w14:paraId="5549464C" w14:textId="77777777" w:rsidR="006B040E" w:rsidRPr="0021469E" w:rsidRDefault="006B040E" w:rsidP="006B040E">
            <w:pPr>
              <w:pStyle w:val="TableParagraph"/>
              <w:rPr>
                <w:rFonts w:eastAsia="Calibri"/>
                <w:sz w:val="28"/>
                <w:szCs w:val="28"/>
              </w:rPr>
            </w:pPr>
          </w:p>
        </w:tc>
      </w:tr>
      <w:tr w:rsidR="006B040E" w:rsidRPr="0021469E" w14:paraId="6CA4DC35" w14:textId="77777777" w:rsidTr="00B9293F">
        <w:trPr>
          <w:trHeight w:val="370"/>
        </w:trPr>
        <w:tc>
          <w:tcPr>
            <w:tcW w:w="1257" w:type="pct"/>
          </w:tcPr>
          <w:p w14:paraId="563B806C" w14:textId="77777777" w:rsidR="006B040E" w:rsidRPr="0021469E" w:rsidRDefault="006B040E" w:rsidP="006B040E">
            <w:pPr>
              <w:jc w:val="center"/>
              <w:rPr>
                <w:sz w:val="28"/>
                <w:szCs w:val="28"/>
              </w:rPr>
            </w:pPr>
            <w:r w:rsidRPr="0021469E">
              <w:rPr>
                <w:sz w:val="28"/>
                <w:szCs w:val="28"/>
              </w:rPr>
              <w:t>Без добрив</w:t>
            </w:r>
          </w:p>
        </w:tc>
        <w:tc>
          <w:tcPr>
            <w:tcW w:w="1143" w:type="pct"/>
          </w:tcPr>
          <w:p w14:paraId="43BA8913" w14:textId="77777777" w:rsidR="006B040E" w:rsidRPr="0021469E" w:rsidRDefault="006B040E" w:rsidP="006B040E">
            <w:pPr>
              <w:jc w:val="center"/>
              <w:rPr>
                <w:sz w:val="28"/>
                <w:szCs w:val="28"/>
              </w:rPr>
            </w:pPr>
          </w:p>
        </w:tc>
        <w:tc>
          <w:tcPr>
            <w:tcW w:w="654" w:type="pct"/>
            <w:vAlign w:val="center"/>
          </w:tcPr>
          <w:p w14:paraId="66296F92" w14:textId="77777777" w:rsidR="006B040E" w:rsidRPr="0021469E" w:rsidRDefault="006B040E" w:rsidP="006B040E">
            <w:pPr>
              <w:jc w:val="center"/>
              <w:rPr>
                <w:sz w:val="28"/>
                <w:szCs w:val="28"/>
              </w:rPr>
            </w:pPr>
            <w:r w:rsidRPr="0021469E">
              <w:rPr>
                <w:sz w:val="28"/>
                <w:szCs w:val="28"/>
              </w:rPr>
              <w:t>2,66</w:t>
            </w:r>
          </w:p>
        </w:tc>
        <w:tc>
          <w:tcPr>
            <w:tcW w:w="895" w:type="pct"/>
            <w:vAlign w:val="center"/>
          </w:tcPr>
          <w:p w14:paraId="5EAA33CA" w14:textId="77777777" w:rsidR="006B040E" w:rsidRPr="0021469E" w:rsidRDefault="006B040E" w:rsidP="006B040E">
            <w:pPr>
              <w:jc w:val="center"/>
              <w:rPr>
                <w:sz w:val="28"/>
                <w:szCs w:val="28"/>
              </w:rPr>
            </w:pPr>
            <w:r w:rsidRPr="0021469E">
              <w:rPr>
                <w:sz w:val="28"/>
                <w:szCs w:val="28"/>
              </w:rPr>
              <w:t> </w:t>
            </w:r>
          </w:p>
        </w:tc>
        <w:tc>
          <w:tcPr>
            <w:tcW w:w="1051" w:type="pct"/>
            <w:vAlign w:val="center"/>
          </w:tcPr>
          <w:p w14:paraId="4291C0F9" w14:textId="77777777" w:rsidR="006B040E" w:rsidRPr="0021469E" w:rsidRDefault="006B040E" w:rsidP="006B040E">
            <w:pPr>
              <w:jc w:val="center"/>
              <w:rPr>
                <w:sz w:val="28"/>
                <w:szCs w:val="28"/>
              </w:rPr>
            </w:pPr>
          </w:p>
        </w:tc>
      </w:tr>
      <w:tr w:rsidR="006B040E" w:rsidRPr="0021469E" w14:paraId="39CC3B5E" w14:textId="77777777" w:rsidTr="00B9293F">
        <w:trPr>
          <w:trHeight w:val="309"/>
        </w:trPr>
        <w:tc>
          <w:tcPr>
            <w:tcW w:w="1257" w:type="pct"/>
          </w:tcPr>
          <w:p w14:paraId="0BA0CF99" w14:textId="77777777" w:rsidR="006B040E" w:rsidRPr="0021469E" w:rsidRDefault="006B040E" w:rsidP="006B040E">
            <w:pPr>
              <w:jc w:val="center"/>
              <w:rPr>
                <w:sz w:val="28"/>
                <w:szCs w:val="28"/>
              </w:rPr>
            </w:pPr>
            <w:r w:rsidRPr="0021469E">
              <w:rPr>
                <w:sz w:val="28"/>
                <w:szCs w:val="28"/>
              </w:rPr>
              <w:t>Без добрив</w:t>
            </w:r>
          </w:p>
        </w:tc>
        <w:tc>
          <w:tcPr>
            <w:tcW w:w="1143" w:type="pct"/>
          </w:tcPr>
          <w:p w14:paraId="3348DB41" w14:textId="77777777" w:rsidR="006B040E" w:rsidRPr="0021469E" w:rsidRDefault="006B040E" w:rsidP="006B040E">
            <w:pPr>
              <w:jc w:val="center"/>
              <w:rPr>
                <w:sz w:val="28"/>
                <w:szCs w:val="28"/>
              </w:rPr>
            </w:pPr>
            <w:r w:rsidRPr="0021469E">
              <w:rPr>
                <w:rFonts w:eastAsia="Calibri"/>
                <w:spacing w:val="-4"/>
                <w:position w:val="2"/>
                <w:sz w:val="28"/>
                <w:szCs w:val="28"/>
              </w:rPr>
              <w:t>N</w:t>
            </w:r>
            <w:r w:rsidRPr="0021469E">
              <w:rPr>
                <w:rFonts w:eastAsia="Calibri"/>
                <w:sz w:val="28"/>
                <w:szCs w:val="28"/>
                <w:vertAlign w:val="subscript"/>
              </w:rPr>
              <w:t>10</w:t>
            </w:r>
          </w:p>
        </w:tc>
        <w:tc>
          <w:tcPr>
            <w:tcW w:w="654" w:type="pct"/>
            <w:vAlign w:val="center"/>
          </w:tcPr>
          <w:p w14:paraId="0D1008B6" w14:textId="77777777" w:rsidR="006B040E" w:rsidRPr="0021469E" w:rsidRDefault="006B040E" w:rsidP="006B040E">
            <w:pPr>
              <w:jc w:val="center"/>
              <w:rPr>
                <w:sz w:val="28"/>
                <w:szCs w:val="28"/>
              </w:rPr>
            </w:pPr>
            <w:r w:rsidRPr="0021469E">
              <w:rPr>
                <w:sz w:val="28"/>
                <w:szCs w:val="28"/>
              </w:rPr>
              <w:t>2,72</w:t>
            </w:r>
          </w:p>
        </w:tc>
        <w:tc>
          <w:tcPr>
            <w:tcW w:w="895" w:type="pct"/>
            <w:vAlign w:val="center"/>
          </w:tcPr>
          <w:p w14:paraId="3B2AD528" w14:textId="77777777" w:rsidR="006B040E" w:rsidRPr="0021469E" w:rsidRDefault="006B040E" w:rsidP="006B040E">
            <w:pPr>
              <w:jc w:val="center"/>
              <w:rPr>
                <w:sz w:val="28"/>
                <w:szCs w:val="28"/>
              </w:rPr>
            </w:pPr>
            <w:r w:rsidRPr="0021469E">
              <w:rPr>
                <w:sz w:val="28"/>
                <w:szCs w:val="28"/>
              </w:rPr>
              <w:t>0,06</w:t>
            </w:r>
          </w:p>
        </w:tc>
        <w:tc>
          <w:tcPr>
            <w:tcW w:w="1051" w:type="pct"/>
            <w:vAlign w:val="center"/>
          </w:tcPr>
          <w:p w14:paraId="75402B5B" w14:textId="77777777" w:rsidR="006B040E" w:rsidRPr="0021469E" w:rsidRDefault="006B040E" w:rsidP="006B040E">
            <w:pPr>
              <w:jc w:val="center"/>
              <w:rPr>
                <w:sz w:val="28"/>
                <w:szCs w:val="28"/>
              </w:rPr>
            </w:pPr>
            <w:r w:rsidRPr="0021469E">
              <w:rPr>
                <w:sz w:val="28"/>
                <w:szCs w:val="28"/>
              </w:rPr>
              <w:t>0,06</w:t>
            </w:r>
          </w:p>
        </w:tc>
      </w:tr>
      <w:tr w:rsidR="006B040E" w:rsidRPr="0021469E" w14:paraId="2AF4C5E4" w14:textId="77777777" w:rsidTr="00B9293F">
        <w:trPr>
          <w:trHeight w:val="311"/>
        </w:trPr>
        <w:tc>
          <w:tcPr>
            <w:tcW w:w="1257" w:type="pct"/>
          </w:tcPr>
          <w:p w14:paraId="6B0E61FB" w14:textId="77777777" w:rsidR="006B040E" w:rsidRPr="0021469E" w:rsidRDefault="006B040E" w:rsidP="006B040E">
            <w:pPr>
              <w:jc w:val="center"/>
              <w:rPr>
                <w:sz w:val="28"/>
                <w:szCs w:val="28"/>
              </w:rPr>
            </w:pPr>
            <w:r w:rsidRPr="0021469E">
              <w:rPr>
                <w:rFonts w:eastAsia="Calibri"/>
                <w:spacing w:val="-4"/>
                <w:position w:val="2"/>
                <w:sz w:val="28"/>
                <w:szCs w:val="28"/>
              </w:rPr>
              <w:t>N</w:t>
            </w:r>
            <w:r w:rsidRPr="0021469E">
              <w:rPr>
                <w:rFonts w:eastAsia="Calibri"/>
                <w:sz w:val="28"/>
                <w:szCs w:val="28"/>
                <w:vertAlign w:val="subscript"/>
              </w:rPr>
              <w:t>40</w:t>
            </w:r>
          </w:p>
        </w:tc>
        <w:tc>
          <w:tcPr>
            <w:tcW w:w="1143" w:type="pct"/>
          </w:tcPr>
          <w:p w14:paraId="21D1DC69" w14:textId="77777777" w:rsidR="006B040E" w:rsidRPr="0021469E" w:rsidRDefault="006B040E" w:rsidP="006B040E">
            <w:pPr>
              <w:jc w:val="center"/>
              <w:rPr>
                <w:sz w:val="28"/>
                <w:szCs w:val="28"/>
              </w:rPr>
            </w:pPr>
          </w:p>
        </w:tc>
        <w:tc>
          <w:tcPr>
            <w:tcW w:w="654" w:type="pct"/>
            <w:vAlign w:val="center"/>
          </w:tcPr>
          <w:p w14:paraId="0B01764C" w14:textId="77777777" w:rsidR="006B040E" w:rsidRPr="0021469E" w:rsidRDefault="006B040E" w:rsidP="006B040E">
            <w:pPr>
              <w:jc w:val="center"/>
              <w:rPr>
                <w:sz w:val="28"/>
                <w:szCs w:val="28"/>
              </w:rPr>
            </w:pPr>
            <w:r w:rsidRPr="0021469E">
              <w:rPr>
                <w:sz w:val="28"/>
                <w:szCs w:val="28"/>
              </w:rPr>
              <w:t>2,88</w:t>
            </w:r>
          </w:p>
        </w:tc>
        <w:tc>
          <w:tcPr>
            <w:tcW w:w="895" w:type="pct"/>
            <w:vAlign w:val="center"/>
          </w:tcPr>
          <w:p w14:paraId="52240665" w14:textId="77777777" w:rsidR="006B040E" w:rsidRPr="0021469E" w:rsidRDefault="006B040E" w:rsidP="006B040E">
            <w:pPr>
              <w:jc w:val="center"/>
              <w:rPr>
                <w:sz w:val="28"/>
                <w:szCs w:val="28"/>
              </w:rPr>
            </w:pPr>
            <w:r w:rsidRPr="0021469E">
              <w:rPr>
                <w:sz w:val="28"/>
                <w:szCs w:val="28"/>
              </w:rPr>
              <w:t>0,22</w:t>
            </w:r>
          </w:p>
        </w:tc>
        <w:tc>
          <w:tcPr>
            <w:tcW w:w="1051" w:type="pct"/>
            <w:vAlign w:val="center"/>
          </w:tcPr>
          <w:p w14:paraId="4B1620CA" w14:textId="77777777" w:rsidR="006B040E" w:rsidRPr="0021469E" w:rsidRDefault="006B040E" w:rsidP="006B040E">
            <w:pPr>
              <w:jc w:val="center"/>
              <w:rPr>
                <w:sz w:val="28"/>
                <w:szCs w:val="28"/>
              </w:rPr>
            </w:pPr>
          </w:p>
        </w:tc>
      </w:tr>
      <w:tr w:rsidR="006B040E" w:rsidRPr="0021469E" w14:paraId="47EBD28F" w14:textId="77777777" w:rsidTr="00B9293F">
        <w:trPr>
          <w:trHeight w:val="309"/>
        </w:trPr>
        <w:tc>
          <w:tcPr>
            <w:tcW w:w="1257" w:type="pct"/>
          </w:tcPr>
          <w:p w14:paraId="0B5893DF" w14:textId="77777777" w:rsidR="006B040E" w:rsidRPr="0021469E" w:rsidRDefault="006B040E" w:rsidP="006B040E">
            <w:pPr>
              <w:jc w:val="center"/>
              <w:rPr>
                <w:sz w:val="28"/>
                <w:szCs w:val="28"/>
              </w:rPr>
            </w:pPr>
            <w:r w:rsidRPr="0021469E">
              <w:rPr>
                <w:rFonts w:eastAsia="Calibri"/>
                <w:spacing w:val="-4"/>
                <w:position w:val="2"/>
                <w:sz w:val="28"/>
                <w:szCs w:val="28"/>
              </w:rPr>
              <w:t>N</w:t>
            </w:r>
            <w:r w:rsidRPr="0021469E">
              <w:rPr>
                <w:rFonts w:eastAsia="Calibri"/>
                <w:sz w:val="28"/>
                <w:szCs w:val="28"/>
                <w:vertAlign w:val="subscript"/>
              </w:rPr>
              <w:t>40</w:t>
            </w:r>
          </w:p>
        </w:tc>
        <w:tc>
          <w:tcPr>
            <w:tcW w:w="1143" w:type="pct"/>
          </w:tcPr>
          <w:p w14:paraId="602D95E5" w14:textId="77777777" w:rsidR="006B040E" w:rsidRPr="0021469E" w:rsidRDefault="006B040E" w:rsidP="006B040E">
            <w:pPr>
              <w:jc w:val="center"/>
              <w:rPr>
                <w:sz w:val="28"/>
                <w:szCs w:val="28"/>
              </w:rPr>
            </w:pPr>
            <w:r w:rsidRPr="0021469E">
              <w:rPr>
                <w:rFonts w:eastAsia="Calibri"/>
                <w:spacing w:val="-4"/>
                <w:position w:val="2"/>
                <w:sz w:val="28"/>
                <w:szCs w:val="28"/>
              </w:rPr>
              <w:t>N</w:t>
            </w:r>
            <w:r w:rsidRPr="0021469E">
              <w:rPr>
                <w:rFonts w:eastAsia="Calibri"/>
                <w:sz w:val="28"/>
                <w:szCs w:val="28"/>
                <w:vertAlign w:val="subscript"/>
              </w:rPr>
              <w:t>10</w:t>
            </w:r>
          </w:p>
        </w:tc>
        <w:tc>
          <w:tcPr>
            <w:tcW w:w="654" w:type="pct"/>
            <w:vAlign w:val="center"/>
          </w:tcPr>
          <w:p w14:paraId="4FDC61C2" w14:textId="77777777" w:rsidR="006B040E" w:rsidRPr="0021469E" w:rsidRDefault="006B040E" w:rsidP="006B040E">
            <w:pPr>
              <w:jc w:val="center"/>
              <w:rPr>
                <w:sz w:val="28"/>
                <w:szCs w:val="28"/>
              </w:rPr>
            </w:pPr>
            <w:r w:rsidRPr="0021469E">
              <w:rPr>
                <w:sz w:val="28"/>
                <w:szCs w:val="28"/>
              </w:rPr>
              <w:t>2,91</w:t>
            </w:r>
          </w:p>
        </w:tc>
        <w:tc>
          <w:tcPr>
            <w:tcW w:w="895" w:type="pct"/>
            <w:vAlign w:val="center"/>
          </w:tcPr>
          <w:p w14:paraId="549F3B13" w14:textId="77777777" w:rsidR="006B040E" w:rsidRPr="0021469E" w:rsidRDefault="006B040E" w:rsidP="006B040E">
            <w:pPr>
              <w:jc w:val="center"/>
              <w:rPr>
                <w:sz w:val="28"/>
                <w:szCs w:val="28"/>
              </w:rPr>
            </w:pPr>
            <w:r w:rsidRPr="0021469E">
              <w:rPr>
                <w:sz w:val="28"/>
                <w:szCs w:val="28"/>
              </w:rPr>
              <w:t>0,25</w:t>
            </w:r>
          </w:p>
        </w:tc>
        <w:tc>
          <w:tcPr>
            <w:tcW w:w="1051" w:type="pct"/>
            <w:vAlign w:val="center"/>
          </w:tcPr>
          <w:p w14:paraId="7BAA1B72" w14:textId="77777777" w:rsidR="006B040E" w:rsidRPr="0021469E" w:rsidRDefault="006B040E" w:rsidP="006B040E">
            <w:pPr>
              <w:jc w:val="center"/>
              <w:rPr>
                <w:sz w:val="28"/>
                <w:szCs w:val="28"/>
              </w:rPr>
            </w:pPr>
            <w:r w:rsidRPr="0021469E">
              <w:rPr>
                <w:sz w:val="28"/>
                <w:szCs w:val="28"/>
              </w:rPr>
              <w:t>0,03</w:t>
            </w:r>
          </w:p>
        </w:tc>
      </w:tr>
      <w:tr w:rsidR="006B040E" w:rsidRPr="0021469E" w14:paraId="3BF65C44" w14:textId="77777777" w:rsidTr="00B9293F">
        <w:trPr>
          <w:trHeight w:val="311"/>
        </w:trPr>
        <w:tc>
          <w:tcPr>
            <w:tcW w:w="1257" w:type="pct"/>
          </w:tcPr>
          <w:p w14:paraId="3CF99263" w14:textId="77777777" w:rsidR="006B040E" w:rsidRPr="0021469E" w:rsidRDefault="006B040E" w:rsidP="006B040E">
            <w:pPr>
              <w:jc w:val="center"/>
              <w:rPr>
                <w:sz w:val="28"/>
                <w:szCs w:val="28"/>
              </w:rPr>
            </w:pPr>
            <w:r w:rsidRPr="0021469E">
              <w:rPr>
                <w:rFonts w:eastAsia="Calibri"/>
                <w:spacing w:val="-4"/>
                <w:position w:val="2"/>
                <w:sz w:val="28"/>
                <w:szCs w:val="28"/>
              </w:rPr>
              <w:t>N</w:t>
            </w:r>
            <w:r w:rsidRPr="0021469E">
              <w:rPr>
                <w:rFonts w:eastAsia="Calibri"/>
                <w:sz w:val="28"/>
                <w:szCs w:val="28"/>
                <w:vertAlign w:val="subscript"/>
              </w:rPr>
              <w:t>40</w:t>
            </w:r>
          </w:p>
        </w:tc>
        <w:tc>
          <w:tcPr>
            <w:tcW w:w="1143" w:type="pct"/>
          </w:tcPr>
          <w:p w14:paraId="4D71C305" w14:textId="77777777" w:rsidR="006B040E" w:rsidRPr="0021469E" w:rsidRDefault="006B040E" w:rsidP="006B040E">
            <w:pPr>
              <w:jc w:val="center"/>
              <w:rPr>
                <w:sz w:val="28"/>
                <w:szCs w:val="28"/>
              </w:rPr>
            </w:pPr>
            <w:proofErr w:type="spellStart"/>
            <w:r w:rsidRPr="0021469E">
              <w:rPr>
                <w:sz w:val="28"/>
                <w:szCs w:val="28"/>
              </w:rPr>
              <w:t>Гумат</w:t>
            </w:r>
            <w:proofErr w:type="spellEnd"/>
            <w:r w:rsidRPr="0021469E">
              <w:rPr>
                <w:sz w:val="28"/>
                <w:szCs w:val="28"/>
              </w:rPr>
              <w:t xml:space="preserve"> калію АКТИВ</w:t>
            </w:r>
          </w:p>
        </w:tc>
        <w:tc>
          <w:tcPr>
            <w:tcW w:w="654" w:type="pct"/>
            <w:vAlign w:val="center"/>
          </w:tcPr>
          <w:p w14:paraId="2053759A" w14:textId="77777777" w:rsidR="006B040E" w:rsidRPr="0021469E" w:rsidRDefault="006B040E" w:rsidP="006B040E">
            <w:pPr>
              <w:jc w:val="center"/>
              <w:rPr>
                <w:sz w:val="28"/>
                <w:szCs w:val="28"/>
              </w:rPr>
            </w:pPr>
            <w:r w:rsidRPr="0021469E">
              <w:rPr>
                <w:sz w:val="28"/>
                <w:szCs w:val="28"/>
              </w:rPr>
              <w:t>2,89</w:t>
            </w:r>
          </w:p>
        </w:tc>
        <w:tc>
          <w:tcPr>
            <w:tcW w:w="895" w:type="pct"/>
            <w:vAlign w:val="center"/>
          </w:tcPr>
          <w:p w14:paraId="3CD3662B" w14:textId="77777777" w:rsidR="006B040E" w:rsidRPr="0021469E" w:rsidRDefault="006B040E" w:rsidP="006B040E">
            <w:pPr>
              <w:jc w:val="center"/>
              <w:rPr>
                <w:sz w:val="28"/>
                <w:szCs w:val="28"/>
              </w:rPr>
            </w:pPr>
            <w:r w:rsidRPr="0021469E">
              <w:rPr>
                <w:sz w:val="28"/>
                <w:szCs w:val="28"/>
              </w:rPr>
              <w:t>0,23</w:t>
            </w:r>
          </w:p>
        </w:tc>
        <w:tc>
          <w:tcPr>
            <w:tcW w:w="1051" w:type="pct"/>
            <w:vAlign w:val="center"/>
          </w:tcPr>
          <w:p w14:paraId="15035591" w14:textId="77777777" w:rsidR="006B040E" w:rsidRPr="0021469E" w:rsidRDefault="006B040E" w:rsidP="006B040E">
            <w:pPr>
              <w:jc w:val="center"/>
              <w:rPr>
                <w:sz w:val="28"/>
                <w:szCs w:val="28"/>
              </w:rPr>
            </w:pPr>
            <w:r w:rsidRPr="0021469E">
              <w:rPr>
                <w:sz w:val="28"/>
                <w:szCs w:val="28"/>
              </w:rPr>
              <w:t>0,01</w:t>
            </w:r>
          </w:p>
        </w:tc>
      </w:tr>
      <w:tr w:rsidR="006B040E" w:rsidRPr="0021469E" w14:paraId="6D153A6C" w14:textId="77777777" w:rsidTr="00B9293F">
        <w:trPr>
          <w:trHeight w:val="309"/>
        </w:trPr>
        <w:tc>
          <w:tcPr>
            <w:tcW w:w="1257" w:type="pct"/>
          </w:tcPr>
          <w:p w14:paraId="753E6634" w14:textId="77777777" w:rsidR="006B040E" w:rsidRPr="0021469E" w:rsidRDefault="006B040E" w:rsidP="006B040E">
            <w:pPr>
              <w:jc w:val="center"/>
              <w:rPr>
                <w:sz w:val="28"/>
                <w:szCs w:val="28"/>
              </w:rPr>
            </w:pPr>
            <w:r w:rsidRPr="0021469E">
              <w:rPr>
                <w:rFonts w:eastAsia="Calibri"/>
                <w:spacing w:val="-4"/>
                <w:position w:val="2"/>
                <w:sz w:val="28"/>
                <w:szCs w:val="28"/>
              </w:rPr>
              <w:t>N</w:t>
            </w:r>
            <w:r w:rsidRPr="0021469E">
              <w:rPr>
                <w:rFonts w:eastAsia="Calibri"/>
                <w:sz w:val="28"/>
                <w:szCs w:val="28"/>
                <w:vertAlign w:val="subscript"/>
              </w:rPr>
              <w:t>40</w:t>
            </w:r>
          </w:p>
        </w:tc>
        <w:tc>
          <w:tcPr>
            <w:tcW w:w="1143" w:type="pct"/>
          </w:tcPr>
          <w:p w14:paraId="75E3E05C" w14:textId="77777777" w:rsidR="006B040E" w:rsidRPr="0021469E" w:rsidRDefault="006B040E" w:rsidP="006B040E">
            <w:pPr>
              <w:jc w:val="center"/>
              <w:rPr>
                <w:sz w:val="28"/>
                <w:szCs w:val="28"/>
              </w:rPr>
            </w:pPr>
            <w:proofErr w:type="spellStart"/>
            <w:r w:rsidRPr="0021469E">
              <w:rPr>
                <w:sz w:val="28"/>
                <w:szCs w:val="28"/>
              </w:rPr>
              <w:t>Гумат</w:t>
            </w:r>
            <w:proofErr w:type="spellEnd"/>
            <w:r w:rsidRPr="0021469E">
              <w:rPr>
                <w:sz w:val="28"/>
                <w:szCs w:val="28"/>
              </w:rPr>
              <w:t xml:space="preserve"> калію АКТИВ</w:t>
            </w:r>
          </w:p>
          <w:p w14:paraId="422312D9" w14:textId="77777777" w:rsidR="006B040E" w:rsidRPr="0021469E" w:rsidRDefault="006B040E" w:rsidP="006B040E">
            <w:pPr>
              <w:jc w:val="center"/>
              <w:rPr>
                <w:sz w:val="28"/>
                <w:szCs w:val="28"/>
              </w:rPr>
            </w:pPr>
            <w:r w:rsidRPr="0021469E">
              <w:rPr>
                <w:sz w:val="28"/>
                <w:szCs w:val="28"/>
              </w:rPr>
              <w:t xml:space="preserve">+ </w:t>
            </w:r>
            <w:proofErr w:type="spellStart"/>
            <w:r w:rsidRPr="0021469E">
              <w:rPr>
                <w:sz w:val="28"/>
                <w:szCs w:val="28"/>
              </w:rPr>
              <w:t>Гумат</w:t>
            </w:r>
            <w:proofErr w:type="spellEnd"/>
            <w:r w:rsidRPr="0021469E">
              <w:rPr>
                <w:sz w:val="28"/>
                <w:szCs w:val="28"/>
              </w:rPr>
              <w:t xml:space="preserve"> калію АКТИВ</w:t>
            </w:r>
          </w:p>
        </w:tc>
        <w:tc>
          <w:tcPr>
            <w:tcW w:w="654" w:type="pct"/>
          </w:tcPr>
          <w:p w14:paraId="5696D830" w14:textId="77777777" w:rsidR="006B040E" w:rsidRPr="0021469E" w:rsidRDefault="006B040E" w:rsidP="006B040E">
            <w:pPr>
              <w:jc w:val="center"/>
              <w:rPr>
                <w:sz w:val="28"/>
                <w:szCs w:val="28"/>
              </w:rPr>
            </w:pPr>
            <w:r w:rsidRPr="0021469E">
              <w:rPr>
                <w:sz w:val="28"/>
                <w:szCs w:val="28"/>
              </w:rPr>
              <w:t>3,00</w:t>
            </w:r>
          </w:p>
        </w:tc>
        <w:tc>
          <w:tcPr>
            <w:tcW w:w="895" w:type="pct"/>
          </w:tcPr>
          <w:p w14:paraId="73F07C9B" w14:textId="77777777" w:rsidR="006B040E" w:rsidRPr="0021469E" w:rsidRDefault="006B040E" w:rsidP="006B040E">
            <w:pPr>
              <w:jc w:val="center"/>
              <w:rPr>
                <w:sz w:val="28"/>
                <w:szCs w:val="28"/>
              </w:rPr>
            </w:pPr>
            <w:r w:rsidRPr="0021469E">
              <w:rPr>
                <w:sz w:val="28"/>
                <w:szCs w:val="28"/>
              </w:rPr>
              <w:t>0,34</w:t>
            </w:r>
          </w:p>
        </w:tc>
        <w:tc>
          <w:tcPr>
            <w:tcW w:w="1051" w:type="pct"/>
          </w:tcPr>
          <w:p w14:paraId="6BE937F9" w14:textId="77777777" w:rsidR="006B040E" w:rsidRPr="0021469E" w:rsidRDefault="006B040E" w:rsidP="006B040E">
            <w:pPr>
              <w:jc w:val="center"/>
              <w:rPr>
                <w:sz w:val="28"/>
                <w:szCs w:val="28"/>
              </w:rPr>
            </w:pPr>
            <w:r w:rsidRPr="0021469E">
              <w:rPr>
                <w:sz w:val="28"/>
                <w:szCs w:val="28"/>
              </w:rPr>
              <w:t>0,02</w:t>
            </w:r>
          </w:p>
        </w:tc>
      </w:tr>
      <w:tr w:rsidR="006B040E" w:rsidRPr="0021469E" w14:paraId="518E278D" w14:textId="77777777" w:rsidTr="00B9293F">
        <w:trPr>
          <w:trHeight w:val="309"/>
        </w:trPr>
        <w:tc>
          <w:tcPr>
            <w:tcW w:w="1257" w:type="pct"/>
          </w:tcPr>
          <w:p w14:paraId="626F41E2" w14:textId="77777777" w:rsidR="006B040E" w:rsidRPr="0021469E" w:rsidRDefault="006B040E" w:rsidP="006B040E">
            <w:pPr>
              <w:jc w:val="center"/>
              <w:rPr>
                <w:rFonts w:eastAsia="Calibri"/>
                <w:spacing w:val="-4"/>
                <w:position w:val="2"/>
                <w:sz w:val="28"/>
                <w:szCs w:val="28"/>
              </w:rPr>
            </w:pPr>
            <w:r w:rsidRPr="0021469E">
              <w:rPr>
                <w:rFonts w:eastAsia="Calibri"/>
                <w:spacing w:val="-4"/>
                <w:position w:val="2"/>
                <w:sz w:val="28"/>
                <w:szCs w:val="28"/>
              </w:rPr>
              <w:t>НІР05=</w:t>
            </w:r>
          </w:p>
        </w:tc>
        <w:tc>
          <w:tcPr>
            <w:tcW w:w="1143" w:type="pct"/>
          </w:tcPr>
          <w:p w14:paraId="613F76A8" w14:textId="77777777" w:rsidR="006B040E" w:rsidRPr="0021469E" w:rsidRDefault="006B040E" w:rsidP="006B040E">
            <w:pPr>
              <w:jc w:val="center"/>
              <w:rPr>
                <w:sz w:val="28"/>
                <w:szCs w:val="28"/>
              </w:rPr>
            </w:pPr>
          </w:p>
        </w:tc>
        <w:tc>
          <w:tcPr>
            <w:tcW w:w="654" w:type="pct"/>
            <w:vAlign w:val="center"/>
          </w:tcPr>
          <w:p w14:paraId="5AB7F906" w14:textId="77777777" w:rsidR="006B040E" w:rsidRPr="0021469E" w:rsidRDefault="006B040E" w:rsidP="006B040E">
            <w:pPr>
              <w:jc w:val="center"/>
              <w:rPr>
                <w:sz w:val="28"/>
                <w:szCs w:val="28"/>
              </w:rPr>
            </w:pPr>
          </w:p>
        </w:tc>
        <w:tc>
          <w:tcPr>
            <w:tcW w:w="1946" w:type="pct"/>
            <w:gridSpan w:val="2"/>
            <w:vAlign w:val="center"/>
          </w:tcPr>
          <w:p w14:paraId="5ED94DE5" w14:textId="77777777" w:rsidR="006B040E" w:rsidRPr="0021469E" w:rsidRDefault="006B040E" w:rsidP="006B040E">
            <w:pPr>
              <w:jc w:val="center"/>
              <w:rPr>
                <w:sz w:val="28"/>
                <w:szCs w:val="28"/>
              </w:rPr>
            </w:pPr>
            <w:r w:rsidRPr="0021469E">
              <w:rPr>
                <w:rFonts w:eastAsia="Calibri"/>
                <w:spacing w:val="-4"/>
                <w:position w:val="2"/>
                <w:sz w:val="28"/>
                <w:szCs w:val="28"/>
              </w:rPr>
              <w:t>0,06 т/га</w:t>
            </w:r>
          </w:p>
        </w:tc>
      </w:tr>
    </w:tbl>
    <w:p w14:paraId="0E6109CF" w14:textId="304CF201" w:rsidR="0038491C" w:rsidRPr="0021469E" w:rsidRDefault="0038491C" w:rsidP="00677045">
      <w:pPr>
        <w:spacing w:line="360" w:lineRule="auto"/>
        <w:jc w:val="both"/>
        <w:rPr>
          <w:sz w:val="28"/>
          <w:szCs w:val="28"/>
        </w:rPr>
      </w:pPr>
    </w:p>
    <w:p w14:paraId="66B9EEF4" w14:textId="293A5FFA" w:rsidR="00505E12" w:rsidRDefault="00665507" w:rsidP="0021469E">
      <w:pPr>
        <w:spacing w:line="360" w:lineRule="auto"/>
        <w:ind w:firstLine="709"/>
        <w:jc w:val="both"/>
        <w:rPr>
          <w:sz w:val="28"/>
          <w:szCs w:val="28"/>
        </w:rPr>
      </w:pPr>
      <w:bookmarkStart w:id="1" w:name="_Hlk184557103"/>
      <w:r w:rsidRPr="0021469E">
        <w:rPr>
          <w:sz w:val="28"/>
          <w:szCs w:val="28"/>
        </w:rPr>
        <w:t xml:space="preserve">За рахунок підживлення у фазу кущення азотом </w:t>
      </w:r>
      <w:r w:rsidRPr="0021469E">
        <w:rPr>
          <w:rFonts w:eastAsia="Calibri"/>
          <w:spacing w:val="-4"/>
          <w:position w:val="2"/>
          <w:sz w:val="28"/>
          <w:szCs w:val="28"/>
        </w:rPr>
        <w:t>N</w:t>
      </w:r>
      <w:r w:rsidRPr="0021469E">
        <w:rPr>
          <w:rFonts w:eastAsia="Calibri"/>
          <w:sz w:val="28"/>
          <w:szCs w:val="28"/>
          <w:vertAlign w:val="subscript"/>
        </w:rPr>
        <w:t>10</w:t>
      </w:r>
      <w:r w:rsidRPr="0021469E">
        <w:rPr>
          <w:sz w:val="28"/>
          <w:szCs w:val="28"/>
        </w:rPr>
        <w:t xml:space="preserve"> урожайність зерна зростала на 0,06 т/га</w:t>
      </w:r>
      <w:r w:rsidR="0021469E" w:rsidRPr="0021469E">
        <w:rPr>
          <w:sz w:val="28"/>
          <w:szCs w:val="28"/>
        </w:rPr>
        <w:t xml:space="preserve">. </w:t>
      </w:r>
      <w:bookmarkEnd w:id="1"/>
      <w:r w:rsidRPr="0021469E">
        <w:rPr>
          <w:sz w:val="28"/>
          <w:szCs w:val="28"/>
        </w:rPr>
        <w:t xml:space="preserve">При цьому саме основне внесення </w:t>
      </w:r>
      <w:r w:rsidRPr="0021469E">
        <w:rPr>
          <w:rFonts w:eastAsia="Calibri"/>
          <w:spacing w:val="-4"/>
          <w:position w:val="2"/>
          <w:sz w:val="28"/>
          <w:szCs w:val="28"/>
        </w:rPr>
        <w:t>N</w:t>
      </w:r>
      <w:r w:rsidRPr="0021469E">
        <w:rPr>
          <w:rFonts w:eastAsia="Calibri"/>
          <w:sz w:val="28"/>
          <w:szCs w:val="28"/>
          <w:vertAlign w:val="subscript"/>
        </w:rPr>
        <w:t>40</w:t>
      </w:r>
      <w:r w:rsidRPr="0021469E">
        <w:rPr>
          <w:sz w:val="28"/>
          <w:szCs w:val="28"/>
        </w:rPr>
        <w:t xml:space="preserve"> забезпечувало отримання додатково 0,22 т/га зерна. </w:t>
      </w:r>
      <w:r w:rsidR="0021469E" w:rsidRPr="0021469E">
        <w:rPr>
          <w:sz w:val="28"/>
          <w:szCs w:val="28"/>
        </w:rPr>
        <w:t xml:space="preserve">На такому фоні підживлення КАС 32 із розрахунку </w:t>
      </w:r>
      <w:r w:rsidR="0021469E" w:rsidRPr="0021469E">
        <w:rPr>
          <w:rFonts w:eastAsia="Calibri"/>
          <w:spacing w:val="-4"/>
          <w:position w:val="2"/>
          <w:sz w:val="28"/>
          <w:szCs w:val="28"/>
        </w:rPr>
        <w:t>N</w:t>
      </w:r>
      <w:r w:rsidR="0021469E" w:rsidRPr="0021469E">
        <w:rPr>
          <w:rFonts w:eastAsia="Calibri"/>
          <w:sz w:val="28"/>
          <w:szCs w:val="28"/>
          <w:vertAlign w:val="subscript"/>
        </w:rPr>
        <w:t>10</w:t>
      </w:r>
      <w:r w:rsidR="0021469E" w:rsidRPr="0021469E">
        <w:rPr>
          <w:sz w:val="28"/>
          <w:szCs w:val="28"/>
        </w:rPr>
        <w:t xml:space="preserve"> забезпечував прибавку 0,03 т/га зерна. Результативним </w:t>
      </w:r>
      <w:r w:rsidRPr="0021469E">
        <w:rPr>
          <w:sz w:val="28"/>
          <w:szCs w:val="28"/>
        </w:rPr>
        <w:t xml:space="preserve">було і використання органо-мінеральних добрив для підживлення у фазу кущення та трубкування. </w:t>
      </w:r>
      <w:r w:rsidR="0021469E" w:rsidRPr="0021469E">
        <w:rPr>
          <w:sz w:val="28"/>
          <w:szCs w:val="28"/>
        </w:rPr>
        <w:t xml:space="preserve">На фоні основного внесення </w:t>
      </w:r>
      <w:r w:rsidR="0021469E" w:rsidRPr="0021469E">
        <w:rPr>
          <w:rFonts w:eastAsia="Calibri"/>
          <w:spacing w:val="-4"/>
          <w:position w:val="2"/>
          <w:sz w:val="28"/>
          <w:szCs w:val="28"/>
        </w:rPr>
        <w:t>N</w:t>
      </w:r>
      <w:r w:rsidR="0021469E" w:rsidRPr="0021469E">
        <w:rPr>
          <w:rFonts w:eastAsia="Calibri"/>
          <w:sz w:val="28"/>
          <w:szCs w:val="28"/>
          <w:vertAlign w:val="subscript"/>
        </w:rPr>
        <w:t>40</w:t>
      </w:r>
      <w:r w:rsidR="0021469E" w:rsidRPr="0021469E">
        <w:rPr>
          <w:sz w:val="28"/>
          <w:szCs w:val="28"/>
        </w:rPr>
        <w:t xml:space="preserve"> </w:t>
      </w:r>
      <w:r w:rsidR="004D1CFD">
        <w:rPr>
          <w:sz w:val="28"/>
          <w:szCs w:val="28"/>
        </w:rPr>
        <w:t xml:space="preserve">від </w:t>
      </w:r>
      <w:r w:rsidR="0021469E" w:rsidRPr="0021469E">
        <w:rPr>
          <w:sz w:val="28"/>
          <w:szCs w:val="28"/>
        </w:rPr>
        <w:t xml:space="preserve">застосування підживлення у </w:t>
      </w:r>
      <w:r w:rsidR="0021469E" w:rsidRPr="0021469E">
        <w:rPr>
          <w:sz w:val="28"/>
          <w:szCs w:val="28"/>
        </w:rPr>
        <w:lastRenderedPageBreak/>
        <w:t xml:space="preserve">фазу кущення </w:t>
      </w:r>
      <w:proofErr w:type="spellStart"/>
      <w:r w:rsidR="0021469E" w:rsidRPr="0021469E">
        <w:rPr>
          <w:sz w:val="28"/>
          <w:szCs w:val="28"/>
        </w:rPr>
        <w:t>гуматом</w:t>
      </w:r>
      <w:proofErr w:type="spellEnd"/>
      <w:r w:rsidR="0021469E" w:rsidRPr="0021469E">
        <w:rPr>
          <w:sz w:val="28"/>
          <w:szCs w:val="28"/>
        </w:rPr>
        <w:t xml:space="preserve"> калію АКТИВ дозою 0,8 л/га не встановлено достовірного підвищення урожаю зерна. Перевищення фонового рівня складало 0,01 т/га при значенні НІР 05 0,06 т/га. Дворазове застосування </w:t>
      </w:r>
      <w:proofErr w:type="spellStart"/>
      <w:r w:rsidR="0021469E" w:rsidRPr="0021469E">
        <w:rPr>
          <w:sz w:val="28"/>
          <w:szCs w:val="28"/>
        </w:rPr>
        <w:t>Гумату</w:t>
      </w:r>
      <w:proofErr w:type="spellEnd"/>
      <w:r w:rsidR="0021469E" w:rsidRPr="0021469E">
        <w:rPr>
          <w:sz w:val="28"/>
          <w:szCs w:val="28"/>
        </w:rPr>
        <w:t xml:space="preserve"> калію АКИТИВ забезпечувало достовірне зростання урожайності, що складало </w:t>
      </w:r>
      <w:r w:rsidRPr="0021469E">
        <w:rPr>
          <w:sz w:val="28"/>
          <w:szCs w:val="28"/>
        </w:rPr>
        <w:t>0,12 т/га</w:t>
      </w:r>
      <w:r w:rsidR="0021469E" w:rsidRPr="0021469E">
        <w:rPr>
          <w:sz w:val="28"/>
          <w:szCs w:val="28"/>
        </w:rPr>
        <w:t xml:space="preserve">. </w:t>
      </w:r>
      <w:r w:rsidR="004D1CFD">
        <w:rPr>
          <w:sz w:val="28"/>
          <w:szCs w:val="28"/>
        </w:rPr>
        <w:t>Таким чином поєднання</w:t>
      </w:r>
      <w:r w:rsidR="00784CC9">
        <w:rPr>
          <w:sz w:val="28"/>
          <w:szCs w:val="28"/>
        </w:rPr>
        <w:t xml:space="preserve"> </w:t>
      </w:r>
      <w:r w:rsidR="004D1CFD">
        <w:rPr>
          <w:sz w:val="28"/>
          <w:szCs w:val="28"/>
        </w:rPr>
        <w:t>в системі</w:t>
      </w:r>
      <w:r w:rsidR="00784CC9">
        <w:rPr>
          <w:sz w:val="28"/>
          <w:szCs w:val="28"/>
        </w:rPr>
        <w:t xml:space="preserve"> </w:t>
      </w:r>
      <w:r w:rsidR="004D1CFD">
        <w:rPr>
          <w:sz w:val="28"/>
          <w:szCs w:val="28"/>
        </w:rPr>
        <w:t>живлення</w:t>
      </w:r>
      <w:r w:rsidR="00784CC9">
        <w:rPr>
          <w:sz w:val="28"/>
          <w:szCs w:val="28"/>
        </w:rPr>
        <w:t xml:space="preserve"> </w:t>
      </w:r>
      <w:r w:rsidR="004D1CFD">
        <w:rPr>
          <w:sz w:val="28"/>
          <w:szCs w:val="28"/>
        </w:rPr>
        <w:t>основного внесення азоту</w:t>
      </w:r>
      <w:r w:rsidR="00784CC9">
        <w:rPr>
          <w:sz w:val="28"/>
          <w:szCs w:val="28"/>
        </w:rPr>
        <w:t xml:space="preserve"> </w:t>
      </w:r>
      <w:r w:rsidR="004D1CFD">
        <w:rPr>
          <w:sz w:val="28"/>
          <w:szCs w:val="28"/>
        </w:rPr>
        <w:t>та</w:t>
      </w:r>
      <w:r w:rsidR="00784CC9">
        <w:rPr>
          <w:sz w:val="28"/>
          <w:szCs w:val="28"/>
        </w:rPr>
        <w:t xml:space="preserve"> </w:t>
      </w:r>
      <w:r w:rsidR="004D1CFD">
        <w:rPr>
          <w:sz w:val="28"/>
          <w:szCs w:val="28"/>
        </w:rPr>
        <w:t>підживлень</w:t>
      </w:r>
      <w:r w:rsidR="00784CC9">
        <w:rPr>
          <w:sz w:val="28"/>
          <w:szCs w:val="28"/>
        </w:rPr>
        <w:t xml:space="preserve"> </w:t>
      </w:r>
      <w:r w:rsidR="004D1CFD">
        <w:rPr>
          <w:sz w:val="28"/>
          <w:szCs w:val="28"/>
        </w:rPr>
        <w:t>органо-мінеральними</w:t>
      </w:r>
      <w:r w:rsidR="00784CC9">
        <w:rPr>
          <w:sz w:val="28"/>
          <w:szCs w:val="28"/>
        </w:rPr>
        <w:t xml:space="preserve"> </w:t>
      </w:r>
      <w:r w:rsidR="004D1CFD">
        <w:rPr>
          <w:sz w:val="28"/>
          <w:szCs w:val="28"/>
        </w:rPr>
        <w:t xml:space="preserve">препаратом </w:t>
      </w:r>
      <w:proofErr w:type="spellStart"/>
      <w:r w:rsidR="004D1CFD" w:rsidRPr="0021469E">
        <w:rPr>
          <w:sz w:val="28"/>
          <w:szCs w:val="28"/>
        </w:rPr>
        <w:t>Гумат</w:t>
      </w:r>
      <w:proofErr w:type="spellEnd"/>
      <w:r w:rsidR="004D1CFD" w:rsidRPr="0021469E">
        <w:rPr>
          <w:sz w:val="28"/>
          <w:szCs w:val="28"/>
        </w:rPr>
        <w:t xml:space="preserve"> калію АКТИВ</w:t>
      </w:r>
      <w:r w:rsidR="004D1CFD">
        <w:rPr>
          <w:sz w:val="28"/>
          <w:szCs w:val="28"/>
        </w:rPr>
        <w:t xml:space="preserve"> прояв</w:t>
      </w:r>
      <w:r w:rsidR="008136BC">
        <w:rPr>
          <w:sz w:val="28"/>
          <w:szCs w:val="28"/>
        </w:rPr>
        <w:t>ило</w:t>
      </w:r>
      <w:r w:rsidR="00784CC9">
        <w:rPr>
          <w:sz w:val="28"/>
          <w:szCs w:val="28"/>
        </w:rPr>
        <w:t xml:space="preserve"> </w:t>
      </w:r>
      <w:r w:rsidR="004D1CFD">
        <w:rPr>
          <w:sz w:val="28"/>
          <w:szCs w:val="28"/>
        </w:rPr>
        <w:t xml:space="preserve">позитивний вплив на </w:t>
      </w:r>
      <w:r w:rsidR="008136BC">
        <w:rPr>
          <w:sz w:val="28"/>
          <w:szCs w:val="28"/>
        </w:rPr>
        <w:t>стан</w:t>
      </w:r>
      <w:r w:rsidR="00505E12">
        <w:rPr>
          <w:sz w:val="28"/>
          <w:szCs w:val="28"/>
        </w:rPr>
        <w:t xml:space="preserve"> </w:t>
      </w:r>
      <w:r w:rsidR="008136BC">
        <w:rPr>
          <w:sz w:val="28"/>
          <w:szCs w:val="28"/>
        </w:rPr>
        <w:t xml:space="preserve">посівів, </w:t>
      </w:r>
      <w:r w:rsidR="004D1CFD">
        <w:rPr>
          <w:sz w:val="28"/>
          <w:szCs w:val="28"/>
        </w:rPr>
        <w:t>урожайність</w:t>
      </w:r>
      <w:r w:rsidR="00784CC9">
        <w:rPr>
          <w:sz w:val="28"/>
          <w:szCs w:val="28"/>
        </w:rPr>
        <w:t xml:space="preserve"> </w:t>
      </w:r>
      <w:r w:rsidR="004D1CFD">
        <w:rPr>
          <w:sz w:val="28"/>
          <w:szCs w:val="28"/>
        </w:rPr>
        <w:t>ячменю</w:t>
      </w:r>
      <w:r w:rsidR="008136BC">
        <w:rPr>
          <w:sz w:val="28"/>
          <w:szCs w:val="28"/>
        </w:rPr>
        <w:t xml:space="preserve"> та результати вирощування</w:t>
      </w:r>
      <w:r w:rsidR="004D1CFD">
        <w:rPr>
          <w:sz w:val="28"/>
          <w:szCs w:val="28"/>
        </w:rPr>
        <w:t xml:space="preserve">. </w:t>
      </w:r>
      <w:r w:rsidR="00505E12">
        <w:rPr>
          <w:sz w:val="28"/>
          <w:szCs w:val="28"/>
        </w:rPr>
        <w:t xml:space="preserve">При відносно низькій вартості </w:t>
      </w:r>
      <w:proofErr w:type="spellStart"/>
      <w:r w:rsidR="00505E12" w:rsidRPr="0021469E">
        <w:rPr>
          <w:sz w:val="28"/>
          <w:szCs w:val="28"/>
        </w:rPr>
        <w:t>Гумат</w:t>
      </w:r>
      <w:proofErr w:type="spellEnd"/>
      <w:r w:rsidR="00505E12" w:rsidRPr="0021469E">
        <w:rPr>
          <w:sz w:val="28"/>
          <w:szCs w:val="28"/>
        </w:rPr>
        <w:t xml:space="preserve"> калію АКТИВ</w:t>
      </w:r>
      <w:r w:rsidR="00505E12">
        <w:rPr>
          <w:sz w:val="28"/>
          <w:szCs w:val="28"/>
        </w:rPr>
        <w:t xml:space="preserve"> та витрата</w:t>
      </w:r>
      <w:r w:rsidR="00505E12">
        <w:rPr>
          <w:sz w:val="28"/>
          <w:szCs w:val="28"/>
        </w:rPr>
        <w:t>х</w:t>
      </w:r>
      <w:r w:rsidR="00505E12">
        <w:rPr>
          <w:sz w:val="28"/>
          <w:szCs w:val="28"/>
        </w:rPr>
        <w:t xml:space="preserve"> на його внесення </w:t>
      </w:r>
      <w:r w:rsidR="00505E12">
        <w:rPr>
          <w:sz w:val="28"/>
          <w:szCs w:val="28"/>
        </w:rPr>
        <w:t xml:space="preserve">було підтверджено </w:t>
      </w:r>
      <w:r w:rsidR="00505E12">
        <w:rPr>
          <w:sz w:val="28"/>
          <w:szCs w:val="28"/>
        </w:rPr>
        <w:t xml:space="preserve"> високий рівень окупності такого додаткового заходу</w:t>
      </w:r>
      <w:r w:rsidR="00505E12">
        <w:rPr>
          <w:sz w:val="28"/>
          <w:szCs w:val="28"/>
        </w:rPr>
        <w:t xml:space="preserve"> </w:t>
      </w:r>
      <w:r w:rsidR="00505E12" w:rsidRPr="00505E12">
        <w:rPr>
          <w:sz w:val="28"/>
          <w:szCs w:val="28"/>
          <w:lang w:val="ru-RU"/>
        </w:rPr>
        <w:t>[4</w:t>
      </w:r>
      <w:r w:rsidR="00505E12">
        <w:rPr>
          <w:sz w:val="28"/>
          <w:szCs w:val="28"/>
          <w:lang w:val="ru-RU"/>
        </w:rPr>
        <w:t>, с. 312</w:t>
      </w:r>
      <w:r w:rsidR="00505E12" w:rsidRPr="00505E12">
        <w:rPr>
          <w:sz w:val="28"/>
          <w:szCs w:val="28"/>
          <w:lang w:val="ru-RU"/>
        </w:rPr>
        <w:t>]</w:t>
      </w:r>
      <w:r w:rsidR="00505E12">
        <w:rPr>
          <w:sz w:val="28"/>
          <w:szCs w:val="28"/>
        </w:rPr>
        <w:t xml:space="preserve">. Аналізуючи отримані результати необхідно зважати, що в аномально посушливих умовах, яким був рік дослідження окупність мінеральних добрив різко зменшується. </w:t>
      </w:r>
    </w:p>
    <w:p w14:paraId="51EAAB43" w14:textId="2BB75604" w:rsidR="0021469E" w:rsidRDefault="008136BC" w:rsidP="0021469E">
      <w:pPr>
        <w:spacing w:line="360" w:lineRule="auto"/>
        <w:ind w:firstLine="709"/>
        <w:jc w:val="both"/>
        <w:rPr>
          <w:sz w:val="28"/>
          <w:szCs w:val="28"/>
        </w:rPr>
      </w:pPr>
      <w:r>
        <w:rPr>
          <w:sz w:val="28"/>
          <w:szCs w:val="28"/>
        </w:rPr>
        <w:t xml:space="preserve">За </w:t>
      </w:r>
      <w:r w:rsidR="0021469E" w:rsidRPr="0021469E">
        <w:rPr>
          <w:sz w:val="28"/>
          <w:szCs w:val="28"/>
        </w:rPr>
        <w:t xml:space="preserve">фону живлення </w:t>
      </w:r>
      <w:r w:rsidR="0021469E" w:rsidRPr="0021469E">
        <w:rPr>
          <w:rFonts w:eastAsia="Calibri"/>
          <w:spacing w:val="-4"/>
          <w:position w:val="2"/>
          <w:sz w:val="28"/>
          <w:szCs w:val="28"/>
        </w:rPr>
        <w:t>N</w:t>
      </w:r>
      <w:r w:rsidR="0021469E" w:rsidRPr="0021469E">
        <w:rPr>
          <w:rFonts w:eastAsia="Calibri"/>
          <w:sz w:val="28"/>
          <w:szCs w:val="28"/>
          <w:vertAlign w:val="subscript"/>
        </w:rPr>
        <w:t>40</w:t>
      </w:r>
      <w:r w:rsidR="0021469E" w:rsidRPr="0021469E">
        <w:rPr>
          <w:sz w:val="28"/>
          <w:szCs w:val="28"/>
        </w:rPr>
        <w:t xml:space="preserve"> + підживлення у фазу кущення </w:t>
      </w:r>
      <w:r w:rsidR="0021469E" w:rsidRPr="0021469E">
        <w:rPr>
          <w:rFonts w:eastAsia="Calibri"/>
          <w:spacing w:val="-4"/>
          <w:position w:val="2"/>
          <w:sz w:val="28"/>
          <w:szCs w:val="28"/>
        </w:rPr>
        <w:t>N</w:t>
      </w:r>
      <w:r w:rsidR="0021469E" w:rsidRPr="0021469E">
        <w:rPr>
          <w:rFonts w:eastAsia="Calibri"/>
          <w:sz w:val="28"/>
          <w:szCs w:val="28"/>
          <w:vertAlign w:val="subscript"/>
        </w:rPr>
        <w:t>10</w:t>
      </w:r>
      <w:r w:rsidR="0021469E" w:rsidRPr="0021469E">
        <w:rPr>
          <w:sz w:val="28"/>
          <w:szCs w:val="28"/>
        </w:rPr>
        <w:t xml:space="preserve"> урожайність </w:t>
      </w:r>
      <w:r>
        <w:rPr>
          <w:sz w:val="28"/>
          <w:szCs w:val="28"/>
        </w:rPr>
        <w:t xml:space="preserve">склала </w:t>
      </w:r>
      <w:r w:rsidR="0021469E" w:rsidRPr="0021469E">
        <w:rPr>
          <w:sz w:val="28"/>
          <w:szCs w:val="28"/>
        </w:rPr>
        <w:t xml:space="preserve">2,91 т/га, </w:t>
      </w:r>
      <w:r>
        <w:rPr>
          <w:sz w:val="28"/>
          <w:szCs w:val="28"/>
        </w:rPr>
        <w:t>було отримано</w:t>
      </w:r>
      <w:r w:rsidR="0021469E" w:rsidRPr="0021469E">
        <w:rPr>
          <w:sz w:val="28"/>
          <w:szCs w:val="28"/>
        </w:rPr>
        <w:t xml:space="preserve"> умовн</w:t>
      </w:r>
      <w:r>
        <w:rPr>
          <w:sz w:val="28"/>
          <w:szCs w:val="28"/>
        </w:rPr>
        <w:t>ий</w:t>
      </w:r>
      <w:r w:rsidR="0021469E" w:rsidRPr="0021469E">
        <w:rPr>
          <w:sz w:val="28"/>
          <w:szCs w:val="28"/>
        </w:rPr>
        <w:t xml:space="preserve"> прибут</w:t>
      </w:r>
      <w:r>
        <w:rPr>
          <w:sz w:val="28"/>
          <w:szCs w:val="28"/>
        </w:rPr>
        <w:t>о</w:t>
      </w:r>
      <w:r w:rsidR="0021469E" w:rsidRPr="0021469E">
        <w:rPr>
          <w:sz w:val="28"/>
          <w:szCs w:val="28"/>
        </w:rPr>
        <w:t xml:space="preserve">к 5,08 </w:t>
      </w:r>
      <w:proofErr w:type="spellStart"/>
      <w:r w:rsidR="0021469E" w:rsidRPr="0021469E">
        <w:rPr>
          <w:sz w:val="28"/>
          <w:szCs w:val="28"/>
        </w:rPr>
        <w:t>тис.грн</w:t>
      </w:r>
      <w:proofErr w:type="spellEnd"/>
      <w:r w:rsidR="0021469E" w:rsidRPr="0021469E">
        <w:rPr>
          <w:sz w:val="28"/>
          <w:szCs w:val="28"/>
        </w:rPr>
        <w:t xml:space="preserve">/га, </w:t>
      </w:r>
      <w:r>
        <w:rPr>
          <w:sz w:val="28"/>
          <w:szCs w:val="28"/>
        </w:rPr>
        <w:t>та</w:t>
      </w:r>
      <w:r w:rsidR="0021469E" w:rsidRPr="0021469E">
        <w:rPr>
          <w:sz w:val="28"/>
          <w:szCs w:val="28"/>
        </w:rPr>
        <w:t xml:space="preserve"> рентабельн</w:t>
      </w:r>
      <w:r>
        <w:rPr>
          <w:sz w:val="28"/>
          <w:szCs w:val="28"/>
        </w:rPr>
        <w:t>ість</w:t>
      </w:r>
      <w:r w:rsidR="0021469E" w:rsidRPr="0021469E">
        <w:rPr>
          <w:sz w:val="28"/>
          <w:szCs w:val="28"/>
        </w:rPr>
        <w:t xml:space="preserve"> 27,9%. На фоні живлення </w:t>
      </w:r>
      <w:r w:rsidR="0021469E" w:rsidRPr="0021469E">
        <w:rPr>
          <w:rFonts w:eastAsia="Calibri"/>
          <w:spacing w:val="-4"/>
          <w:position w:val="2"/>
          <w:sz w:val="28"/>
          <w:szCs w:val="28"/>
        </w:rPr>
        <w:t>N</w:t>
      </w:r>
      <w:r w:rsidR="0021469E" w:rsidRPr="0021469E">
        <w:rPr>
          <w:rFonts w:eastAsia="Calibri"/>
          <w:sz w:val="28"/>
          <w:szCs w:val="28"/>
          <w:vertAlign w:val="subscript"/>
        </w:rPr>
        <w:t>40</w:t>
      </w:r>
      <w:r w:rsidR="0021469E" w:rsidRPr="0021469E">
        <w:rPr>
          <w:sz w:val="28"/>
          <w:szCs w:val="28"/>
        </w:rPr>
        <w:t xml:space="preserve"> + у фазу кущення та трубкування підживлення </w:t>
      </w:r>
      <w:proofErr w:type="spellStart"/>
      <w:r w:rsidR="0021469E" w:rsidRPr="0021469E">
        <w:rPr>
          <w:sz w:val="28"/>
          <w:szCs w:val="28"/>
        </w:rPr>
        <w:t>Гумат</w:t>
      </w:r>
      <w:proofErr w:type="spellEnd"/>
      <w:r w:rsidR="0021469E" w:rsidRPr="0021469E">
        <w:rPr>
          <w:sz w:val="28"/>
          <w:szCs w:val="28"/>
        </w:rPr>
        <w:t xml:space="preserve"> калію АКТИВ (0,8 л/га) </w:t>
      </w:r>
      <w:r w:rsidR="00E52CAC">
        <w:rPr>
          <w:sz w:val="28"/>
          <w:szCs w:val="28"/>
        </w:rPr>
        <w:t xml:space="preserve">урожайність  зерна  зростала  до </w:t>
      </w:r>
      <w:r w:rsidR="0021469E" w:rsidRPr="0021469E">
        <w:rPr>
          <w:sz w:val="28"/>
          <w:szCs w:val="28"/>
        </w:rPr>
        <w:t xml:space="preserve"> 3,0 т/га </w:t>
      </w:r>
      <w:r w:rsidR="00E52CAC">
        <w:rPr>
          <w:sz w:val="28"/>
          <w:szCs w:val="28"/>
        </w:rPr>
        <w:t>при цьому бул</w:t>
      </w:r>
      <w:bookmarkStart w:id="2" w:name="_GoBack"/>
      <w:bookmarkEnd w:id="2"/>
      <w:r w:rsidR="00E52CAC">
        <w:rPr>
          <w:sz w:val="28"/>
          <w:szCs w:val="28"/>
        </w:rPr>
        <w:t xml:space="preserve">о отримано </w:t>
      </w:r>
      <w:r w:rsidR="0021469E" w:rsidRPr="0021469E">
        <w:rPr>
          <w:sz w:val="28"/>
          <w:szCs w:val="28"/>
        </w:rPr>
        <w:t>5,3 тис. грн/га умовного прибутку за рентабельності 28,3%.</w:t>
      </w:r>
    </w:p>
    <w:p w14:paraId="12ECE4E3" w14:textId="77777777" w:rsidR="00665507" w:rsidRPr="0021469E" w:rsidRDefault="00665507" w:rsidP="00677045">
      <w:pPr>
        <w:spacing w:line="360" w:lineRule="auto"/>
        <w:jc w:val="both"/>
        <w:rPr>
          <w:sz w:val="28"/>
          <w:szCs w:val="28"/>
        </w:rPr>
      </w:pPr>
    </w:p>
    <w:p w14:paraId="13BA9F5C" w14:textId="33677206" w:rsidR="00404B17" w:rsidRPr="00421C9A" w:rsidRDefault="00421C9A" w:rsidP="00677045">
      <w:pPr>
        <w:spacing w:line="360" w:lineRule="auto"/>
        <w:jc w:val="center"/>
        <w:rPr>
          <w:b/>
          <w:bCs/>
        </w:rPr>
      </w:pPr>
      <w:r w:rsidRPr="00421C9A">
        <w:rPr>
          <w:b/>
          <w:bCs/>
        </w:rPr>
        <w:t xml:space="preserve">Література </w:t>
      </w:r>
    </w:p>
    <w:p w14:paraId="62C9124F" w14:textId="7981D9EF" w:rsidR="006B040E" w:rsidRPr="00421C9A" w:rsidRDefault="00421C9A" w:rsidP="00421C9A">
      <w:pPr>
        <w:spacing w:line="360" w:lineRule="auto"/>
        <w:jc w:val="both"/>
      </w:pPr>
      <w:r>
        <w:t xml:space="preserve">1. </w:t>
      </w:r>
      <w:r w:rsidR="006B040E" w:rsidRPr="00421C9A">
        <w:t xml:space="preserve">Технологія вирощування головний чинник реалізації потенційних властивостей сортів ярого ячменю Селекційно генетичного інституту </w:t>
      </w:r>
      <w:r w:rsidR="006B040E" w:rsidRPr="00421C9A">
        <w:rPr>
          <w:i/>
          <w:iCs/>
        </w:rPr>
        <w:t>Пропозиція</w:t>
      </w:r>
      <w:r w:rsidR="004D1CFD" w:rsidRPr="00421C9A">
        <w:t>.</w:t>
      </w:r>
      <w:r w:rsidR="006B040E" w:rsidRPr="00421C9A">
        <w:t xml:space="preserve"> </w:t>
      </w:r>
      <w:r w:rsidR="006B040E" w:rsidRPr="00421C9A">
        <w:rPr>
          <w:i/>
          <w:iCs/>
        </w:rPr>
        <w:t>Український журнал з питань агробізнесу</w:t>
      </w:r>
      <w:r w:rsidR="006B040E" w:rsidRPr="00421C9A">
        <w:t>. 2007. № 1. С. 56 57.</w:t>
      </w:r>
    </w:p>
    <w:p w14:paraId="63EB9453" w14:textId="4F1526E4" w:rsidR="00C00E9C" w:rsidRPr="00421C9A" w:rsidRDefault="00421C9A" w:rsidP="00421C9A">
      <w:pPr>
        <w:spacing w:line="360" w:lineRule="auto"/>
        <w:jc w:val="both"/>
      </w:pPr>
      <w:r>
        <w:t xml:space="preserve">2. </w:t>
      </w:r>
      <w:r w:rsidR="006950A5" w:rsidRPr="00421C9A">
        <w:t xml:space="preserve">Шкатула Ю. М., Барський Д. О. Урожайність озимого ячменю залежно від системи удобрення. </w:t>
      </w:r>
      <w:r w:rsidR="006950A5" w:rsidRPr="00421C9A">
        <w:rPr>
          <w:i/>
          <w:iCs/>
        </w:rPr>
        <w:t>Сільське господарство та лісівництво.</w:t>
      </w:r>
      <w:r w:rsidR="006950A5" w:rsidRPr="00421C9A">
        <w:t xml:space="preserve"> Вінницький НАУ. 2021. № 21. С. 82–95.</w:t>
      </w:r>
    </w:p>
    <w:p w14:paraId="4D723CDD" w14:textId="31A2D6BF" w:rsidR="00784CC9" w:rsidRPr="00421C9A" w:rsidRDefault="00421C9A" w:rsidP="00421C9A">
      <w:pPr>
        <w:spacing w:line="360" w:lineRule="auto"/>
        <w:jc w:val="both"/>
      </w:pPr>
      <w:r>
        <w:rPr>
          <w:shd w:val="clear" w:color="auto" w:fill="FFFFFF"/>
        </w:rPr>
        <w:t xml:space="preserve">3. </w:t>
      </w:r>
      <w:r w:rsidR="004D1CFD" w:rsidRPr="00421C9A">
        <w:rPr>
          <w:shd w:val="clear" w:color="auto" w:fill="FFFFFF"/>
        </w:rPr>
        <w:t xml:space="preserve">Заєць С.О., </w:t>
      </w:r>
      <w:proofErr w:type="spellStart"/>
      <w:r w:rsidR="004D1CFD" w:rsidRPr="00421C9A">
        <w:rPr>
          <w:shd w:val="clear" w:color="auto" w:fill="FFFFFF"/>
        </w:rPr>
        <w:t>Онуфран</w:t>
      </w:r>
      <w:proofErr w:type="spellEnd"/>
      <w:r w:rsidR="004D1CFD" w:rsidRPr="00421C9A">
        <w:rPr>
          <w:shd w:val="clear" w:color="auto" w:fill="FFFFFF"/>
        </w:rPr>
        <w:t xml:space="preserve"> Л.І. </w:t>
      </w:r>
      <w:r w:rsidR="00784CC9" w:rsidRPr="00421C9A">
        <w:rPr>
          <w:shd w:val="clear" w:color="auto" w:fill="FFFFFF"/>
        </w:rPr>
        <w:t xml:space="preserve">Ячмінь ярий на півдні України. </w:t>
      </w:r>
      <w:r w:rsidR="004D1CFD" w:rsidRPr="00421C9A">
        <w:rPr>
          <w:shd w:val="clear" w:color="auto" w:fill="FFFFFF"/>
        </w:rPr>
        <w:t xml:space="preserve">Видавництво </w:t>
      </w:r>
      <w:proofErr w:type="spellStart"/>
      <w:r w:rsidR="004D1CFD" w:rsidRPr="00421C9A">
        <w:rPr>
          <w:shd w:val="clear" w:color="auto" w:fill="FFFFFF"/>
        </w:rPr>
        <w:t>Олді</w:t>
      </w:r>
      <w:proofErr w:type="spellEnd"/>
      <w:r w:rsidR="004D1CFD" w:rsidRPr="00421C9A">
        <w:rPr>
          <w:shd w:val="clear" w:color="auto" w:fill="FFFFFF"/>
        </w:rPr>
        <w:t>+ 2019</w:t>
      </w:r>
      <w:r w:rsidR="00784CC9" w:rsidRPr="00421C9A">
        <w:rPr>
          <w:shd w:val="clear" w:color="auto" w:fill="FFFFFF"/>
        </w:rPr>
        <w:t>.</w:t>
      </w:r>
      <w:r w:rsidR="004D1CFD" w:rsidRPr="00421C9A">
        <w:rPr>
          <w:shd w:val="clear" w:color="auto" w:fill="FFFFFF"/>
        </w:rPr>
        <w:t xml:space="preserve"> </w:t>
      </w:r>
      <w:r w:rsidR="00784CC9" w:rsidRPr="00421C9A">
        <w:rPr>
          <w:shd w:val="clear" w:color="auto" w:fill="FFFFFF"/>
        </w:rPr>
        <w:t>С.</w:t>
      </w:r>
      <w:r w:rsidR="004D1CFD" w:rsidRPr="00421C9A">
        <w:rPr>
          <w:shd w:val="clear" w:color="auto" w:fill="FFFFFF"/>
        </w:rPr>
        <w:t>164</w:t>
      </w:r>
      <w:r w:rsidR="00784CC9" w:rsidRPr="00421C9A">
        <w:rPr>
          <w:shd w:val="clear" w:color="auto" w:fill="FFFFFF"/>
        </w:rPr>
        <w:t>.</w:t>
      </w:r>
    </w:p>
    <w:p w14:paraId="129FE610" w14:textId="26B15B9B" w:rsidR="00421C9A" w:rsidRPr="00421C9A" w:rsidRDefault="00505E12" w:rsidP="00421C9A">
      <w:pPr>
        <w:spacing w:line="360" w:lineRule="auto"/>
        <w:jc w:val="both"/>
      </w:pPr>
      <w:r>
        <w:t xml:space="preserve">4. </w:t>
      </w:r>
      <w:r>
        <w:t xml:space="preserve">Панфілова А. В., </w:t>
      </w:r>
      <w:proofErr w:type="spellStart"/>
      <w:r>
        <w:t>Гамаюнова</w:t>
      </w:r>
      <w:proofErr w:type="spellEnd"/>
      <w:r>
        <w:t xml:space="preserve"> В. В. Продуктивність сортів ячменю ярого залежно від оптимізації живлення в умовах Південного Степу України. </w:t>
      </w:r>
      <w:proofErr w:type="spellStart"/>
      <w:r w:rsidRPr="00505E12">
        <w:rPr>
          <w:i/>
          <w:iCs/>
        </w:rPr>
        <w:t>Plant</w:t>
      </w:r>
      <w:proofErr w:type="spellEnd"/>
      <w:r w:rsidRPr="00505E12">
        <w:rPr>
          <w:i/>
          <w:iCs/>
        </w:rPr>
        <w:t xml:space="preserve"> </w:t>
      </w:r>
      <w:proofErr w:type="spellStart"/>
      <w:r w:rsidRPr="00505E12">
        <w:rPr>
          <w:i/>
          <w:iCs/>
        </w:rPr>
        <w:t>Varieties</w:t>
      </w:r>
      <w:proofErr w:type="spellEnd"/>
      <w:r w:rsidRPr="00505E12">
        <w:rPr>
          <w:i/>
          <w:iCs/>
        </w:rPr>
        <w:t xml:space="preserve"> </w:t>
      </w:r>
      <w:proofErr w:type="spellStart"/>
      <w:r w:rsidRPr="00505E12">
        <w:rPr>
          <w:i/>
          <w:iCs/>
        </w:rPr>
        <w:t>Studying</w:t>
      </w:r>
      <w:proofErr w:type="spellEnd"/>
      <w:r w:rsidRPr="00505E12">
        <w:rPr>
          <w:i/>
          <w:iCs/>
        </w:rPr>
        <w:t xml:space="preserve"> </w:t>
      </w:r>
      <w:proofErr w:type="spellStart"/>
      <w:r w:rsidRPr="00505E12">
        <w:rPr>
          <w:i/>
          <w:iCs/>
        </w:rPr>
        <w:t>and</w:t>
      </w:r>
      <w:proofErr w:type="spellEnd"/>
      <w:r w:rsidRPr="00505E12">
        <w:rPr>
          <w:i/>
          <w:iCs/>
        </w:rPr>
        <w:t xml:space="preserve"> </w:t>
      </w:r>
      <w:proofErr w:type="spellStart"/>
      <w:r w:rsidRPr="00505E12">
        <w:rPr>
          <w:i/>
          <w:iCs/>
        </w:rPr>
        <w:t>Protection</w:t>
      </w:r>
      <w:proofErr w:type="spellEnd"/>
      <w:r w:rsidRPr="00505E12">
        <w:rPr>
          <w:i/>
          <w:iCs/>
        </w:rPr>
        <w:t>.</w:t>
      </w:r>
      <w:r>
        <w:t xml:space="preserve"> 2018. </w:t>
      </w:r>
      <w:proofErr w:type="spellStart"/>
      <w:r>
        <w:t>Vol</w:t>
      </w:r>
      <w:proofErr w:type="spellEnd"/>
      <w:r>
        <w:t>. 14. № 3. С. 310–315</w:t>
      </w:r>
    </w:p>
    <w:sectPr w:rsidR="00421C9A" w:rsidRPr="00421C9A" w:rsidSect="00421C9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E6980"/>
    <w:multiLevelType w:val="hybridMultilevel"/>
    <w:tmpl w:val="EADA3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9E740A"/>
    <w:multiLevelType w:val="hybridMultilevel"/>
    <w:tmpl w:val="0444F9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FE2D25"/>
    <w:multiLevelType w:val="hybridMultilevel"/>
    <w:tmpl w:val="4D040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1D48CB"/>
    <w:multiLevelType w:val="hybridMultilevel"/>
    <w:tmpl w:val="0C043F7E"/>
    <w:lvl w:ilvl="0" w:tplc="6C4C3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EC4571B"/>
    <w:multiLevelType w:val="hybridMultilevel"/>
    <w:tmpl w:val="EADA3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AF2762"/>
    <w:multiLevelType w:val="hybridMultilevel"/>
    <w:tmpl w:val="44841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2F"/>
    <w:rsid w:val="00001998"/>
    <w:rsid w:val="00080521"/>
    <w:rsid w:val="000F5CE5"/>
    <w:rsid w:val="00111323"/>
    <w:rsid w:val="0012221F"/>
    <w:rsid w:val="00165D92"/>
    <w:rsid w:val="00171F00"/>
    <w:rsid w:val="001962D6"/>
    <w:rsid w:val="001C2A06"/>
    <w:rsid w:val="001D0F1D"/>
    <w:rsid w:val="001D2346"/>
    <w:rsid w:val="001E3C59"/>
    <w:rsid w:val="001F6A6F"/>
    <w:rsid w:val="00204B58"/>
    <w:rsid w:val="0021469E"/>
    <w:rsid w:val="002242CE"/>
    <w:rsid w:val="0023357A"/>
    <w:rsid w:val="00257532"/>
    <w:rsid w:val="00297AB0"/>
    <w:rsid w:val="002A0EA7"/>
    <w:rsid w:val="002B2DB7"/>
    <w:rsid w:val="002B5880"/>
    <w:rsid w:val="002D2F27"/>
    <w:rsid w:val="002D6890"/>
    <w:rsid w:val="002E6249"/>
    <w:rsid w:val="00303A7E"/>
    <w:rsid w:val="003437A0"/>
    <w:rsid w:val="0038491C"/>
    <w:rsid w:val="0039239C"/>
    <w:rsid w:val="00404B17"/>
    <w:rsid w:val="00421C9A"/>
    <w:rsid w:val="00424631"/>
    <w:rsid w:val="004437D9"/>
    <w:rsid w:val="00460497"/>
    <w:rsid w:val="00476DB4"/>
    <w:rsid w:val="00487EF8"/>
    <w:rsid w:val="004D1CFD"/>
    <w:rsid w:val="004D61C0"/>
    <w:rsid w:val="00504E83"/>
    <w:rsid w:val="00505E12"/>
    <w:rsid w:val="005066A0"/>
    <w:rsid w:val="00521079"/>
    <w:rsid w:val="005316E9"/>
    <w:rsid w:val="005D7CAE"/>
    <w:rsid w:val="005E28C5"/>
    <w:rsid w:val="00624284"/>
    <w:rsid w:val="00641D12"/>
    <w:rsid w:val="006568E8"/>
    <w:rsid w:val="00663C37"/>
    <w:rsid w:val="00665507"/>
    <w:rsid w:val="00677045"/>
    <w:rsid w:val="00686225"/>
    <w:rsid w:val="006950A5"/>
    <w:rsid w:val="00697900"/>
    <w:rsid w:val="006B040E"/>
    <w:rsid w:val="006E52D6"/>
    <w:rsid w:val="006E6C11"/>
    <w:rsid w:val="007349F5"/>
    <w:rsid w:val="0076595A"/>
    <w:rsid w:val="00784CC9"/>
    <w:rsid w:val="00786567"/>
    <w:rsid w:val="007E5799"/>
    <w:rsid w:val="008136BC"/>
    <w:rsid w:val="0085082D"/>
    <w:rsid w:val="008653DA"/>
    <w:rsid w:val="008A09EC"/>
    <w:rsid w:val="008A10FD"/>
    <w:rsid w:val="008C7C8D"/>
    <w:rsid w:val="008D0363"/>
    <w:rsid w:val="008F1E01"/>
    <w:rsid w:val="009259C9"/>
    <w:rsid w:val="009539AD"/>
    <w:rsid w:val="00967C82"/>
    <w:rsid w:val="009C1F65"/>
    <w:rsid w:val="009E2675"/>
    <w:rsid w:val="009E2AAD"/>
    <w:rsid w:val="009F6311"/>
    <w:rsid w:val="00A248C9"/>
    <w:rsid w:val="00A37097"/>
    <w:rsid w:val="00A43A13"/>
    <w:rsid w:val="00A53EC2"/>
    <w:rsid w:val="00A70C68"/>
    <w:rsid w:val="00AB03CD"/>
    <w:rsid w:val="00AC6698"/>
    <w:rsid w:val="00AD4553"/>
    <w:rsid w:val="00AE5E11"/>
    <w:rsid w:val="00AF1D46"/>
    <w:rsid w:val="00AF4059"/>
    <w:rsid w:val="00AF6279"/>
    <w:rsid w:val="00B07B2C"/>
    <w:rsid w:val="00B74545"/>
    <w:rsid w:val="00BD17AC"/>
    <w:rsid w:val="00BD7C07"/>
    <w:rsid w:val="00BE4FAF"/>
    <w:rsid w:val="00C00E9C"/>
    <w:rsid w:val="00C0512A"/>
    <w:rsid w:val="00C4068B"/>
    <w:rsid w:val="00CA72DA"/>
    <w:rsid w:val="00CC7EDA"/>
    <w:rsid w:val="00CE5897"/>
    <w:rsid w:val="00D31AFD"/>
    <w:rsid w:val="00D340E2"/>
    <w:rsid w:val="00D4282F"/>
    <w:rsid w:val="00D80FB5"/>
    <w:rsid w:val="00D8157E"/>
    <w:rsid w:val="00DA389C"/>
    <w:rsid w:val="00DC5492"/>
    <w:rsid w:val="00E52CAC"/>
    <w:rsid w:val="00ED50F2"/>
    <w:rsid w:val="00ED785F"/>
    <w:rsid w:val="00F25156"/>
    <w:rsid w:val="00F36722"/>
    <w:rsid w:val="00F47AED"/>
    <w:rsid w:val="00FC0757"/>
    <w:rsid w:val="00FD26D1"/>
    <w:rsid w:val="00FD478D"/>
    <w:rsid w:val="00FF07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516E"/>
  <w15:docId w15:val="{6C9AFD7D-7DB7-4F75-9640-9B6E8AA4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E9C"/>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82F"/>
    <w:pPr>
      <w:ind w:left="720"/>
      <w:contextualSpacing/>
    </w:pPr>
  </w:style>
  <w:style w:type="paragraph" w:styleId="a4">
    <w:name w:val="No Spacing"/>
    <w:link w:val="a5"/>
    <w:uiPriority w:val="1"/>
    <w:qFormat/>
    <w:rsid w:val="003437A0"/>
    <w:pPr>
      <w:spacing w:after="0" w:line="240" w:lineRule="auto"/>
    </w:pPr>
    <w:rPr>
      <w:rFonts w:ascii="Calibri" w:eastAsia="Calibri" w:hAnsi="Calibri" w:cs="Times New Roman"/>
    </w:rPr>
  </w:style>
  <w:style w:type="character" w:customStyle="1" w:styleId="a5">
    <w:name w:val="Без интервала Знак"/>
    <w:link w:val="a4"/>
    <w:uiPriority w:val="1"/>
    <w:rsid w:val="003437A0"/>
    <w:rPr>
      <w:rFonts w:ascii="Calibri" w:eastAsia="Calibri" w:hAnsi="Calibri" w:cs="Times New Roman"/>
    </w:rPr>
  </w:style>
  <w:style w:type="paragraph" w:styleId="a6">
    <w:name w:val="Body Text"/>
    <w:basedOn w:val="a"/>
    <w:link w:val="a7"/>
    <w:uiPriority w:val="1"/>
    <w:qFormat/>
    <w:rsid w:val="001D2346"/>
    <w:pPr>
      <w:widowControl w:val="0"/>
      <w:autoSpaceDE w:val="0"/>
      <w:autoSpaceDN w:val="0"/>
      <w:ind w:left="262"/>
      <w:jc w:val="both"/>
    </w:pPr>
    <w:rPr>
      <w:sz w:val="28"/>
      <w:szCs w:val="28"/>
      <w:lang w:eastAsia="en-US"/>
    </w:rPr>
  </w:style>
  <w:style w:type="character" w:customStyle="1" w:styleId="a7">
    <w:name w:val="Основной текст Знак"/>
    <w:basedOn w:val="a0"/>
    <w:link w:val="a6"/>
    <w:uiPriority w:val="1"/>
    <w:rsid w:val="001D2346"/>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1E3C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3C59"/>
    <w:pPr>
      <w:widowControl w:val="0"/>
      <w:autoSpaceDE w:val="0"/>
      <w:autoSpaceDN w:val="0"/>
      <w:jc w:val="center"/>
    </w:pPr>
    <w:rPr>
      <w:sz w:val="22"/>
      <w:szCs w:val="22"/>
      <w:lang w:eastAsia="en-US"/>
    </w:rPr>
  </w:style>
  <w:style w:type="character" w:styleId="a8">
    <w:name w:val="Hyperlink"/>
    <w:basedOn w:val="a0"/>
    <w:unhideWhenUsed/>
    <w:rsid w:val="00677045"/>
    <w:rPr>
      <w:color w:val="0000FF"/>
      <w:u w:val="single"/>
    </w:rPr>
  </w:style>
  <w:style w:type="paragraph" w:styleId="a9">
    <w:name w:val="Normal (Web)"/>
    <w:basedOn w:val="a"/>
    <w:uiPriority w:val="99"/>
    <w:rsid w:val="0038491C"/>
    <w:pPr>
      <w:spacing w:before="100" w:beforeAutospacing="1" w:after="100" w:afterAutospacing="1"/>
    </w:pPr>
    <w:rPr>
      <w:lang w:val="ru-RU" w:bidi="o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3-2808-019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CAE37-C092-4C73-B465-DC99B4977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804</Words>
  <Characters>4584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dc:creator>
  <cp:lastModifiedBy>user</cp:lastModifiedBy>
  <cp:revision>13</cp:revision>
  <dcterms:created xsi:type="dcterms:W3CDTF">2024-11-13T19:08:00Z</dcterms:created>
  <dcterms:modified xsi:type="dcterms:W3CDTF">2025-02-01T07:53:00Z</dcterms:modified>
</cp:coreProperties>
</file>