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0192" w14:textId="3B34987E" w:rsidR="00150CBC" w:rsidRPr="00896730" w:rsidRDefault="00150CBC" w:rsidP="00150CBC">
      <w:pPr>
        <w:shd w:val="clear" w:color="auto" w:fill="FFFFFF"/>
        <w:spacing w:after="0"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uk-UA"/>
        </w:rPr>
      </w:pPr>
      <w:r w:rsidRPr="008967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uk-UA"/>
        </w:rPr>
        <w:t>Слюсаренко Олександр Костянтинович</w:t>
      </w:r>
    </w:p>
    <w:p w14:paraId="52BC63E4" w14:textId="77777777" w:rsidR="00150CBC" w:rsidRPr="00896730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896730">
        <w:rPr>
          <w:b w:val="0"/>
          <w:bCs w:val="0"/>
          <w:iCs/>
          <w:color w:val="333333"/>
          <w:sz w:val="28"/>
          <w:szCs w:val="28"/>
        </w:rPr>
        <w:t>Державний університет інтелектуальних технологій і зв’язку</w:t>
      </w:r>
    </w:p>
    <w:p w14:paraId="20511119" w14:textId="77777777" w:rsidR="00150CBC" w:rsidRPr="00896730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896730">
        <w:rPr>
          <w:b w:val="0"/>
          <w:bCs w:val="0"/>
          <w:iCs/>
          <w:color w:val="333333"/>
          <w:sz w:val="28"/>
          <w:szCs w:val="28"/>
        </w:rPr>
        <w:t>м. Одеса, Україна</w:t>
      </w:r>
    </w:p>
    <w:p w14:paraId="6109BBCE" w14:textId="77777777" w:rsidR="00150CBC" w:rsidRPr="00896730" w:rsidRDefault="00150CBC" w:rsidP="00150CBC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bCs w:val="0"/>
          <w:iCs/>
          <w:color w:val="333333"/>
          <w:sz w:val="28"/>
          <w:szCs w:val="28"/>
        </w:rPr>
      </w:pPr>
      <w:r w:rsidRPr="00896730">
        <w:rPr>
          <w:b w:val="0"/>
          <w:bCs w:val="0"/>
          <w:iCs/>
          <w:color w:val="333333"/>
          <w:sz w:val="28"/>
          <w:szCs w:val="28"/>
        </w:rPr>
        <w:t>0009-0003-8532-9285</w:t>
      </w:r>
    </w:p>
    <w:p w14:paraId="55423F90" w14:textId="07A8A117" w:rsidR="001115BF" w:rsidRPr="00896730" w:rsidRDefault="001115BF" w:rsidP="001115BF">
      <w:pPr>
        <w:spacing w:after="0" w:line="360" w:lineRule="auto"/>
        <w:ind w:firstLine="709"/>
        <w:jc w:val="center"/>
        <w:rPr>
          <w:rStyle w:val="Strong"/>
          <w:rFonts w:ascii="Times New Roman" w:eastAsia="Times New Roman" w:hAnsi="Times New Roman" w:cs="Times New Roman"/>
          <w:bCs w:val="0"/>
          <w:sz w:val="28"/>
          <w:szCs w:val="28"/>
          <w:lang w:val="uk-UA" w:eastAsia="uk-UA"/>
        </w:rPr>
      </w:pPr>
      <w:r w:rsidRPr="00896730">
        <w:rPr>
          <w:rStyle w:val="Strong"/>
          <w:rFonts w:ascii="Times New Roman" w:eastAsia="Times New Roman" w:hAnsi="Times New Roman" w:cs="Times New Roman"/>
          <w:bCs w:val="0"/>
          <w:sz w:val="28"/>
          <w:szCs w:val="28"/>
          <w:lang w:val="uk-UA" w:eastAsia="uk-UA"/>
        </w:rPr>
        <w:t>МЕТОД АВТОМАТИЗОВАНОГО ПЛАНУВАННЯ МАРШРУТІВ БЕЗПІЛОТНИХ ЛІТАЛЬНИХ АПАРАТІВ</w:t>
      </w:r>
    </w:p>
    <w:p w14:paraId="77F96978" w14:textId="77777777" w:rsidR="001115BF" w:rsidRPr="00896730" w:rsidRDefault="001115BF" w:rsidP="001115BF">
      <w:pPr>
        <w:spacing w:after="0" w:line="360" w:lineRule="auto"/>
        <w:ind w:firstLine="709"/>
        <w:jc w:val="center"/>
        <w:rPr>
          <w:rStyle w:val="Strong"/>
          <w:rFonts w:ascii="Times New Roman" w:eastAsia="Times New Roman" w:hAnsi="Times New Roman" w:cs="Times New Roman"/>
          <w:bCs w:val="0"/>
          <w:sz w:val="28"/>
          <w:szCs w:val="28"/>
          <w:lang w:val="uk-UA" w:eastAsia="uk-UA"/>
        </w:rPr>
      </w:pPr>
    </w:p>
    <w:p w14:paraId="0E93531A" w14:textId="77777777" w:rsidR="001115BF" w:rsidRPr="00896730" w:rsidRDefault="001115BF" w:rsidP="00111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7B2A9" w14:textId="6309193D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Безпілотні літальні апарати стають </w:t>
      </w:r>
      <w:r w:rsidR="00896730" w:rsidRPr="00896730">
        <w:rPr>
          <w:rFonts w:ascii="Times New Roman" w:hAnsi="Times New Roman" w:cs="Times New Roman"/>
          <w:sz w:val="28"/>
          <w:szCs w:val="28"/>
          <w:lang w:val="uk-UA"/>
        </w:rPr>
        <w:t>невід’ємною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сучасних технологій, використовуючись в різних сферах, </w:t>
      </w:r>
      <w:r w:rsidR="00896730" w:rsidRPr="00896730">
        <w:rPr>
          <w:rFonts w:ascii="Times New Roman" w:hAnsi="Times New Roman" w:cs="Times New Roman"/>
          <w:sz w:val="28"/>
          <w:szCs w:val="28"/>
          <w:lang w:val="uk-UA"/>
        </w:rPr>
        <w:t>від військових до комерційних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>. Ефективне планування маршрутів БПЛА є важливою задачею, яка вимагає інтеграції передових математичних моделей та інформаційних технологій для забезпечення оптимальної роботи та підвищення ефективності місій.</w:t>
      </w:r>
    </w:p>
    <w:p w14:paraId="1E0B0A0F" w14:textId="44D655D5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маршрутів відноситься до класу складних обчислювальних задач, які можна вирішити за допомогою теорії графів,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поліедрального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аналізу, теорії нечітких множин та методів алгебри топології. Для моделювання пошуку стаціонарних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896730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>, їх ранжування за важливістю та зміни маршрутів польоту використовується базове поняття теорії симплексів</w:t>
      </w:r>
      <w:r w:rsidR="00896730">
        <w:rPr>
          <w:rFonts w:ascii="Times New Roman" w:hAnsi="Times New Roman" w:cs="Times New Roman"/>
          <w:sz w:val="28"/>
          <w:szCs w:val="28"/>
          <w:lang w:val="uk-UA"/>
        </w:rPr>
        <w:t>, відомий як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симпліціарний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Pr="00896730">
        <w:rPr>
          <w:rFonts w:ascii="Times New Roman" w:eastAsia="MS Gothic" w:hAnsi="Times New Roman" w:cs="Times New Roman"/>
          <w:sz w:val="28"/>
          <w:szCs w:val="28"/>
          <w:lang w:val="uk-UA"/>
        </w:rPr>
        <w:t>.</w:t>
      </w:r>
    </w:p>
    <w:p w14:paraId="5EA7AAF4" w14:textId="62331714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Симпліціальний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аналіз дозволяє досліджувати багатовимірні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896730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між елементами системи, що є ключовим для ефективного планування маршрутів у складних організаційно-технічних системах. У такій моделі, крім вузлів і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896730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між ними, основну роль відіграють більш складні об'єкти – симплекси.</w:t>
      </w:r>
    </w:p>
    <w:p w14:paraId="287D7C8C" w14:textId="77777777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маршрутів БПЛА здійснюється за допомогою математичних моделей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поліедрального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аналізу, де система стаціонарних об'єктів розглядається як граф. У цьому графі виділяються симплекси і </w:t>
      </w:r>
      <w:proofErr w:type="spellStart"/>
      <w:r w:rsidRPr="00896730">
        <w:rPr>
          <w:rFonts w:ascii="Times New Roman" w:hAnsi="Times New Roman" w:cs="Times New Roman"/>
          <w:sz w:val="28"/>
          <w:szCs w:val="28"/>
          <w:lang w:val="uk-UA"/>
        </w:rPr>
        <w:t>шукаються</w:t>
      </w:r>
      <w:proofErr w:type="spellEnd"/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точки пріоритетної розвідки. Цей метод включається до системи підтримки прийняття рішень для планування застосування БПЛА з використанням сучасних інформаційних технологій.</w:t>
      </w:r>
    </w:p>
    <w:p w14:paraId="1D6AE893" w14:textId="5D095213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Інформаційна технологія планування дій складається з двох основних частин: автоматизованого виявлення та класифікації об'єктів, а також планування маршрутів польотів. Система підтримки прийняття рішень базується на обробці інформаційних потоків, що дозволяє оперативно змінювати маршрути польотів у процесі виконання місій за результатами розпізнавання зображень.</w:t>
      </w:r>
    </w:p>
    <w:p w14:paraId="3F100759" w14:textId="52B233EA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t>Загальна структура знання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730">
        <w:rPr>
          <w:rFonts w:ascii="Times New Roman" w:hAnsi="Times New Roman" w:cs="Times New Roman"/>
          <w:sz w:val="28"/>
          <w:szCs w:val="28"/>
          <w:lang w:val="uk-UA"/>
        </w:rPr>
        <w:t>орієнтованої інформаційної технології представлена у вигляді послідовності інформаційних потоків, процесів їх обробки та інструментальних засобів вибору заходів планування маршрутів. Запропонований інструментарій забезпечує ефективну обробку даних та адаптивність системи до змінних умов місії.</w:t>
      </w:r>
    </w:p>
    <w:p w14:paraId="06D5A7B5" w14:textId="51AD013B" w:rsidR="001115BF" w:rsidRPr="00896730" w:rsidRDefault="001115BF" w:rsidP="00111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730">
        <w:rPr>
          <w:rFonts w:ascii="Times New Roman" w:hAnsi="Times New Roman" w:cs="Times New Roman"/>
          <w:sz w:val="28"/>
          <w:szCs w:val="28"/>
          <w:lang w:val="uk-UA"/>
        </w:rPr>
        <w:t xml:space="preserve">Метод автоматизованого планування маршрутів безпілотних літальних апаратів, описаний у цій статті, забезпечує ефективне вирішення задач розвідки та моніторингу стаціонарних об'єктів. Використання сучасних інформаційних технологій і математичних моделей дозволяє створити гнучкі та адаптивні системи планування, які можуть швидко реагувати на зміни в умовах місії. </w:t>
      </w:r>
    </w:p>
    <w:p w14:paraId="631BBDAD" w14:textId="2171C644" w:rsidR="00634A12" w:rsidRPr="00896730" w:rsidRDefault="007926DE" w:rsidP="001115BF">
      <w:pPr>
        <w:spacing w:after="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896730">
        <w:rPr>
          <w:rStyle w:val="Strong"/>
          <w:rFonts w:ascii="Times New Roman" w:hAnsi="Times New Roman" w:cs="Times New Roman"/>
          <w:bCs w:val="0"/>
          <w:sz w:val="24"/>
          <w:szCs w:val="24"/>
          <w:lang w:val="uk-UA"/>
        </w:rPr>
        <w:t>Література</w:t>
      </w:r>
    </w:p>
    <w:p w14:paraId="5D583248" w14:textId="77777777" w:rsidR="001115BF" w:rsidRPr="00896730" w:rsidRDefault="001115BF" w:rsidP="001115BF">
      <w:pPr>
        <w:pStyle w:val="ListParagraph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730">
        <w:rPr>
          <w:rFonts w:ascii="Times New Roman" w:hAnsi="Times New Roman" w:cs="Times New Roman"/>
          <w:sz w:val="24"/>
          <w:szCs w:val="24"/>
        </w:rPr>
        <w:t>Saif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 A. F. M. S.,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Prabuwono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 A. S.,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Mahayuddin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 Z. R.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UAV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Aerial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>. 2014. P. 1–12. URL: </w:t>
      </w:r>
      <w:hyperlink r:id="rId6" w:tgtFrame="_blank" w:history="1">
        <w:r w:rsidRPr="0089673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https://doi.org/10.1155/2014/890619</w:t>
        </w:r>
      </w:hyperlink>
      <w:r w:rsidRPr="00896730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96730">
        <w:rPr>
          <w:rFonts w:ascii="Times New Roman" w:hAnsi="Times New Roman" w:cs="Times New Roman"/>
          <w:sz w:val="24"/>
          <w:szCs w:val="24"/>
        </w:rPr>
        <w:t>: 12.05.2024).</w:t>
      </w:r>
    </w:p>
    <w:p w14:paraId="1B8DD15F" w14:textId="4FC48FB5" w:rsidR="001115BF" w:rsidRPr="00896730" w:rsidRDefault="001115BF" w:rsidP="001115BF">
      <w:pPr>
        <w:pStyle w:val="ListParagraph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Balancing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search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target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response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cooperative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unmanned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aerial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vehicle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(UAV)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 /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Yan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Jin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IEEE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Transactions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Cybernetics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Part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 (</w:t>
      </w:r>
      <w:proofErr w:type="spellStart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Cybernetics</w:t>
      </w:r>
      <w:proofErr w:type="spellEnd"/>
      <w:r w:rsidRPr="008967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. 2006.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. 36,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>. 3. P. 571–587. URL: </w:t>
      </w:r>
      <w:hyperlink r:id="rId7" w:tgtFrame="_blank" w:history="1">
        <w:r w:rsidRPr="00896730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https://doi.org/10.1109/tsmcb.2005.861881</w:t>
        </w:r>
      </w:hyperlink>
      <w:r w:rsidRPr="00896730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730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896730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8967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730">
        <w:rPr>
          <w:rFonts w:ascii="Times New Roman" w:hAnsi="Times New Roman" w:cs="Times New Roman"/>
          <w:color w:val="000000"/>
          <w:sz w:val="24"/>
          <w:szCs w:val="24"/>
        </w:rPr>
        <w:t>.05.2024).</w:t>
      </w:r>
    </w:p>
    <w:sectPr w:rsidR="001115BF" w:rsidRPr="00896730" w:rsidSect="00792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1E8"/>
    <w:multiLevelType w:val="hybridMultilevel"/>
    <w:tmpl w:val="0838A5DE"/>
    <w:lvl w:ilvl="0" w:tplc="A3B85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D63"/>
    <w:multiLevelType w:val="hybridMultilevel"/>
    <w:tmpl w:val="B8621B78"/>
    <w:lvl w:ilvl="0" w:tplc="4A84F78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EA1D7C"/>
    <w:multiLevelType w:val="hybridMultilevel"/>
    <w:tmpl w:val="9A16C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645"/>
    <w:multiLevelType w:val="multilevel"/>
    <w:tmpl w:val="263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C00C3"/>
    <w:multiLevelType w:val="hybridMultilevel"/>
    <w:tmpl w:val="089EDADA"/>
    <w:lvl w:ilvl="0" w:tplc="A53A2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430C"/>
    <w:multiLevelType w:val="hybridMultilevel"/>
    <w:tmpl w:val="DD64F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8422">
    <w:abstractNumId w:val="4"/>
  </w:num>
  <w:num w:numId="2" w16cid:durableId="677854889">
    <w:abstractNumId w:val="3"/>
  </w:num>
  <w:num w:numId="3" w16cid:durableId="1143350191">
    <w:abstractNumId w:val="0"/>
  </w:num>
  <w:num w:numId="4" w16cid:durableId="1662999087">
    <w:abstractNumId w:val="1"/>
  </w:num>
  <w:num w:numId="5" w16cid:durableId="505824105">
    <w:abstractNumId w:val="5"/>
  </w:num>
  <w:num w:numId="6" w16cid:durableId="103843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90"/>
    <w:rsid w:val="00011012"/>
    <w:rsid w:val="000A6518"/>
    <w:rsid w:val="000B079C"/>
    <w:rsid w:val="001115BF"/>
    <w:rsid w:val="00150CBC"/>
    <w:rsid w:val="00152710"/>
    <w:rsid w:val="002004C9"/>
    <w:rsid w:val="003267BD"/>
    <w:rsid w:val="00386990"/>
    <w:rsid w:val="003C7571"/>
    <w:rsid w:val="003F6C72"/>
    <w:rsid w:val="00540E39"/>
    <w:rsid w:val="00586B7B"/>
    <w:rsid w:val="005D5D44"/>
    <w:rsid w:val="00603488"/>
    <w:rsid w:val="00634A12"/>
    <w:rsid w:val="006D5CB7"/>
    <w:rsid w:val="007926DE"/>
    <w:rsid w:val="00807A7B"/>
    <w:rsid w:val="00896730"/>
    <w:rsid w:val="008A4B7B"/>
    <w:rsid w:val="00AB2E44"/>
    <w:rsid w:val="00AE2FFA"/>
    <w:rsid w:val="00B507EE"/>
    <w:rsid w:val="00D2033E"/>
    <w:rsid w:val="00D24EDB"/>
    <w:rsid w:val="00D37FAE"/>
    <w:rsid w:val="00D54F9D"/>
    <w:rsid w:val="00D603E3"/>
    <w:rsid w:val="00D705DD"/>
    <w:rsid w:val="00DB4324"/>
    <w:rsid w:val="00DF1660"/>
    <w:rsid w:val="00F46319"/>
    <w:rsid w:val="00F770E9"/>
    <w:rsid w:val="00F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A5EDC"/>
  <w15:docId w15:val="{239C1A61-C60A-48B2-8359-577AF55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99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Strong">
    <w:name w:val="Strong"/>
    <w:basedOn w:val="DefaultParagraphFont"/>
    <w:uiPriority w:val="22"/>
    <w:qFormat/>
    <w:rsid w:val="00386990"/>
    <w:rPr>
      <w:b/>
      <w:bCs/>
    </w:rPr>
  </w:style>
  <w:style w:type="paragraph" w:styleId="NormalWeb">
    <w:name w:val="Normal (Web)"/>
    <w:basedOn w:val="Normal"/>
    <w:uiPriority w:val="99"/>
    <w:unhideWhenUsed/>
    <w:rsid w:val="0038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Emphasis">
    <w:name w:val="Emphasis"/>
    <w:basedOn w:val="DefaultParagraphFont"/>
    <w:uiPriority w:val="20"/>
    <w:qFormat/>
    <w:rsid w:val="00386990"/>
    <w:rPr>
      <w:i/>
      <w:iCs/>
    </w:rPr>
  </w:style>
  <w:style w:type="paragraph" w:styleId="ListParagraph">
    <w:name w:val="List Paragraph"/>
    <w:basedOn w:val="Normal"/>
    <w:uiPriority w:val="34"/>
    <w:qFormat/>
    <w:rsid w:val="002004C9"/>
    <w:pPr>
      <w:spacing w:after="160" w:line="256" w:lineRule="auto"/>
      <w:ind w:left="720"/>
      <w:contextualSpacing/>
    </w:pPr>
    <w:rPr>
      <w:lang w:val="uk-UA"/>
    </w:rPr>
  </w:style>
  <w:style w:type="character" w:styleId="Hyperlink">
    <w:name w:val="Hyperlink"/>
    <w:basedOn w:val="DefaultParagraphFont"/>
    <w:uiPriority w:val="99"/>
    <w:unhideWhenUsed/>
    <w:rsid w:val="00011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09/tsmcb.2005.8618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55/2014/8906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FDC-B333-419C-93C7-5AC31EF9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11</cp:revision>
  <dcterms:created xsi:type="dcterms:W3CDTF">2022-10-10T08:31:00Z</dcterms:created>
  <dcterms:modified xsi:type="dcterms:W3CDTF">2024-05-14T20:55:00Z</dcterms:modified>
</cp:coreProperties>
</file>