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D4098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Швець Сергій Валерійович, аспірант, </w:t>
      </w:r>
    </w:p>
    <w:p w14:paraId="4D03B4C6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Приватний вищий навчальний заклад </w:t>
      </w:r>
    </w:p>
    <w:p w14:paraId="223AFA8E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"Європейський університет"</w:t>
      </w:r>
    </w:p>
    <w:p w14:paraId="4BAADF45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ORCID: 0009-0006-0060-7760</w:t>
      </w:r>
    </w:p>
    <w:p w14:paraId="7544310E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Науковий керівник: Яровий Роман Олександрович, </w:t>
      </w:r>
    </w:p>
    <w:p w14:paraId="541AE1DE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кандидат технічних наук, доцент, </w:t>
      </w:r>
    </w:p>
    <w:p w14:paraId="2657DE30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Приватний вищий навчальний заклад </w:t>
      </w:r>
    </w:p>
    <w:p w14:paraId="13F3976E" w14:textId="77777777" w:rsidR="00407083" w:rsidRPr="00407083" w:rsidRDefault="00407083" w:rsidP="0040708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UA"/>
        </w:rPr>
      </w:pPr>
      <w:r w:rsidRPr="00407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UA"/>
        </w:rPr>
        <w:t>"Європейський університет"</w:t>
      </w:r>
    </w:p>
    <w:p w14:paraId="03050F16" w14:textId="77777777" w:rsidR="00407083" w:rsidRPr="00407083" w:rsidRDefault="00407083" w:rsidP="0040708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14:paraId="00000001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  <w:lang w:val="ru-UA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НАДМІРНІСТЬ ГЛИБОКИХ АРХІТЕКТУР ТА ЇХ ОПТИМІЗАЦІЯ ДЛЯ E-COMMERCE</w:t>
      </w:r>
    </w:p>
    <w:p w14:paraId="00000002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03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 xml:space="preserve">Надмірність сучасних </w:t>
      </w:r>
      <w:proofErr w:type="spellStart"/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>архітектур</w:t>
      </w:r>
      <w:proofErr w:type="spellEnd"/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 xml:space="preserve"> для E-</w:t>
      </w:r>
      <w:proofErr w:type="spellStart"/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>commerce</w:t>
      </w:r>
      <w:proofErr w:type="spellEnd"/>
    </w:p>
    <w:p w14:paraId="00000004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05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Сучасні глибокі архітектури, включаючи класичні CNN (VGG,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ResNet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), гібридні CNN з механізмами уваги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attention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-модулі) та чисті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трансформерні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моделі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Vision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Transformers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), характеризуються значною надмірною параметризацією та обчислювальною складністю для розв’язання задач класифікації в домені електронної комерції (e-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) [1][4]. Ці моделі, що часто містять мільйони або навіть мільярди параметрів, були розроблені для досягнення проривних результатів у загальних, візуально неструктурованих задачах, таких як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ImageNet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[4].</w:t>
      </w:r>
    </w:p>
    <w:p w14:paraId="00000006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07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Ключова проблема полягає в тому, що універсальна генералізація, властива цим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архітектурам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, не є критичною вимогою в умовах стандартизованих зображень 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[4]. Універсальні моделі здатні обробляти широкий спектр візуальних варіацій (різні ракурси, освітлення, фони), проте стандартизовані зображення товарів мінімізують цю внутрішньокласову та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міжкласову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варіативність [4]. Відповідно, великий обсяг параметрів та глибока архітектура, необхідні для вивчення складних ієрархічних ознак у загальному візуальному просторі, стають надлишковими [4].</w:t>
      </w:r>
    </w:p>
    <w:p w14:paraId="00000008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09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lastRenderedPageBreak/>
        <w:t xml:space="preserve">Надмірна складність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архітектур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безпосередньо корелює з обчислювальними витратами та практичними обмеженнями під час розгортання [1][4]. Наприклад, модель ResNet-50 вимагає понад 3,8 мільярда операцій з плаваючою комою (FLOPS) для обробки одного зображення та має великий обсяг пам’яті [1][4]. Таким чином, підтримка таких "важких" моделей у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production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-середовищі (зокрема, на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edge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-пристроях або для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real-time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інференсу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 призводить до неприйнятно високої затримки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latency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 та значних енергетичних витрат, що суперечить вимогам економічної ефективності[1].</w:t>
      </w:r>
    </w:p>
    <w:p w14:paraId="0000000B" w14:textId="77777777" w:rsidR="00F012D8" w:rsidRPr="00407083" w:rsidRDefault="00F012D8" w:rsidP="00407083">
      <w:pPr>
        <w:spacing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0C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>Доменні характеристики E-</w:t>
      </w:r>
      <w:proofErr w:type="spellStart"/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 xml:space="preserve"> як передумова оптимізації</w:t>
      </w:r>
    </w:p>
    <w:p w14:paraId="0000000D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  <w:lang w:val="uk-UA"/>
        </w:rPr>
      </w:pPr>
    </w:p>
    <w:p w14:paraId="0000000E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Домен електронної комерції характеризується специфічними візуальними обмеженнями, які створюють ідеальні передумови для застосування технік компресії моделі та легковагового архітектурного дизайну [2][4].</w:t>
      </w:r>
    </w:p>
    <w:p w14:paraId="0000000F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0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Контрольоване середовище знімання товарних зображень є ключовою особливістю [4]. Це середовище передбачає стабільні, часто однотонні фони та стандартизоване освітлення. Відповідно, візуальні дані демонструють низьку ентропію класів та повторювані візуальні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патерни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, що мінімізує зовнішні візуальні шуми, які зазвичай вимагають надійного механізму узагальнення глибоких мереж [4].</w:t>
      </w:r>
    </w:p>
    <w:p w14:paraId="00000011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2" w14:textId="77777777" w:rsidR="00F012D8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Обмеження варіативності вхідних даних (зокрема, типові ракурси та відсутність складних контекстів) означає, що для успішної класифікації достатньо вивчити меншу кількість параметрів [4]. Можна зазначити, що значна частина нейронів і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зв'язків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у глибоких мережах, навчених на загальних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датасетах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, стає надлишковою для цього вузького домену [1]. </w:t>
      </w:r>
    </w:p>
    <w:p w14:paraId="7F16B8AD" w14:textId="77777777" w:rsidR="00407083" w:rsidRPr="00407083" w:rsidRDefault="00407083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3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lastRenderedPageBreak/>
        <w:t>Таким чином, доменні характеристики 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підтримують ефективне застосування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прунінгу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(видалення некритичних ваг/каналів) [4] та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квантизації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(зниження точності представлення параметрів) [4].</w:t>
      </w:r>
    </w:p>
    <w:p w14:paraId="00000014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5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>Оптимізація як комплексний протокол</w:t>
      </w:r>
    </w:p>
    <w:p w14:paraId="00000016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7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Оптимізація глибоких нейронних мереж для розгортання в комерційних системах є комплексним протоколом, що інтегрує стратегії архітектурного спрощення, компресії моделі та оптимізації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інференсу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[2][4]. Цей протокол спрямований на забезпечення балансу між продуктивністю та обчислювальною ефективністю[2].</w:t>
      </w:r>
    </w:p>
    <w:p w14:paraId="00000018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9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Протокол оптимізації має включати кілька етапів, які можуть застосовуватися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гібридно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для максимізації ефекту [1][2]. Архітектурне спрощення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lightweight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design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, наприклад,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MobileNet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або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SqueezeNet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 передбачає створення мережі з меншою кількістю параметрів та FLOPS, використовуючи, зокрема, глибинно-роздільні згортки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depthwise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separable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convolutions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) [4]. </w:t>
      </w:r>
    </w:p>
    <w:p w14:paraId="0000001A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Наступний етап — це доменний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fine-tuning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, який адаптує ваги попередньо навченої або спрощеної моделі до специфіки цільового набору даних 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, часто допомагаючи відновити точність, втрачену після компресії [2].</w:t>
      </w:r>
    </w:p>
    <w:p w14:paraId="0000001B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C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Компресія моделі є ключовою частиною протоколу та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використовуює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такі техніки:</w:t>
      </w:r>
    </w:p>
    <w:p w14:paraId="0000001D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1E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1.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Прунінг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Pruning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): Систематичне видалення надлишкових або некритичних параметрів, нейронів чи цілих каналів, що призводить до розрідженості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sparsity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 [4].</w:t>
      </w:r>
    </w:p>
    <w:p w14:paraId="0000001F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2.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Квантизація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Quantization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): Зниження бітової точності представлення ваг і активацій (наприклад, з FP32 до INT8), що зменшує вимоги до пам'яті та прискорює операції [4].</w:t>
      </w:r>
    </w:p>
    <w:p w14:paraId="00000020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lastRenderedPageBreak/>
        <w:t>3. Дистиляція знань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Knowledge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Distillation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, KD): Передача вивченого знання від великої, точної моделі (</w:t>
      </w:r>
      <w:proofErr w:type="spellStart"/>
      <w:r w:rsidRPr="00407083">
        <w:rPr>
          <w:rFonts w:ascii="Times New Roman" w:hAnsi="Times New Roman" w:cs="Times New Roman"/>
          <w:i/>
          <w:iCs/>
          <w:color w:val="303030"/>
          <w:sz w:val="28"/>
          <w:szCs w:val="28"/>
          <w:highlight w:val="white"/>
        </w:rPr>
        <w:t>teacher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 до меншої, оптимізованої моделі (</w:t>
      </w:r>
      <w:proofErr w:type="spellStart"/>
      <w:r w:rsidRPr="00407083">
        <w:rPr>
          <w:rFonts w:ascii="Times New Roman" w:hAnsi="Times New Roman" w:cs="Times New Roman"/>
          <w:i/>
          <w:iCs/>
          <w:color w:val="303030"/>
          <w:sz w:val="28"/>
          <w:szCs w:val="28"/>
          <w:highlight w:val="white"/>
        </w:rPr>
        <w:t>student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), що дозволяє </w:t>
      </w:r>
      <w:proofErr w:type="spellStart"/>
      <w:r w:rsidRPr="00407083">
        <w:rPr>
          <w:rFonts w:ascii="Times New Roman" w:hAnsi="Times New Roman" w:cs="Times New Roman"/>
          <w:i/>
          <w:iCs/>
          <w:color w:val="303030"/>
          <w:sz w:val="28"/>
          <w:szCs w:val="28"/>
          <w:highlight w:val="white"/>
        </w:rPr>
        <w:t>student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досягти порівнянної продуктивності при значно меншій обчислювальній складності [4][2].</w:t>
      </w:r>
    </w:p>
    <w:p w14:paraId="00000021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22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Домен 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, що характеризується високою структурованістю та низькою ентропією даних, забезпечує високу точність модельної компресії з мінімальною втратою продуктивності, оскільки надлишковість, властива глибоким 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архітектурам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, є цілком усувною</w:t>
      </w:r>
    </w:p>
    <w:p w14:paraId="00000023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24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b/>
          <w:bCs/>
          <w:color w:val="303030"/>
          <w:sz w:val="28"/>
          <w:szCs w:val="28"/>
          <w:highlight w:val="white"/>
        </w:rPr>
        <w:t>Висновки</w:t>
      </w: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</w:t>
      </w:r>
    </w:p>
    <w:p w14:paraId="00000025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26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Оптимізація для 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є багатовимірним процесом, який поєднує архітектурне проектування, гібридні техніки компресії та доменну адаптацію (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fine-tuning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) для забезпечення функціональної щільності та операційної ефективності [4].</w:t>
      </w:r>
    </w:p>
    <w:p w14:paraId="00000027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28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Наукова перспектива та подальші дослідження полягає у зосередженні на розробці автоматизованих та апаратно-орієнтованих методів, здатних досягти оптимального балансу швидкості й точності для специфічних комерційних застосувань [2][4].</w:t>
      </w:r>
    </w:p>
    <w:p w14:paraId="00000029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2A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Актуальним напрямом є аналіз мінімально достатньої глибини моделі, що передбачає визначення найменшої кількості шарів або обчислювальних блоків, які зберігають високу дискримінаційну здатність у домені e-</w:t>
      </w:r>
      <w:proofErr w:type="spellStart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>commerce</w:t>
      </w:r>
      <w:proofErr w:type="spellEnd"/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 xml:space="preserve"> [4]. Оскільки зображення є стандартизованими, можна припустити, що потреба у вивченні глибоких ієрархічних ознак знижується, що дозволяє використовувати менш глибокі архітектури, такі як MobileNetV1/V2, спеціально розроблені для обмежених ресурсів [4].</w:t>
      </w:r>
    </w:p>
    <w:p w14:paraId="5D34D9C1" w14:textId="77777777" w:rsidR="00407083" w:rsidRDefault="00407083" w:rsidP="00407083">
      <w:pPr>
        <w:spacing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</w:p>
    <w:p w14:paraId="0000002F" w14:textId="3C68DCB5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4"/>
          <w:szCs w:val="24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4"/>
          <w:szCs w:val="24"/>
          <w:highlight w:val="white"/>
        </w:rPr>
        <w:lastRenderedPageBreak/>
        <w:t xml:space="preserve">Список джерел: </w:t>
      </w:r>
    </w:p>
    <w:p w14:paraId="1B2AFB13" w14:textId="77777777" w:rsidR="00407083" w:rsidRPr="00407083" w:rsidRDefault="00407083" w:rsidP="00407083">
      <w:pPr>
        <w:pStyle w:val="a5"/>
      </w:pPr>
      <w:r w:rsidRPr="00407083">
        <w:rPr>
          <w:rStyle w:val="a6"/>
        </w:rPr>
        <w:t>[1]</w:t>
      </w:r>
      <w:r w:rsidRPr="00407083">
        <w:br/>
        <w:t xml:space="preserve">Cheng Y., Wang D., Zhou P., Zhang T. A Survey of Model Compression and Acceleration for Deep Neural Networks. 2020. Available at: </w:t>
      </w:r>
      <w:hyperlink r:id="rId4" w:tgtFrame="_new" w:history="1">
        <w:r w:rsidRPr="00407083">
          <w:rPr>
            <w:rStyle w:val="a7"/>
          </w:rPr>
          <w:t>http://arxiv.org/abs/1710.09282</w:t>
        </w:r>
      </w:hyperlink>
    </w:p>
    <w:p w14:paraId="5AEEC8CA" w14:textId="77777777" w:rsidR="00407083" w:rsidRPr="00407083" w:rsidRDefault="00407083" w:rsidP="00407083">
      <w:pPr>
        <w:pStyle w:val="a5"/>
      </w:pPr>
      <w:r w:rsidRPr="00407083">
        <w:rPr>
          <w:rStyle w:val="a6"/>
        </w:rPr>
        <w:t>[2]</w:t>
      </w:r>
      <w:r w:rsidRPr="00407083">
        <w:br/>
        <w:t xml:space="preserve">Dantas P. V., Sabino da Silva W., Cordeiro L. C., Carvalho C. B. A comprehensive review of model compression techniques in machine learning. </w:t>
      </w:r>
      <w:r w:rsidRPr="00407083">
        <w:rPr>
          <w:rStyle w:val="a8"/>
        </w:rPr>
        <w:t>Applied Intelligence</w:t>
      </w:r>
      <w:r w:rsidRPr="00407083">
        <w:t>. 2024. Vol. 54, No. 22. P. 11804–11844. DOI: 10.1007/s10489-024-05747-w.</w:t>
      </w:r>
    </w:p>
    <w:p w14:paraId="1599D2C4" w14:textId="77777777" w:rsidR="00407083" w:rsidRPr="00407083" w:rsidRDefault="00407083" w:rsidP="00407083">
      <w:pPr>
        <w:pStyle w:val="a5"/>
      </w:pPr>
      <w:r w:rsidRPr="00407083">
        <w:rPr>
          <w:rStyle w:val="a6"/>
        </w:rPr>
        <w:t>[3]</w:t>
      </w:r>
      <w:r w:rsidRPr="00407083">
        <w:br/>
        <w:t xml:space="preserve">Moslemi A., Briskina A., Dang Z., Li J. A survey on knowledge distillation: Recent advancements. </w:t>
      </w:r>
      <w:r w:rsidRPr="00407083">
        <w:rPr>
          <w:rStyle w:val="a8"/>
        </w:rPr>
        <w:t>Machine Learning with Applications</w:t>
      </w:r>
      <w:r w:rsidRPr="00407083">
        <w:t>. 2024. Vol. 18. Article 100605. DOI: 10.1016/j.mlwa.2024.100605.</w:t>
      </w:r>
    </w:p>
    <w:p w14:paraId="49375376" w14:textId="77777777" w:rsidR="00407083" w:rsidRPr="00407083" w:rsidRDefault="00407083" w:rsidP="00407083">
      <w:pPr>
        <w:pStyle w:val="a5"/>
      </w:pPr>
      <w:r w:rsidRPr="00407083">
        <w:rPr>
          <w:rStyle w:val="a6"/>
        </w:rPr>
        <w:t>[4]</w:t>
      </w:r>
      <w:r w:rsidRPr="00407083">
        <w:br/>
        <w:t xml:space="preserve">Li Z., Li H., Meng L. Model Compression for Deep Neural Networks: A Survey. </w:t>
      </w:r>
      <w:r w:rsidRPr="00407083">
        <w:rPr>
          <w:rStyle w:val="a8"/>
        </w:rPr>
        <w:t>Computers</w:t>
      </w:r>
      <w:r w:rsidRPr="00407083">
        <w:t>. 2023. Vol. 12, No. 3. DOI: 10.3390/computers12030060.</w:t>
      </w:r>
    </w:p>
    <w:p w14:paraId="00000038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00039" w14:textId="77777777" w:rsidR="00F012D8" w:rsidRPr="00407083" w:rsidRDefault="00F012D8" w:rsidP="004070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00003A" w14:textId="77777777" w:rsidR="00F012D8" w:rsidRPr="00407083" w:rsidRDefault="00000000" w:rsidP="00407083">
      <w:pPr>
        <w:spacing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highlight w:val="white"/>
        </w:rPr>
      </w:pPr>
      <w:r w:rsidRPr="00407083">
        <w:rPr>
          <w:rFonts w:ascii="Times New Roman" w:hAnsi="Times New Roman" w:cs="Times New Roman"/>
          <w:color w:val="303030"/>
          <w:sz w:val="28"/>
          <w:szCs w:val="28"/>
          <w:highlight w:val="white"/>
        </w:rPr>
        <w:tab/>
      </w:r>
    </w:p>
    <w:sectPr w:rsidR="00F012D8" w:rsidRPr="00407083" w:rsidSect="00407083"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1CF54D4-E11A-CF4E-9DED-1BB37E3296D4}"/>
    <w:embedBold r:id="rId2" w:fontKey="{DAB246A1-2A6C-7C48-AC31-933ADE34D211}"/>
    <w:embedItalic r:id="rId3" w:fontKey="{53C15040-FDB6-1241-893C-607C29BE6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C5CEA72-3ABC-5344-89E2-54E2F807AE60}"/>
    <w:embedBold r:id="rId5" w:fontKey="{D5F516E2-A21D-7E49-A0F9-B7CE2313250F}"/>
    <w:embedItalic r:id="rId6" w:fontKey="{9B5223C6-3D00-BB42-953F-7477D040F2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D58BA4D-DB87-1B40-9128-91AAC9B064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E9DFA34-8548-0F4F-93E5-48CB282425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2D8"/>
    <w:rsid w:val="00407083"/>
    <w:rsid w:val="00F0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CDB0C1"/>
  <w15:docId w15:val="{E4632D67-D084-8C4F-938D-F8460F3E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40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/>
    </w:rPr>
  </w:style>
  <w:style w:type="character" w:styleId="a6">
    <w:name w:val="Strong"/>
    <w:basedOn w:val="a0"/>
    <w:uiPriority w:val="22"/>
    <w:qFormat/>
    <w:rsid w:val="00407083"/>
    <w:rPr>
      <w:b/>
      <w:bCs/>
    </w:rPr>
  </w:style>
  <w:style w:type="character" w:styleId="a7">
    <w:name w:val="Hyperlink"/>
    <w:basedOn w:val="a0"/>
    <w:uiPriority w:val="99"/>
    <w:semiHidden/>
    <w:unhideWhenUsed/>
    <w:rsid w:val="00407083"/>
    <w:rPr>
      <w:color w:val="0000FF"/>
      <w:u w:val="single"/>
    </w:rPr>
  </w:style>
  <w:style w:type="character" w:styleId="a8">
    <w:name w:val="Emphasis"/>
    <w:basedOn w:val="a0"/>
    <w:uiPriority w:val="20"/>
    <w:qFormat/>
    <w:rsid w:val="004070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arxiv.org/abs/1710.0928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821</Words>
  <Characters>6012</Characters>
  <Application>Microsoft Office Word</Application>
  <DocSecurity>0</DocSecurity>
  <Lines>154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Sergii Shvets</cp:lastModifiedBy>
  <cp:revision>2</cp:revision>
  <dcterms:created xsi:type="dcterms:W3CDTF">2025-12-09T15:40:00Z</dcterms:created>
  <dcterms:modified xsi:type="dcterms:W3CDTF">2025-12-10T09:10:00Z</dcterms:modified>
</cp:coreProperties>
</file>