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04" w:rsidRPr="00E96271" w:rsidRDefault="00FC1155" w:rsidP="00E96271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Малевич Ганна Ростиславівна, с</w:t>
      </w:r>
      <w:r w:rsidR="009B3504" w:rsidRPr="00E96271">
        <w:rPr>
          <w:rFonts w:ascii="Times New Roman" w:hAnsi="Times New Roman" w:cs="Times New Roman"/>
          <w:sz w:val="28"/>
          <w:szCs w:val="28"/>
          <w:lang w:val="uk-UA"/>
        </w:rPr>
        <w:t>тудентка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96271" w:rsidRDefault="009B3504" w:rsidP="00E96271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Державний торговельно-економічний університет, м. Київ</w:t>
      </w:r>
    </w:p>
    <w:p w:rsidR="009B3504" w:rsidRPr="00E96271" w:rsidRDefault="00B8612A" w:rsidP="00E96271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Шпачук Єлизавета Ігорівна,</w:t>
      </w:r>
      <w:r w:rsidR="00FC1155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студентка,</w:t>
      </w:r>
      <w:r w:rsidR="009B3504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BAF" w:rsidRDefault="009B3504" w:rsidP="00660835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Державний торговельно-економічний університет, м. Київ</w:t>
      </w:r>
    </w:p>
    <w:p w:rsidR="00660835" w:rsidRPr="0089713E" w:rsidRDefault="00FC1155" w:rsidP="00660835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1480" w:rsidRDefault="004E5E40" w:rsidP="003114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ОБОРОТНИМ</w:t>
      </w:r>
      <w:r w:rsidR="002B35A3" w:rsidRPr="00E96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КАПІТАЛ</w:t>
      </w:r>
      <w:r w:rsidRPr="00E96271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2B35A3" w:rsidRPr="00E962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КОРПОРАЦІЙ </w:t>
      </w:r>
    </w:p>
    <w:p w:rsidR="002A2BAF" w:rsidRPr="00E96271" w:rsidRDefault="002A2BAF" w:rsidP="003114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43F" w:rsidRPr="00E96271" w:rsidRDefault="00003E28" w:rsidP="00E96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 умовах економічної нестабільності </w:t>
      </w:r>
      <w:r w:rsidR="004B04C8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у світі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питання виживання компаній та збереження ефективності </w:t>
      </w:r>
      <w:r w:rsidR="004B04C8" w:rsidRPr="00E96271">
        <w:rPr>
          <w:rFonts w:ascii="Times New Roman" w:hAnsi="Times New Roman" w:cs="Times New Roman"/>
          <w:sz w:val="28"/>
          <w:szCs w:val="28"/>
          <w:lang w:val="uk-UA"/>
        </w:rPr>
        <w:t>набувають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значення.</w:t>
      </w:r>
      <w:r w:rsidR="00C95DDD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Як наслідок, за останні 40 років відбулися значні теоретичні зміни у сфері довгострокового інвестування та прийняття фінансових рішень</w:t>
      </w:r>
      <w:r w:rsidR="006608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2BAF">
        <w:rPr>
          <w:rFonts w:ascii="Times New Roman" w:hAnsi="Times New Roman" w:cs="Times New Roman"/>
          <w:sz w:val="28"/>
          <w:szCs w:val="28"/>
          <w:lang w:val="uk-UA"/>
        </w:rPr>
        <w:t>Багато з</w:t>
      </w:r>
      <w:r w:rsidR="00660835" w:rsidRPr="00660835">
        <w:rPr>
          <w:rFonts w:ascii="Times New Roman" w:hAnsi="Times New Roman" w:cs="Times New Roman"/>
          <w:sz w:val="28"/>
          <w:szCs w:val="28"/>
          <w:lang w:val="uk-UA"/>
        </w:rPr>
        <w:t xml:space="preserve"> нови</w:t>
      </w:r>
      <w:r w:rsidR="002A2BAF">
        <w:rPr>
          <w:rFonts w:ascii="Times New Roman" w:hAnsi="Times New Roman" w:cs="Times New Roman"/>
          <w:sz w:val="28"/>
          <w:szCs w:val="28"/>
          <w:lang w:val="uk-UA"/>
        </w:rPr>
        <w:t xml:space="preserve">х концепцій і пов'язаних </w:t>
      </w:r>
      <w:r w:rsidR="00660835" w:rsidRPr="00660835">
        <w:rPr>
          <w:rFonts w:ascii="Times New Roman" w:hAnsi="Times New Roman" w:cs="Times New Roman"/>
          <w:sz w:val="28"/>
          <w:szCs w:val="28"/>
          <w:lang w:val="uk-UA"/>
        </w:rPr>
        <w:t xml:space="preserve">методів зараз успішно застосовуються </w:t>
      </w:r>
      <w:r w:rsidR="002A2BA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60835" w:rsidRPr="00660835">
        <w:rPr>
          <w:rFonts w:ascii="Times New Roman" w:hAnsi="Times New Roman" w:cs="Times New Roman"/>
          <w:sz w:val="28"/>
          <w:szCs w:val="28"/>
          <w:lang w:val="uk-UA"/>
        </w:rPr>
        <w:t>практиці. На противагу цьому</w:t>
      </w:r>
      <w:r w:rsidR="00660835">
        <w:rPr>
          <w:rFonts w:ascii="Times New Roman" w:hAnsi="Times New Roman" w:cs="Times New Roman"/>
          <w:sz w:val="28"/>
          <w:szCs w:val="28"/>
          <w:lang w:val="uk-UA"/>
        </w:rPr>
        <w:t>, на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багат</w:t>
      </w:r>
      <w:r w:rsidR="002A2BAF">
        <w:rPr>
          <w:rFonts w:ascii="Times New Roman" w:hAnsi="Times New Roman" w:cs="Times New Roman"/>
          <w:sz w:val="28"/>
          <w:szCs w:val="28"/>
          <w:lang w:val="uk-UA"/>
        </w:rPr>
        <w:t>о менше уваги приділяється короткостроковому фінансуванню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, зокрема, управлінню оборотним капіталом. 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достатньої кількості досліджень </w:t>
      </w:r>
      <w:r w:rsidR="004B04C8" w:rsidRPr="00E96271">
        <w:rPr>
          <w:rFonts w:ascii="Times New Roman" w:hAnsi="Times New Roman" w:cs="Times New Roman"/>
          <w:sz w:val="28"/>
          <w:szCs w:val="28"/>
          <w:lang w:val="uk-UA"/>
        </w:rPr>
        <w:t>з даної тематики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відображається і на вітчизняному корпора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>тивному секторі: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к зазначає </w:t>
      </w:r>
      <w:proofErr w:type="spellStart"/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Іорга</w:t>
      </w:r>
      <w:proofErr w:type="spellEnd"/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С. М. [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_Ref131253190 \r \h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], українська практика управління оборотним капіталом</w:t>
      </w:r>
      <w:r w:rsidR="004B04C8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є реактивною і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вирішує 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пробле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8A2B14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по мірі їх виникнення, що знижує рівень ефективності 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 </w:t>
      </w:r>
      <w:r w:rsidR="008A2B14" w:rsidRPr="00E96271">
        <w:rPr>
          <w:rFonts w:ascii="Times New Roman" w:hAnsi="Times New Roman" w:cs="Times New Roman"/>
          <w:sz w:val="28"/>
          <w:szCs w:val="28"/>
          <w:lang w:val="uk-UA"/>
        </w:rPr>
        <w:t>управління корпорацією</w:t>
      </w:r>
      <w:r w:rsidR="00492CDF" w:rsidRPr="00E962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04C8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Таке нехтування могло б бути прийнятним, якби питання оборотного капіталу мали відносно невелике значення для корпорації, але ефективне управління оборотним капіталом відіграє вирішальну роль у підвищенні прибутковості і стало невід'ємною частиною щоденної діяльності корпорації.</w:t>
      </w:r>
    </w:p>
    <w:p w:rsidR="00062013" w:rsidRPr="00E96271" w:rsidRDefault="00062013" w:rsidP="00E96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Управління о</w:t>
      </w:r>
      <w:r w:rsidR="004E5E40" w:rsidRPr="00E96271">
        <w:rPr>
          <w:rFonts w:ascii="Times New Roman" w:hAnsi="Times New Roman" w:cs="Times New Roman"/>
          <w:sz w:val="28"/>
          <w:szCs w:val="28"/>
          <w:lang w:val="uk-UA"/>
        </w:rPr>
        <w:t>боротним капіталом є дуже чутливим питанням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E40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сфе</w:t>
      </w:r>
      <w:r w:rsidR="004E5E40" w:rsidRPr="00E96271">
        <w:rPr>
          <w:rFonts w:ascii="Times New Roman" w:hAnsi="Times New Roman" w:cs="Times New Roman"/>
          <w:sz w:val="28"/>
          <w:szCs w:val="28"/>
          <w:lang w:val="uk-UA"/>
        </w:rPr>
        <w:t>рі фінансового менеджменту</w:t>
      </w:r>
      <w:r w:rsidR="00B252D8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5E40" w:rsidRPr="00E96271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 w:rsidR="006E6DEF" w:rsidRPr="00E96271">
        <w:rPr>
          <w:rFonts w:ascii="Times New Roman" w:hAnsi="Times New Roman" w:cs="Times New Roman"/>
          <w:sz w:val="28"/>
          <w:szCs w:val="28"/>
          <w:lang w:val="uk-UA"/>
        </w:rPr>
        <w:t>планування та контроль поточних активів і поточних зобов’язань таким чином, щоб виключити ризик неспроможності фірми виконати короткострокові зобов’язання та уникнути надмірних інвестицій у ці активи, з іншого боку [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_Ref131253199 \r \h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6E6DE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89713E" w:rsidRPr="0089713E" w:rsidRDefault="0089713E" w:rsidP="002A2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боротний капітал є показником операційної ефективності та короткострокового фінансового стану корпорації. Якщо корпорація має значний позитивний </w:t>
      </w:r>
      <w:r w:rsidR="00D9527F" w:rsidRPr="00E96271">
        <w:rPr>
          <w:rFonts w:ascii="Times New Roman" w:hAnsi="Times New Roman" w:cs="Times New Roman"/>
          <w:sz w:val="28"/>
          <w:szCs w:val="28"/>
          <w:lang w:val="uk-UA"/>
        </w:rPr>
        <w:t>чистий робочий</w:t>
      </w:r>
      <w:r w:rsidR="000E7CB4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капітал (</w:t>
      </w:r>
      <w:proofErr w:type="spellStart"/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t>W</w:t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>orking</w:t>
      </w:r>
      <w:proofErr w:type="spellEnd"/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t>C</w:t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>apital</w:t>
      </w:r>
      <w:proofErr w:type="spellEnd"/>
      <w:r w:rsidR="000E7CB4" w:rsidRPr="00E962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, тоді вона може мати </w:t>
      </w:r>
      <w:r w:rsidR="00490AF6" w:rsidRPr="00E9627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потенціал для інвестування в розширення та зростання корпорації. Якщо оборотні активи корпорації не перевищують її поточні зобов’язання, у неї можуть виникнути проблеми з ростом чи погашенням кредитів.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Відсоток фірм</w:t>
      </w:r>
      <w:r w:rsidR="00727F69" w:rsidRPr="00E96271">
        <w:rPr>
          <w:rFonts w:ascii="Times New Roman" w:hAnsi="Times New Roman" w:cs="Times New Roman"/>
          <w:sz w:val="28"/>
          <w:szCs w:val="28"/>
          <w:lang w:val="uk-UA"/>
        </w:rPr>
        <w:t>, які використовують банківські позики для фінансування оборотного капіталу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країнах з різнем рівнем доходу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відображено </w:t>
      </w:r>
      <w:r w:rsidR="00122821" w:rsidRPr="00E962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табл. 1.</w:t>
      </w:r>
      <w:r w:rsidR="00727F69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7F69" w:rsidRPr="002A2BAF" w:rsidRDefault="00122821" w:rsidP="00E962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A2BAF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727F69" w:rsidRPr="00E96271" w:rsidRDefault="00122821" w:rsidP="00E96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Відсоток компаній</w:t>
      </w:r>
      <w:r w:rsidR="00727F69" w:rsidRPr="00E96271">
        <w:rPr>
          <w:rFonts w:ascii="Times New Roman" w:hAnsi="Times New Roman" w:cs="Times New Roman"/>
          <w:sz w:val="28"/>
          <w:szCs w:val="28"/>
          <w:lang w:val="uk-UA"/>
        </w:rPr>
        <w:t>, які використовують банки для фінансування оборотного капіталу в країнах з різним рівнем доходу</w:t>
      </w:r>
      <w:r w:rsidR="00DD4DCC" w:rsidRPr="00E96271">
        <w:rPr>
          <w:rFonts w:ascii="Times New Roman" w:hAnsi="Times New Roman" w:cs="Times New Roman"/>
          <w:sz w:val="28"/>
          <w:szCs w:val="28"/>
          <w:lang w:val="uk-UA"/>
        </w:rPr>
        <w:t>, у %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F87" w:rsidRPr="00E96271">
        <w:rPr>
          <w:rFonts w:ascii="Times New Roman" w:hAnsi="Times New Roman" w:cs="Times New Roman"/>
          <w:sz w:val="28"/>
          <w:szCs w:val="28"/>
          <w:lang w:val="uk-UA"/>
        </w:rPr>
        <w:t>фірм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727F69" w:rsidRPr="00E96271" w:rsidTr="00EA381A">
        <w:tc>
          <w:tcPr>
            <w:tcW w:w="5665" w:type="dxa"/>
          </w:tcPr>
          <w:p w:rsidR="00727F69" w:rsidRPr="00E96271" w:rsidRDefault="00727F69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</w:t>
            </w:r>
          </w:p>
        </w:tc>
        <w:tc>
          <w:tcPr>
            <w:tcW w:w="3680" w:type="dxa"/>
          </w:tcPr>
          <w:p w:rsidR="00727F69" w:rsidRPr="00E96271" w:rsidRDefault="00727F69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28.7</w:t>
            </w:r>
          </w:p>
        </w:tc>
      </w:tr>
      <w:tr w:rsidR="00727F69" w:rsidRPr="00E96271" w:rsidTr="00EA381A">
        <w:tc>
          <w:tcPr>
            <w:tcW w:w="5665" w:type="dxa"/>
          </w:tcPr>
          <w:p w:rsidR="00727F69" w:rsidRPr="00E96271" w:rsidRDefault="00DD4DCC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високим рівнем доходу</w:t>
            </w:r>
          </w:p>
        </w:tc>
        <w:tc>
          <w:tcPr>
            <w:tcW w:w="3680" w:type="dxa"/>
          </w:tcPr>
          <w:p w:rsidR="00727F69" w:rsidRPr="00E96271" w:rsidRDefault="00727F69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34.8</w:t>
            </w:r>
          </w:p>
        </w:tc>
      </w:tr>
      <w:tr w:rsidR="00122821" w:rsidRPr="00E96271" w:rsidTr="00EA381A">
        <w:tc>
          <w:tcPr>
            <w:tcW w:w="5665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рівнем доходу вище середнього</w:t>
            </w:r>
          </w:p>
        </w:tc>
        <w:tc>
          <w:tcPr>
            <w:tcW w:w="3680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32.9</w:t>
            </w:r>
          </w:p>
        </w:tc>
      </w:tr>
      <w:tr w:rsidR="00122821" w:rsidRPr="00E96271" w:rsidTr="00EA381A">
        <w:tc>
          <w:tcPr>
            <w:tcW w:w="5665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середнім рівнем доходу</w:t>
            </w:r>
          </w:p>
        </w:tc>
        <w:tc>
          <w:tcPr>
            <w:tcW w:w="3680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28.9</w:t>
            </w:r>
          </w:p>
        </w:tc>
      </w:tr>
      <w:tr w:rsidR="00122821" w:rsidRPr="00E96271" w:rsidTr="00EA381A">
        <w:tc>
          <w:tcPr>
            <w:tcW w:w="5665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низьким і середнім рівнем доходу</w:t>
            </w:r>
          </w:p>
        </w:tc>
        <w:tc>
          <w:tcPr>
            <w:tcW w:w="3680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26.9</w:t>
            </w:r>
          </w:p>
        </w:tc>
      </w:tr>
      <w:tr w:rsidR="00122821" w:rsidRPr="00E96271" w:rsidTr="00EA381A">
        <w:tc>
          <w:tcPr>
            <w:tcW w:w="5665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рівнем доходу нижче середнього</w:t>
            </w:r>
          </w:p>
        </w:tc>
        <w:tc>
          <w:tcPr>
            <w:tcW w:w="3680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26.2</w:t>
            </w:r>
          </w:p>
        </w:tc>
      </w:tr>
      <w:tr w:rsidR="00122821" w:rsidRPr="00E96271" w:rsidTr="00EA381A">
        <w:tc>
          <w:tcPr>
            <w:tcW w:w="5665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з низький рівнем доходу</w:t>
            </w:r>
          </w:p>
        </w:tc>
        <w:tc>
          <w:tcPr>
            <w:tcW w:w="3680" w:type="dxa"/>
          </w:tcPr>
          <w:p w:rsidR="00122821" w:rsidRPr="00E96271" w:rsidRDefault="00122821" w:rsidP="00E962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6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20.2</w:t>
            </w:r>
          </w:p>
        </w:tc>
      </w:tr>
    </w:tbl>
    <w:p w:rsidR="001C0134" w:rsidRPr="00E96271" w:rsidRDefault="00727F69" w:rsidP="008971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Джерело: складено авторами на основі </w:t>
      </w:r>
      <w:r w:rsidR="00DD4DCC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даних Світового банку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_Ref131335130 \r \h </w:instrText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</w:r>
      <w:r w:rsid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]</w:t>
      </w:r>
      <w:bookmarkStart w:id="0" w:name="_GoBack"/>
      <w:bookmarkEnd w:id="0"/>
    </w:p>
    <w:p w:rsidR="00502879" w:rsidRPr="00E96271" w:rsidRDefault="00683E27" w:rsidP="00E96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>Як і багато інших показників, показник оборотного ка</w:t>
      </w:r>
      <w:r w:rsidR="001E240D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піталу має обмеження. Окрім усього іншого,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це метрика поверхневого рівня, якою можна маніпулю</w:t>
      </w:r>
      <w:r w:rsidR="001E240D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вати. Наприклад,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активи корпорації, такі як її дебіторська заборгованість, можуть бути завищені, щоб зробити її фінансову картину більш привабливою. </w:t>
      </w:r>
      <w:r w:rsidR="001E240D" w:rsidRPr="00E96271">
        <w:rPr>
          <w:rFonts w:ascii="Times New Roman" w:hAnsi="Times New Roman" w:cs="Times New Roman"/>
          <w:sz w:val="28"/>
          <w:szCs w:val="28"/>
          <w:lang w:val="uk-UA"/>
        </w:rPr>
        <w:t>Саме тому, п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ри вимірюванні </w:t>
      </w:r>
      <w:r w:rsidR="00003E28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управління оборотним капіталом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важл</w:t>
      </w:r>
      <w:r w:rsidR="00AF6A13" w:rsidRPr="00E96271">
        <w:rPr>
          <w:rFonts w:ascii="Times New Roman" w:hAnsi="Times New Roman" w:cs="Times New Roman"/>
          <w:sz w:val="28"/>
          <w:szCs w:val="28"/>
          <w:lang w:val="uk-UA"/>
        </w:rPr>
        <w:t>ивим є врахування таких показників</w:t>
      </w:r>
      <w:r w:rsidR="001E240D" w:rsidRPr="00E962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6A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як: поточний коефіцієнт, також відомий як коефіцієнт поточного капіталу, – є індикатором ліквідності та надає інвесторам орієнтир для оцінки ліквідності; оборот дебіторської заборгованості – допомагає кількісно визначити, скільки часу потрібно для збору рахунків-фактур і боргів перед підприємством; о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борот кредиторської заборгованості</w:t>
      </w:r>
      <w:r w:rsidR="00AF6A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описує, скільки часу потрібно для виплати боргів, і є ключовим показником ліквідності та управління грошовими по</w:t>
      </w:r>
      <w:r w:rsidR="00AF6A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токами; та цикл оборотного капіталу – 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>показник визначає, скільки часу потрібно підприємству, щоб перетворити ресурси</w:t>
      </w:r>
      <w:r w:rsidR="002A2BAF">
        <w:rPr>
          <w:rFonts w:ascii="Times New Roman" w:hAnsi="Times New Roman" w:cs="Times New Roman"/>
          <w:sz w:val="28"/>
          <w:szCs w:val="28"/>
          <w:lang w:val="uk-UA"/>
        </w:rPr>
        <w:t>, включаючи ТМЗ та дебіторську заборгованість,</w:t>
      </w: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у готівку.</w:t>
      </w:r>
      <w:r w:rsidR="00541D19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013" w:rsidRPr="00E96271" w:rsidRDefault="001957E9" w:rsidP="00E96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E80E07" w:rsidRPr="00E96271">
        <w:rPr>
          <w:rFonts w:ascii="Times New Roman" w:hAnsi="Times New Roman" w:cs="Times New Roman"/>
          <w:sz w:val="28"/>
          <w:szCs w:val="28"/>
          <w:lang w:val="uk-UA"/>
        </w:rPr>
        <w:t>посіб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оборотним капіталом може мати значний вплив як на ліквідніст</w:t>
      </w:r>
      <w:r w:rsidR="00CD0C3A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ь, так і на прибутковість корпорації. 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>Наприклад, рішення, спрямовані на максимізацію прибутковості, як правило, мінімізують</w:t>
      </w:r>
      <w:r w:rsidR="00CD0C3A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шанси на достатню ліквідність.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І навпаки, зосередження майже повністю на ліквідності призведе до зниження по</w:t>
      </w:r>
      <w:r w:rsidR="00CD0C3A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тенційної прибутковості корпорації. </w:t>
      </w:r>
      <w:r w:rsidR="000E7CB4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Корпорація може мати більші продажі за допомогою щедрої кредитної політики, яка подовжує грошовий цикл. У цьому випадку довший цикл конвертації готівки може призвести до вищої прибутковості. 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>Однак традиційний погляд на взаємозв’язо</w:t>
      </w:r>
      <w:r w:rsidR="00705721">
        <w:rPr>
          <w:rFonts w:ascii="Times New Roman" w:hAnsi="Times New Roman" w:cs="Times New Roman"/>
          <w:sz w:val="28"/>
          <w:szCs w:val="28"/>
          <w:lang w:val="uk-UA"/>
        </w:rPr>
        <w:t>к між циклом оборотного капіталу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та корпоративною прибутковістю полягає в тому, що з</w:t>
      </w:r>
      <w:r w:rsidR="00705721">
        <w:rPr>
          <w:rFonts w:ascii="Times New Roman" w:hAnsi="Times New Roman" w:cs="Times New Roman"/>
          <w:sz w:val="28"/>
          <w:szCs w:val="28"/>
          <w:lang w:val="uk-UA"/>
        </w:rPr>
        <w:t>а інших рівних умов довший цикл</w:t>
      </w:r>
      <w:r w:rsidR="00062013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впливає на прибутковість</w:t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REF _Ref131253213 \r \h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</w:r>
      <w:r w:rsidR="00122821" w:rsidRPr="00E96271">
        <w:rPr>
          <w:rFonts w:ascii="Times New Roman" w:hAnsi="Times New Roman" w:cs="Times New Roman"/>
          <w:sz w:val="28"/>
          <w:szCs w:val="28"/>
          <w:lang w:val="uk-UA"/>
        </w:rPr>
        <w:instrText xml:space="preserve"> \* MERGEFORMAT </w:instrTex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743F" w:rsidRPr="00E9627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D0C3A" w:rsidRPr="00E962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4ACB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BAF" w:rsidRDefault="00F34ACB" w:rsidP="002A2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вищенаведеного, </w:t>
      </w:r>
      <w:r w:rsidR="00BE7A0E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від прийняття </w:t>
      </w:r>
      <w:r w:rsidR="00683E27" w:rsidRPr="00E96271">
        <w:rPr>
          <w:rFonts w:ascii="Times New Roman" w:hAnsi="Times New Roman" w:cs="Times New Roman"/>
          <w:sz w:val="28"/>
          <w:szCs w:val="28"/>
          <w:lang w:val="uk-UA"/>
        </w:rPr>
        <w:t>рішень щодо суми та складу поточних активів</w:t>
      </w:r>
      <w:r w:rsidR="00D9527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E27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цих активів </w:t>
      </w:r>
      <w:r w:rsidR="00D9527F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та ефективності їх використання </w:t>
      </w:r>
      <w:r w:rsidR="00BE7A0E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залежить як вартість корпорації, так і рівень </w:t>
      </w:r>
      <w:r w:rsidR="00683E27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BE7A0E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ризику. </w:t>
      </w:r>
      <w:r w:rsidR="00D92B3B" w:rsidRPr="00E96271">
        <w:rPr>
          <w:rFonts w:ascii="Times New Roman" w:hAnsi="Times New Roman" w:cs="Times New Roman"/>
          <w:sz w:val="28"/>
          <w:szCs w:val="28"/>
          <w:lang w:val="uk-UA"/>
        </w:rPr>
        <w:t>А отже, ефективне управління</w:t>
      </w:r>
      <w:r w:rsidR="006B2532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оборотним капіталом</w:t>
      </w:r>
      <w:r w:rsidR="00D92B3B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532" w:rsidRPr="00E96271">
        <w:rPr>
          <w:rFonts w:ascii="Times New Roman" w:hAnsi="Times New Roman" w:cs="Times New Roman"/>
          <w:sz w:val="28"/>
          <w:szCs w:val="28"/>
          <w:lang w:val="uk-UA"/>
        </w:rPr>
        <w:t>є об’єктивною необхідністю для отримання стійкої конкурентної переваги за допомогою ефективного та результативного використання ресурсів організації</w:t>
      </w:r>
      <w:r w:rsidR="00907751" w:rsidRPr="00E96271">
        <w:rPr>
          <w:rFonts w:ascii="Times New Roman" w:hAnsi="Times New Roman" w:cs="Times New Roman"/>
          <w:sz w:val="28"/>
          <w:szCs w:val="28"/>
          <w:lang w:val="uk-UA"/>
        </w:rPr>
        <w:t>, зокрема</w:t>
      </w:r>
      <w:r w:rsidR="006B2532" w:rsidRPr="00E96271">
        <w:rPr>
          <w:rFonts w:ascii="Times New Roman" w:hAnsi="Times New Roman" w:cs="Times New Roman"/>
          <w:sz w:val="28"/>
          <w:szCs w:val="28"/>
          <w:lang w:val="uk-UA"/>
        </w:rPr>
        <w:t xml:space="preserve"> шляхом ретельного скорочення циклу оборотного капіталу.</w:t>
      </w:r>
    </w:p>
    <w:p w:rsidR="00532FA9" w:rsidRPr="00E96271" w:rsidRDefault="00532FA9" w:rsidP="002A2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DD" w:rsidRPr="00E96271" w:rsidRDefault="00715123" w:rsidP="00E962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96271">
        <w:rPr>
          <w:rFonts w:ascii="Times New Roman" w:hAnsi="Times New Roman" w:cs="Times New Roman"/>
          <w:b/>
          <w:sz w:val="24"/>
          <w:szCs w:val="28"/>
          <w:lang w:val="uk-UA"/>
        </w:rPr>
        <w:t>‍</w:t>
      </w:r>
      <w:r w:rsidR="004A1D56" w:rsidRPr="00E96271">
        <w:rPr>
          <w:rFonts w:ascii="Times New Roman" w:hAnsi="Times New Roman" w:cs="Times New Roman"/>
          <w:b/>
          <w:sz w:val="24"/>
          <w:szCs w:val="28"/>
          <w:lang w:val="uk-UA"/>
        </w:rPr>
        <w:t>Література</w:t>
      </w:r>
    </w:p>
    <w:p w:rsidR="00EB743F" w:rsidRPr="00E96271" w:rsidRDefault="00EB743F" w:rsidP="00E96271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1" w:name="_Ref131253190"/>
      <w:bookmarkStart w:id="2" w:name="_Ref131245428"/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Іорга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>, С. М</w:t>
      </w:r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E96271">
        <w:rPr>
          <w:rFonts w:ascii="Times New Roman" w:hAnsi="Times New Roman" w:cs="Times New Roman"/>
          <w:sz w:val="24"/>
          <w:szCs w:val="28"/>
          <w:lang w:val="uk-UA"/>
        </w:rPr>
        <w:t>Особливості фінансування оборотного капіталу ко</w:t>
      </w:r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рпорацій в період пандемії, 2020.</w:t>
      </w:r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URL: </w:t>
      </w:r>
      <w:hyperlink r:id="rId8" w:history="1">
        <w:r w:rsidRPr="00E96271">
          <w:rPr>
            <w:rStyle w:val="a8"/>
            <w:rFonts w:ascii="Times New Roman" w:hAnsi="Times New Roman" w:cs="Times New Roman"/>
            <w:sz w:val="24"/>
            <w:szCs w:val="28"/>
            <w:lang w:val="uk-UA"/>
          </w:rPr>
          <w:t>https://ir.kneu.edu.ua/bitstream/handle/2010/34634/siukf_20_1_6.pdf?sequence=1&amp;isAllowed=y</w:t>
        </w:r>
      </w:hyperlink>
      <w:bookmarkEnd w:id="1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6E6DEF" w:rsidRPr="00E96271" w:rsidRDefault="000E6093" w:rsidP="00E96271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3" w:name="_Ref131253213"/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Deloof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>, M</w:t>
      </w:r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Does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working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capital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management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affect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profitability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Belgian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firms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>?</w:t>
      </w:r>
      <w:r w:rsidR="00057425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Journal</w:t>
      </w:r>
      <w:proofErr w:type="spellEnd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business</w:t>
      </w:r>
      <w:proofErr w:type="spellEnd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finance</w:t>
      </w:r>
      <w:proofErr w:type="spellEnd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&amp; </w:t>
      </w:r>
      <w:proofErr w:type="spellStart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Acc</w:t>
      </w:r>
      <w:r w:rsidRPr="00E96271">
        <w:rPr>
          <w:rFonts w:ascii="Times New Roman" w:hAnsi="Times New Roman" w:cs="Times New Roman"/>
          <w:sz w:val="24"/>
          <w:szCs w:val="28"/>
          <w:lang w:val="uk-UA"/>
        </w:rPr>
        <w:t>ount</w:t>
      </w:r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ing</w:t>
      </w:r>
      <w:proofErr w:type="spellEnd"/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E96271">
        <w:rPr>
          <w:rFonts w:ascii="Times New Roman" w:hAnsi="Times New Roman" w:cs="Times New Roman"/>
          <w:sz w:val="24"/>
          <w:szCs w:val="28"/>
          <w:lang w:val="uk-UA"/>
        </w:rPr>
        <w:t>2003</w:t>
      </w:r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>, 30.3: 573-588</w:t>
      </w:r>
      <w:r w:rsidR="00B252D8" w:rsidRPr="00E96271">
        <w:rPr>
          <w:rFonts w:ascii="Times New Roman" w:hAnsi="Times New Roman" w:cs="Times New Roman"/>
          <w:sz w:val="24"/>
          <w:szCs w:val="28"/>
          <w:lang w:val="uk-UA"/>
        </w:rPr>
        <w:t>.</w:t>
      </w:r>
      <w:bookmarkEnd w:id="2"/>
      <w:bookmarkEnd w:id="3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URL: </w:t>
      </w:r>
      <w:hyperlink r:id="rId9" w:history="1">
        <w:r w:rsidRPr="00E96271">
          <w:rPr>
            <w:rStyle w:val="a8"/>
            <w:rFonts w:ascii="Times New Roman" w:hAnsi="Times New Roman" w:cs="Times New Roman"/>
            <w:sz w:val="24"/>
            <w:szCs w:val="28"/>
            <w:lang w:val="uk-UA"/>
          </w:rPr>
          <w:t>https://messive.files.wordpress.com/2011/07/1-1.pdf</w:t>
        </w:r>
      </w:hyperlink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6E6DEF" w:rsidRPr="00E96271" w:rsidRDefault="006E6DEF" w:rsidP="00E96271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4" w:name="_Ref131246020"/>
      <w:bookmarkStart w:id="5" w:name="_Ref131253199"/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Eljelly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A.M.A.</w:t>
      </w:r>
      <w:bookmarkEnd w:id="4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Liquidity-profitability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tradeoff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An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empirical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investigation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in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an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emerging</w:t>
      </w:r>
      <w:proofErr w:type="spellEnd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mark</w:t>
      </w:r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et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International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Journal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Commerce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0E6093" w:rsidRPr="00E96271">
        <w:rPr>
          <w:rFonts w:ascii="Times New Roman" w:hAnsi="Times New Roman" w:cs="Times New Roman"/>
          <w:sz w:val="24"/>
          <w:szCs w:val="28"/>
          <w:lang w:val="uk-UA"/>
        </w:rPr>
        <w:t>Management</w:t>
      </w:r>
      <w:proofErr w:type="spellEnd"/>
      <w:r w:rsidR="00332653"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, 2004, 14.2: </w:t>
      </w:r>
      <w:r w:rsidR="009B4FB6" w:rsidRPr="00E96271">
        <w:rPr>
          <w:rFonts w:ascii="Times New Roman" w:hAnsi="Times New Roman" w:cs="Times New Roman"/>
          <w:sz w:val="24"/>
          <w:szCs w:val="28"/>
          <w:lang w:val="uk-UA"/>
        </w:rPr>
        <w:t>48-61.</w:t>
      </w:r>
      <w:bookmarkEnd w:id="5"/>
    </w:p>
    <w:p w:rsidR="00122821" w:rsidRPr="0089713E" w:rsidRDefault="00122821" w:rsidP="0089713E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6" w:name="_Ref131246102"/>
      <w:bookmarkStart w:id="7" w:name="_Ref131253205"/>
      <w:bookmarkStart w:id="8" w:name="_Ref131335130"/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Firms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using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banks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to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finance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working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capital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(%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firms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) /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World</w:t>
      </w:r>
      <w:proofErr w:type="spellEnd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96271">
        <w:rPr>
          <w:rFonts w:ascii="Times New Roman" w:hAnsi="Times New Roman" w:cs="Times New Roman"/>
          <w:sz w:val="24"/>
          <w:szCs w:val="28"/>
          <w:lang w:val="uk-UA"/>
        </w:rPr>
        <w:t>Bank</w:t>
      </w:r>
      <w:proofErr w:type="spellEnd"/>
      <w:r w:rsidR="00705721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705721">
        <w:rPr>
          <w:rFonts w:ascii="Times New Roman" w:hAnsi="Times New Roman" w:cs="Times New Roman"/>
          <w:sz w:val="24"/>
          <w:szCs w:val="28"/>
          <w:lang w:val="en-US"/>
        </w:rPr>
        <w:t>Website,</w:t>
      </w:r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2021. URL:  </w:t>
      </w:r>
      <w:hyperlink r:id="rId10" w:history="1">
        <w:r w:rsidRPr="00E96271">
          <w:rPr>
            <w:rStyle w:val="a8"/>
            <w:rFonts w:ascii="Times New Roman" w:hAnsi="Times New Roman" w:cs="Times New Roman"/>
            <w:sz w:val="24"/>
            <w:szCs w:val="28"/>
            <w:lang w:val="uk-UA"/>
          </w:rPr>
          <w:t>https://data.worldbank.org/indicator/IC.FRM.BKWC.ZS?end=2021&amp;start=2002</w:t>
        </w:r>
      </w:hyperlink>
      <w:bookmarkEnd w:id="8"/>
      <w:r w:rsidRPr="00E96271">
        <w:rPr>
          <w:rFonts w:ascii="Times New Roman" w:hAnsi="Times New Roman" w:cs="Times New Roman"/>
          <w:sz w:val="24"/>
          <w:szCs w:val="28"/>
          <w:lang w:val="uk-UA"/>
        </w:rPr>
        <w:t xml:space="preserve">  </w:t>
      </w:r>
      <w:bookmarkEnd w:id="6"/>
      <w:bookmarkEnd w:id="7"/>
    </w:p>
    <w:sectPr w:rsidR="00122821" w:rsidRPr="0089713E" w:rsidSect="00073F82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6D" w:rsidRDefault="00F9106D" w:rsidP="00073F82">
      <w:pPr>
        <w:spacing w:after="0" w:line="240" w:lineRule="auto"/>
      </w:pPr>
      <w:r>
        <w:separator/>
      </w:r>
    </w:p>
  </w:endnote>
  <w:endnote w:type="continuationSeparator" w:id="0">
    <w:p w:rsidR="00F9106D" w:rsidRDefault="00F9106D" w:rsidP="0007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6D" w:rsidRDefault="00F9106D" w:rsidP="00073F82">
      <w:pPr>
        <w:spacing w:after="0" w:line="240" w:lineRule="auto"/>
      </w:pPr>
      <w:r>
        <w:separator/>
      </w:r>
    </w:p>
  </w:footnote>
  <w:footnote w:type="continuationSeparator" w:id="0">
    <w:p w:rsidR="00F9106D" w:rsidRDefault="00F9106D" w:rsidP="0007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34326"/>
      <w:docPartObj>
        <w:docPartGallery w:val="Page Numbers (Top of Page)"/>
        <w:docPartUnique/>
      </w:docPartObj>
    </w:sdtPr>
    <w:sdtEndPr/>
    <w:sdtContent>
      <w:p w:rsidR="00073F82" w:rsidRDefault="00073F8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A9">
          <w:rPr>
            <w:noProof/>
          </w:rPr>
          <w:t>2</w:t>
        </w:r>
        <w:r>
          <w:fldChar w:fldCharType="end"/>
        </w:r>
      </w:p>
    </w:sdtContent>
  </w:sdt>
  <w:p w:rsidR="00073F82" w:rsidRDefault="00073F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646"/>
    <w:multiLevelType w:val="hybridMultilevel"/>
    <w:tmpl w:val="60D6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A43"/>
    <w:multiLevelType w:val="hybridMultilevel"/>
    <w:tmpl w:val="5F8C02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EAF"/>
    <w:multiLevelType w:val="hybridMultilevel"/>
    <w:tmpl w:val="0FD81858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042A39"/>
    <w:multiLevelType w:val="hybridMultilevel"/>
    <w:tmpl w:val="317CEFB4"/>
    <w:lvl w:ilvl="0" w:tplc="48A2C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0483"/>
    <w:multiLevelType w:val="hybridMultilevel"/>
    <w:tmpl w:val="7A2A2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C8"/>
    <w:rsid w:val="00003E28"/>
    <w:rsid w:val="00057425"/>
    <w:rsid w:val="00061AA2"/>
    <w:rsid w:val="00062013"/>
    <w:rsid w:val="00073F82"/>
    <w:rsid w:val="00087324"/>
    <w:rsid w:val="000E6093"/>
    <w:rsid w:val="000E7CB4"/>
    <w:rsid w:val="00122821"/>
    <w:rsid w:val="001957E9"/>
    <w:rsid w:val="001A5F78"/>
    <w:rsid w:val="001C0134"/>
    <w:rsid w:val="001E240D"/>
    <w:rsid w:val="002A2BAF"/>
    <w:rsid w:val="002B35A3"/>
    <w:rsid w:val="002C3EF8"/>
    <w:rsid w:val="00311480"/>
    <w:rsid w:val="00332653"/>
    <w:rsid w:val="003F064A"/>
    <w:rsid w:val="003F2DD1"/>
    <w:rsid w:val="00404075"/>
    <w:rsid w:val="00432500"/>
    <w:rsid w:val="00454E0A"/>
    <w:rsid w:val="00490AF6"/>
    <w:rsid w:val="00492CDF"/>
    <w:rsid w:val="004A1D56"/>
    <w:rsid w:val="004B04C8"/>
    <w:rsid w:val="004D0DA0"/>
    <w:rsid w:val="004E5E40"/>
    <w:rsid w:val="00502879"/>
    <w:rsid w:val="00532FA9"/>
    <w:rsid w:val="00541D19"/>
    <w:rsid w:val="0056349C"/>
    <w:rsid w:val="005B7C09"/>
    <w:rsid w:val="005F10C2"/>
    <w:rsid w:val="00625940"/>
    <w:rsid w:val="00660835"/>
    <w:rsid w:val="00683E27"/>
    <w:rsid w:val="006B2532"/>
    <w:rsid w:val="006E6DEF"/>
    <w:rsid w:val="006F4210"/>
    <w:rsid w:val="00705721"/>
    <w:rsid w:val="00715123"/>
    <w:rsid w:val="00727F69"/>
    <w:rsid w:val="008212AD"/>
    <w:rsid w:val="0089713E"/>
    <w:rsid w:val="008A2B14"/>
    <w:rsid w:val="00907751"/>
    <w:rsid w:val="009951B4"/>
    <w:rsid w:val="009B3504"/>
    <w:rsid w:val="009B4FB6"/>
    <w:rsid w:val="009C534A"/>
    <w:rsid w:val="009E488C"/>
    <w:rsid w:val="00AE4AD7"/>
    <w:rsid w:val="00AF6A13"/>
    <w:rsid w:val="00B252D8"/>
    <w:rsid w:val="00B36633"/>
    <w:rsid w:val="00B46704"/>
    <w:rsid w:val="00B67A32"/>
    <w:rsid w:val="00B8612A"/>
    <w:rsid w:val="00BC6491"/>
    <w:rsid w:val="00BE7A0E"/>
    <w:rsid w:val="00C83D49"/>
    <w:rsid w:val="00C95DDD"/>
    <w:rsid w:val="00CD0C3A"/>
    <w:rsid w:val="00D17F87"/>
    <w:rsid w:val="00D749C8"/>
    <w:rsid w:val="00D92B3B"/>
    <w:rsid w:val="00D9527F"/>
    <w:rsid w:val="00DD4DCC"/>
    <w:rsid w:val="00DE72C0"/>
    <w:rsid w:val="00E30C0F"/>
    <w:rsid w:val="00E354ED"/>
    <w:rsid w:val="00E56098"/>
    <w:rsid w:val="00E7513B"/>
    <w:rsid w:val="00E80E07"/>
    <w:rsid w:val="00E96271"/>
    <w:rsid w:val="00EB743F"/>
    <w:rsid w:val="00F34ACB"/>
    <w:rsid w:val="00F9106D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5EDD-DBC9-45A4-A32A-59AFCB2D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F82"/>
  </w:style>
  <w:style w:type="paragraph" w:styleId="a6">
    <w:name w:val="footer"/>
    <w:basedOn w:val="a"/>
    <w:link w:val="a7"/>
    <w:uiPriority w:val="99"/>
    <w:unhideWhenUsed/>
    <w:rsid w:val="0007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F82"/>
  </w:style>
  <w:style w:type="character" w:styleId="a8">
    <w:name w:val="Hyperlink"/>
    <w:basedOn w:val="a0"/>
    <w:uiPriority w:val="99"/>
    <w:unhideWhenUsed/>
    <w:rsid w:val="00EB743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2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1C01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kneu.edu.ua/bitstream/handle/2010/34634/siukf_20_1_6.pdf?sequence=1&amp;isAllowed=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ta.worldbank.org/indicator/IC.FRM.BKWC.ZS?end=2021&amp;start=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ssive.files.wordpress.com/2011/07/1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BD31-56B2-4933-89B9-B064E150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3878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Малевич</dc:creator>
  <cp:keywords/>
  <dc:description/>
  <cp:lastModifiedBy>Elizaveta Shpachuk</cp:lastModifiedBy>
  <cp:revision>4</cp:revision>
  <dcterms:created xsi:type="dcterms:W3CDTF">2023-04-02T12:27:00Z</dcterms:created>
  <dcterms:modified xsi:type="dcterms:W3CDTF">2023-04-02T12:30:00Z</dcterms:modified>
</cp:coreProperties>
</file>