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8E" w:rsidRPr="00DA3CC5" w:rsidRDefault="00DA3CC5" w:rsidP="00DA3CC5">
      <w:pPr>
        <w:jc w:val="right"/>
        <w:rPr>
          <w:rFonts w:ascii="Times New Roman" w:hAnsi="Times New Roman" w:cs="Times New Roman"/>
          <w:sz w:val="28"/>
          <w:szCs w:val="28"/>
        </w:rPr>
      </w:pPr>
      <w:r w:rsidRPr="00DA3CC5">
        <w:rPr>
          <w:rFonts w:ascii="Times New Roman" w:hAnsi="Times New Roman" w:cs="Times New Roman"/>
          <w:sz w:val="28"/>
          <w:szCs w:val="28"/>
        </w:rPr>
        <w:t>Шкарупа Дмитро Андрійович , студент 2-6м ФТМ</w:t>
      </w:r>
    </w:p>
    <w:p w:rsidR="00DA3CC5" w:rsidRPr="00DA3CC5" w:rsidRDefault="00DA3CC5" w:rsidP="00DA3CC5">
      <w:pPr>
        <w:jc w:val="right"/>
        <w:rPr>
          <w:rFonts w:ascii="Times New Roman" w:hAnsi="Times New Roman" w:cs="Times New Roman"/>
          <w:sz w:val="28"/>
          <w:szCs w:val="28"/>
        </w:rPr>
      </w:pPr>
      <w:r w:rsidRPr="00DA3CC5">
        <w:rPr>
          <w:rFonts w:ascii="Times New Roman" w:hAnsi="Times New Roman" w:cs="Times New Roman"/>
          <w:sz w:val="28"/>
          <w:szCs w:val="28"/>
        </w:rPr>
        <w:t>Державний торговельно – економічний університет , Київ</w:t>
      </w:r>
    </w:p>
    <w:p w:rsidR="00DA3CC5" w:rsidRDefault="00DA3CC5" w:rsidP="00DA3CC5">
      <w:pPr>
        <w:jc w:val="right"/>
      </w:pPr>
    </w:p>
    <w:p w:rsidR="00DA3CC5" w:rsidRPr="0040123F" w:rsidRDefault="005507A0" w:rsidP="00DA3CC5">
      <w:pPr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40123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 xml:space="preserve">ТЕЛЕМАРАФОН В УКРАЇНІ – ІСТОРІЯ </w:t>
      </w:r>
      <w:r w:rsidR="0040123F" w:rsidRPr="0040123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lang w:val="ru-RU"/>
        </w:rPr>
        <w:t>СТВОРЕННЯ ТА РОЗВИТКУ</w:t>
      </w:r>
    </w:p>
    <w:p w:rsidR="00E316D9" w:rsidRDefault="00E316D9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У цій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доповіді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розглянуто основні аспекти створення та розвитку телемарафону в Україні , як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єдиного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джерела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новин на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телебаченні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під час війни. Також у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доповіді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наведені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деякі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результати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опитувань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з приводу того, як багато споживачів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дивляться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знають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про Телемарафон і який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відсоток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довіри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який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відсоток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схвальних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відгуків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до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поданої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інформації в ньому.</w:t>
      </w:r>
    </w:p>
    <w:p w:rsidR="00E316D9" w:rsidRDefault="00E316D9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Ключові слова : телемарафон, війна,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інформація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довіра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канали,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ефірний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час,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новини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телебачення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</w:p>
    <w:p w:rsidR="00E316D9" w:rsidRDefault="00E316D9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</w:pPr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This report examines the main aspects of the creation and development of the tele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marathon</w:t>
      </w:r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in Ukraine, as the only source of news on television during the war. Also, the report includes some survey results about how many consumers watch and know about the Tele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mara</w:t>
      </w:r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thon and what percentage of trust and what percentage of positive feedback is given to the information presented in it.</w:t>
      </w:r>
    </w:p>
    <w:p w:rsidR="00E316D9" w:rsidRDefault="00E316D9" w:rsidP="00F656CC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Keywords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:</w:t>
      </w:r>
      <w:r w:rsidRPr="00E316D9"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telemarathon </w:t>
      </w:r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war</w:t>
      </w:r>
      <w:proofErr w:type="spellEnd"/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information</w:t>
      </w:r>
      <w:proofErr w:type="spellEnd"/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trust</w:t>
      </w:r>
      <w:proofErr w:type="spellEnd"/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E316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chann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els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air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time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news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television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F656CC" w:rsidRPr="00F656CC" w:rsidRDefault="00F656CC" w:rsidP="00F656CC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Актуальність теми. </w:t>
      </w:r>
      <w:r w:rsidRPr="00F656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Об’єднання найбільших українських телекомпаній у перші дні вторгнення, коли російські війська наступали на Київ, багато хто сприйняв не просто як необхідність, а як «щось схоже на диво», сказала Радіо Свобода Яна Люшневська, старший аналітик київського офісу BBC </w:t>
      </w:r>
      <w:proofErr w:type="spellStart"/>
      <w:r w:rsidRPr="00F656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Monitoring</w:t>
      </w:r>
      <w:proofErr w:type="spellEnd"/>
      <w:r w:rsidRPr="00F656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E316D9" w:rsidRDefault="00F656CC" w:rsidP="00F656CC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F656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той час, коли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</w:t>
      </w:r>
      <w:r w:rsidRPr="00F656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осія масово поширювала дезінформацію, багато журналістів виїхали з Києва. Швидку і точну інформацію було важко отримати, і телемарафон забезпечив продовження прямого ефіру. На думку прихильників, марафон допоміг зупинити початковий російський наступ і зберегти українську державність.</w:t>
      </w:r>
    </w:p>
    <w:p w:rsidR="00F656CC" w:rsidRDefault="00F656CC" w:rsidP="00F656CC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І саме тому тема моєї доповіді є актуальною під час війни, щоб довести, що об’єднання телеканалів заради спільної мети – це велике досягнення для того, щоб допомогти населенню дізнатися потрібну інформацію в потрібний час.</w:t>
      </w:r>
    </w:p>
    <w:p w:rsidR="00F656CC" w:rsidRPr="00E316D9" w:rsidRDefault="00F656CC" w:rsidP="00F656CC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Метою доповіді є детальне дослідження історії виникнення та розвитку телемарафону, як єдиного джерела новин на телебаченні.</w:t>
      </w:r>
    </w:p>
    <w:p w:rsidR="00853DFD" w:rsidRPr="0040123F" w:rsidRDefault="00853DFD" w:rsidP="00F656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Телемарафон “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Єдині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новини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”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запустився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невдовзі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після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повномасштабного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вторгнення 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росії 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 Україну у лютому 2022 року.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Він об’єднав державний канал “Рада”, Суспільне мовлення та великі комерційні канали – 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ICTV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/СТБ, 1+1, Інтер та “Україна 24” (згодом його замінив канал-новачок “Ми-Україна”). 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Канали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поділили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ефірний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час між собою,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розбивши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його на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шестигодинні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слоти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br/>
        <w:t xml:space="preserve">Загалом, за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оцінкою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мінкульту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над створенням марафону працює близько 2 тис. 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л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юдей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Співпраця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каналів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побудована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на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меморандумі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про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співпрацю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із забезпечення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цілодобового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інформаційного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марафону,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уточнює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голова правління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Суспільного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мовлення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Микола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Чернотицький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Координація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між каналами відбувається на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редакторських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продюсерських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зустрічах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але, за його словами,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загалом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 межах своїх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слотів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учасники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телемарафону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зберігають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самостійність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“Кожен канал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визначає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скільки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часу в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слоті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виділяється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на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новини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скільки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— на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токінги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(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розмовні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ефіри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з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ведучими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гостями в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студії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– Ред.), - пояснює він. – Ми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самостійно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визначаємо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порядок тем,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сюжетів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спікерів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форму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подання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”.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ru-RU"/>
        </w:rPr>
        <w:t xml:space="preserve">Роль телемарафону в </w:t>
      </w:r>
      <w:proofErr w:type="spellStart"/>
      <w:r w:rsidRPr="0040123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ru-RU"/>
        </w:rPr>
        <w:t>суспільстві</w:t>
      </w:r>
      <w:proofErr w:type="spellEnd"/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lastRenderedPageBreak/>
        <w:t xml:space="preserve">На початку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російського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вторгнення марафон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задовільнив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життєво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важливі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потреби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суспільства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самих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телевізійників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переконаний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голова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Незалежної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медійної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ради,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медіаексперт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Отар Довженко.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Суспільство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 умовах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інформаційних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вкидів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фейків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отримувало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доступ до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офіційної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інформації з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першоджерел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оперативного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спростування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російської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дезінформації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телевізійники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у яких не було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ресурсів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на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повноцінні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інформаційні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ефіри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змогли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розділити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навантаження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підтримуючи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і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виручаючи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одне одного в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режимі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марафону.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“Але ситуація в країні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стабілізувалась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медіа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адаптувались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дезінформації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стало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набагато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менше, - каже Довженко. – І з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певного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моменту марафон став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задовольняти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насамперед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потребу влади в тому, щоб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каналізувати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інформацію і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тримати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під контролем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наймасовіший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традиційний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вид медіа —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телебачення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”.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Першою великою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претензією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на адресу телемарафону стало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недопущення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до нього трьох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каналів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яких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пов’язують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з головним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опонентом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чинної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влади,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власником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телеканалів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Петром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Порошенком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“Еспресо”, “5 канал” та “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Прямий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” кілька разів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намагалися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долучитися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до марафону і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щоразу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“їх там не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чекали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”, каже генеральний директор “5 каналу”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Володимир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Мжельський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br/>
        <w:t xml:space="preserve">У квітні всі три канали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вимкнули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з цифрового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ефіру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. Вони через суд намагаються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оскаржити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це рішення.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Державна служба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спеціального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зв’язку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захисту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інформації пояснила, що канали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відрізали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від “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цифри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” на виконання рішення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Радбезу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щодо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обов’язкової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трансляції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телемарафону. 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згодом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радник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голови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офісу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президента Михайло Подоляк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пов’язав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заборону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із “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нарцисизмом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” та “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самозакоханістю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” “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опосередкованого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власника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lastRenderedPageBreak/>
        <w:t>каналів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”,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натякаючи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на Петра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Порошенка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br/>
        <w:t xml:space="preserve">У жовтні Олександр Ткаченко заявив, що “не бачить потреби в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поновленні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переговорів” щодо участі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каналів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телемарафоні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br/>
        <w:t xml:space="preserve">“От у нас є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різноманітність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у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телевізійному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просторі”, -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зауважив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він.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Натомість до марафону за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лічені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тижні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після створення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долучився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новий канал «Ми – Україна». Його запустила колишня команда «Медіа Групи Україна». Ця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медіагрупа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належала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Рінату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Ахметову, він відмовився від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неї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в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липні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пояснивши це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тим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, що не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бажає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потрапити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під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дію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закону про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олігархів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українських ЗМІ припускають, що джерела фінансування та стрімкого злету каналу-новачка пов’язані з покровительством офісу президента. Зокрема, «Українська правда» пов’язувала канал з головою ОП Андрієм Єрмаком.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На момент публікації (грудень 2022) на запит BBC News Україна не відповіли ні в ОП, ні в пресслужбі Андрія Єрмака, ні на каналі «Ми-Україна».</w:t>
      </w:r>
    </w:p>
    <w:p w:rsidR="00853DFD" w:rsidRPr="0040123F" w:rsidRDefault="00853DFD" w:rsidP="0040123F">
      <w:pPr>
        <w:spacing w:line="360" w:lineRule="auto"/>
        <w:ind w:firstLine="709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Опитування з приводу переглядів Телемарафону</w:t>
      </w:r>
    </w:p>
    <w:p w:rsidR="00853DFD" w:rsidRPr="0040123F" w:rsidRDefault="00853DFD" w:rsidP="0040123F">
      <w:pPr>
        <w:pStyle w:val="a4"/>
        <w:spacing w:before="200" w:beforeAutospacing="0" w:after="0" w:afterAutospacing="0" w:line="360" w:lineRule="auto"/>
        <w:ind w:firstLine="709"/>
        <w:rPr>
          <w:sz w:val="28"/>
          <w:szCs w:val="28"/>
        </w:rPr>
      </w:pPr>
      <w:r w:rsidRPr="0040123F">
        <w:rPr>
          <w:rFonts w:eastAsiaTheme="minorEastAsia"/>
          <w:color w:val="000000" w:themeColor="text1"/>
          <w:kern w:val="24"/>
          <w:sz w:val="28"/>
          <w:szCs w:val="28"/>
        </w:rPr>
        <w:t>Наскільки сильно телемарафон може вплинути на українське суспільство, якщо його існування затягнеться, спрогнозувати важко, визнають експерти.</w:t>
      </w:r>
    </w:p>
    <w:p w:rsidR="00853DFD" w:rsidRPr="0040123F" w:rsidRDefault="00853DFD" w:rsidP="0040123F">
      <w:pPr>
        <w:pStyle w:val="a4"/>
        <w:spacing w:before="200" w:beforeAutospacing="0" w:after="0" w:afterAutospacing="0" w:line="360" w:lineRule="auto"/>
        <w:ind w:firstLine="709"/>
        <w:rPr>
          <w:sz w:val="28"/>
          <w:szCs w:val="28"/>
        </w:rPr>
      </w:pPr>
      <w:r w:rsidRPr="0040123F">
        <w:rPr>
          <w:rFonts w:eastAsiaTheme="minorEastAsia"/>
          <w:color w:val="000000" w:themeColor="text1"/>
          <w:kern w:val="24"/>
          <w:sz w:val="28"/>
          <w:szCs w:val="28"/>
        </w:rPr>
        <w:t>Наразі немає навіть одностайних оцінок, наскільки марафон є успішним серед глядачів.</w:t>
      </w:r>
      <w:r w:rsidRPr="0040123F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40123F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Листопадове дослідження 2022 року </w:t>
      </w:r>
      <w:proofErr w:type="spellStart"/>
      <w:r w:rsidRPr="0040123F">
        <w:rPr>
          <w:rFonts w:eastAsiaTheme="minorEastAsia"/>
          <w:color w:val="000000" w:themeColor="text1"/>
          <w:kern w:val="24"/>
          <w:sz w:val="28"/>
          <w:szCs w:val="28"/>
        </w:rPr>
        <w:t>Internews</w:t>
      </w:r>
      <w:proofErr w:type="spellEnd"/>
      <w:r w:rsidRPr="0040123F">
        <w:rPr>
          <w:rFonts w:eastAsiaTheme="minorEastAsia"/>
          <w:color w:val="000000" w:themeColor="text1"/>
          <w:kern w:val="24"/>
          <w:sz w:val="28"/>
          <w:szCs w:val="28"/>
        </w:rPr>
        <w:t xml:space="preserve"> та USAID показало що практично всі споживачі новин знають про «Єдині новини», але лише 32% респондентів є глядачами телемарафону. Водночас 84% з тих, хто дивиться телемарафон, довіряє йому.</w:t>
      </w:r>
      <w:r w:rsidRPr="0040123F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40123F">
        <w:rPr>
          <w:rFonts w:eastAsiaTheme="minorEastAsia"/>
          <w:color w:val="000000" w:themeColor="text1"/>
          <w:kern w:val="24"/>
          <w:sz w:val="28"/>
          <w:szCs w:val="28"/>
        </w:rPr>
        <w:br/>
        <w:t>Це ж дослідження показало загальне падіння споживання телебачення і зростання інтересу до соцмереж. Так, для отримання новин телебачення обирає 36% опитаних, це на 10% менше порівняно з минулим роком, а з соцмереж новини черпають 74% респондентів, тут зростання на 9% порівняно з минулим.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53DFD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Оцінки експертів різняться. Отар Довженко зазначає, що марафон дивиться меншість аудиторії — 15-20% тих, хто взагалі дивиться телевізор.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Ярослав Пахольчук наполягає, що марафон успішний. Мовляв, відповідно до аналітики Київстар ТБ, протягом останніх 6-7 місяців його стабільно дивляться 17% всього ефірного часу. До війни, за його словами, всі новинні канали мали частку перегляду сукупно 12-14% ефірного часу. І це не враховуючи переглядів продуктів марафону на онлайн платформах.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Два найбільш очевидних наслідки телемарафону вже можна виокремити, каже Володимир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Паніотто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генеральний директор Київського міжнародного інституту соціології, професор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НаУКМА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Така одноманітність інформаційного простору сприяла згуртованості суспільства і покращенню ставлення до державних інституцій та президента.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Це опитування провело також і «Суспільне» за період 24.02.2022 – 24.08.2022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23F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57E79B2D" wp14:editId="5335FF57">
            <wp:extent cx="6120130" cy="3213100"/>
            <wp:effectExtent l="0" t="0" r="0" b="635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23F">
        <w:rPr>
          <w:rFonts w:ascii="Times New Roman" w:hAnsi="Times New Roman" w:cs="Times New Roman"/>
          <w:noProof/>
          <w:lang w:eastAsia="uk-UA"/>
        </w:rPr>
        <w:lastRenderedPageBreak/>
        <w:drawing>
          <wp:inline distT="0" distB="0" distL="0" distR="0" wp14:anchorId="4D79610E" wp14:editId="75973E3C">
            <wp:extent cx="6120130" cy="3223895"/>
            <wp:effectExtent l="0" t="0" r="0" b="0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07A0" w:rsidRPr="0040123F" w:rsidRDefault="005507A0" w:rsidP="004012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Також опитування з приводу Телемарафону провела організація </w:t>
      </w:r>
      <w:r w:rsidRPr="0040123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Zmina</w:t>
      </w:r>
      <w:r w:rsidRPr="0040123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ru-RU"/>
        </w:rPr>
        <w:t>.</w:t>
      </w:r>
      <w:r w:rsidRPr="0040123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info</w:t>
      </w:r>
      <w:r w:rsidRPr="0040123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(листопад 2022), результати якого представлені в цій доповіді.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0FEA4DD7" wp14:editId="1173C1D2">
            <wp:extent cx="6120130" cy="3489960"/>
            <wp:effectExtent l="0" t="0" r="0" b="0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hAnsi="Times New Roman" w:cs="Times New Roman"/>
          <w:noProof/>
          <w:lang w:eastAsia="uk-UA"/>
        </w:rPr>
        <w:lastRenderedPageBreak/>
        <w:drawing>
          <wp:inline distT="0" distB="0" distL="0" distR="0" wp14:anchorId="5BE6CABF" wp14:editId="697D96AA">
            <wp:extent cx="6120130" cy="3156585"/>
            <wp:effectExtent l="0" t="0" r="0" b="5715"/>
            <wp:docPr id="3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Зміни в медіаринку після 24.02.2022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Те, на що марафон без сумніву впливає, - український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медіаринок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У підсумках року український Forbes назвав телеканали «найменш привабливим бізнесом року».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Йдеться не лише про загальну кризу, викликану війною.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Після того, як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найрейтинговіші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канали медіагруп увійшли до телемарафону, вони втратили можливість показувати рекламу і заробляти. Вони також втратили політичний вплив, заради якого їхні власники їх утримували, каже Довженко.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«На рекламі заробляють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мізер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а політичний вплив звівся до проявів лояльності до влади. За таких умов володіння великими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медіагрупами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перестає мати сенс. І ми вже побачили, як Рінат Ахметов просто ліквідував свій холдинг», - пояснює експерт.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Наслідки Телемарафону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Через зменшення доходів канали, які й до того були дотаційними, змушені були «затягнути ремені» та піти на серйозні скорочення.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 xml:space="preserve">Зокрема, тільки на «1+1 медіа» довелося скоротити понад 500 людей. Зараз в компанії, за даними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Пахольчука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працює близько 1600 людей, з них понад 500 – для продуктів телемарафону.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«У «Суспільного» дуже складна фінансова ситуація, бюджет на наступний рік покриває лише 30% від потреб, - каже вона. – Краще б реально підтримували «Суспільне» і дали можливість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телегрупам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нормально функціонувати і на себе заробляти».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Щоб не втрачати бренд,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найвпізнаваніші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шоу «1+1», на кшталт «Сніданку з 1+1» та «Голосу країни», транслюють на інших каналах групи – «ТЕТ» та «2+2».</w:t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Пахольчук також підтвердив, що частиною збільшення присутності контенту «1+1» стало переоформлення «1+1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International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 у «1+1 Україна».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Відповідно до повідомлення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пресслужби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каналу, там будуть показувати найбільш рейтингові та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впізнавані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шоу колишніх «плюсів» – «Сніданок з 1+1», ЖВЛ, ТСН. Тиждень з Аллою Мазур та продукти виробництва Студії «Квартал 95».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</w:p>
    <w:p w:rsidR="005507A0" w:rsidRPr="0040123F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Канал-дублер створює також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StarLight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Media для ICTV. У грудні вони переоформили ліцензію для ICTV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Ukraine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який тепер називатиметься ICTV2. Як повідомляє пресслужба каналу, там виходитиме «улюблений» контент з довоєнного ICTV: художні фільми, серіали, шоу. ICTV ж продовжить транслювати телемарафон.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</w:p>
    <w:p w:rsidR="005507A0" w:rsidRDefault="005507A0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«Ми знаємо, що в цей складний час боротьби українці потребують не тільки інформаційної, а й емоційної опори. Тому ми продовжуємо нашу роботу </w:t>
      </w:r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на користь суспільства і створюємо ICTV 2», - цитує пресслужба Олександра Богуцького, CEO </w:t>
      </w:r>
      <w:proofErr w:type="spellStart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Starlight</w:t>
      </w:r>
      <w:proofErr w:type="spellEnd"/>
      <w:r w:rsidRPr="004012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Media.</w:t>
      </w:r>
    </w:p>
    <w:p w:rsidR="001C30DE" w:rsidRPr="0040123F" w:rsidRDefault="001C30DE" w:rsidP="0040123F">
      <w:pPr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З усього вищесказаного в цій доповіді можна підвести такі підсумки : мета , з якою створювався цей Телемарафон, а це  </w:t>
      </w:r>
      <w:r w:rsidRPr="001C30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інформування населення щодо ситуації в Україні від початку ро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сійського вторгнення в Україну, вона абсолютно досягнута , тому що споживачі довіряють телебаченню і для них це чудовий варіант дізнаватися новини, які вони можуть аналізувати та обговорювати в суспільстві.</w:t>
      </w:r>
    </w:p>
    <w:p w:rsidR="005507A0" w:rsidRPr="005507A0" w:rsidRDefault="005507A0" w:rsidP="005507A0">
      <w:pPr>
        <w:spacing w:line="216" w:lineRule="auto"/>
        <w:jc w:val="center"/>
        <w:rPr>
          <w:rFonts w:eastAsiaTheme="minorEastAsia"/>
          <w:b/>
          <w:color w:val="000000" w:themeColor="text1"/>
          <w:kern w:val="24"/>
          <w:sz w:val="24"/>
          <w:szCs w:val="24"/>
        </w:rPr>
      </w:pPr>
      <w:r w:rsidRPr="005507A0">
        <w:rPr>
          <w:rFonts w:eastAsiaTheme="minorEastAsia"/>
          <w:b/>
          <w:color w:val="000000" w:themeColor="text1"/>
          <w:kern w:val="24"/>
          <w:sz w:val="24"/>
          <w:szCs w:val="24"/>
        </w:rPr>
        <w:t>Література :</w:t>
      </w:r>
    </w:p>
    <w:p w:rsidR="00F656CC" w:rsidRDefault="005507A0" w:rsidP="005507A0">
      <w:pPr>
        <w:spacing w:before="200"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</w:pPr>
      <w:r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 xml:space="preserve">1) </w:t>
      </w:r>
      <w:r w:rsidR="00F656CC" w:rsidRPr="00F656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https://www.radiosvoboda.org/a/ukrayina-media-telebachennya-marafon-yedyni-novyny/32518335.html</w:t>
      </w:r>
    </w:p>
    <w:p w:rsidR="005507A0" w:rsidRPr="005507A0" w:rsidRDefault="00F656CC" w:rsidP="005507A0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 xml:space="preserve">2) 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https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://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www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.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bbc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.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com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/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ukrainian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/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features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-64112594</w:t>
      </w:r>
    </w:p>
    <w:p w:rsidR="005507A0" w:rsidRPr="005507A0" w:rsidRDefault="00F656CC" w:rsidP="005507A0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3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 xml:space="preserve">) </w:t>
      </w:r>
      <w:hyperlink r:id="rId9" w:history="1"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val="pl-PL" w:eastAsia="uk-UA"/>
          </w:rPr>
          <w:t>https</w:t>
        </w:r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eastAsia="uk-UA"/>
          </w:rPr>
          <w:t>://</w:t>
        </w:r>
      </w:hyperlink>
      <w:hyperlink r:id="rId10" w:history="1"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val="pl-PL" w:eastAsia="uk-UA"/>
          </w:rPr>
          <w:t>mkip</w:t>
        </w:r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eastAsia="uk-UA"/>
          </w:rPr>
          <w:t>.</w:t>
        </w:r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val="pl-PL" w:eastAsia="uk-UA"/>
          </w:rPr>
          <w:t>gov</w:t>
        </w:r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eastAsia="uk-UA"/>
          </w:rPr>
          <w:t>.</w:t>
        </w:r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val="pl-PL" w:eastAsia="uk-UA"/>
          </w:rPr>
          <w:t>ua</w:t>
        </w:r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eastAsia="uk-UA"/>
          </w:rPr>
          <w:t>/</w:t>
        </w:r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val="pl-PL" w:eastAsia="uk-UA"/>
          </w:rPr>
          <w:t>news</w:t>
        </w:r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eastAsia="uk-UA"/>
          </w:rPr>
          <w:t>/7611.</w:t>
        </w:r>
        <w:r w:rsidR="005507A0" w:rsidRPr="005507A0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lang w:val="pl-PL" w:eastAsia="uk-UA"/>
          </w:rPr>
          <w:t>html</w:t>
        </w:r>
      </w:hyperlink>
    </w:p>
    <w:p w:rsidR="005507A0" w:rsidRPr="005507A0" w:rsidRDefault="00F656CC" w:rsidP="005507A0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4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 xml:space="preserve">) 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https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://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detector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.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media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/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infospace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/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article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/205446/2022-11-29-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iedyni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novyny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dyvlyatsya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-32-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ukraintsiv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i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mayzhe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vsi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vony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doviryayut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informatsii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spilnogo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-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pl-PL" w:eastAsia="uk-UA"/>
        </w:rPr>
        <w:t>telemarafonu</w:t>
      </w:r>
      <w:r w:rsidR="005507A0" w:rsidRPr="005507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uk-UA"/>
        </w:rPr>
        <w:t>/</w:t>
      </w:r>
    </w:p>
    <w:p w:rsidR="005507A0" w:rsidRPr="005507A0" w:rsidRDefault="005507A0" w:rsidP="005507A0">
      <w:pPr>
        <w:spacing w:line="216" w:lineRule="auto"/>
        <w:rPr>
          <w:sz w:val="28"/>
          <w:szCs w:val="28"/>
        </w:rPr>
      </w:pPr>
    </w:p>
    <w:p w:rsidR="005507A0" w:rsidRPr="005507A0" w:rsidRDefault="005507A0" w:rsidP="005507A0">
      <w:pPr>
        <w:spacing w:line="216" w:lineRule="auto"/>
        <w:rPr>
          <w:sz w:val="28"/>
          <w:szCs w:val="28"/>
        </w:rPr>
      </w:pPr>
    </w:p>
    <w:p w:rsidR="005507A0" w:rsidRPr="005507A0" w:rsidRDefault="005507A0" w:rsidP="005507A0">
      <w:pPr>
        <w:spacing w:line="216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507A0" w:rsidRPr="005507A0" w:rsidRDefault="005507A0" w:rsidP="005507A0">
      <w:pPr>
        <w:spacing w:line="216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507A0" w:rsidRPr="005507A0" w:rsidRDefault="005507A0" w:rsidP="005507A0">
      <w:pPr>
        <w:spacing w:line="216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507A0" w:rsidRPr="005507A0" w:rsidRDefault="005507A0" w:rsidP="00853DFD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853DFD" w:rsidRPr="00853DFD" w:rsidRDefault="00853DFD" w:rsidP="00853DFD">
      <w:pPr>
        <w:spacing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853DFD" w:rsidRPr="00853DFD" w:rsidRDefault="00853DFD" w:rsidP="00853DFD">
      <w:pPr>
        <w:spacing w:line="216" w:lineRule="auto"/>
        <w:rPr>
          <w:sz w:val="28"/>
          <w:szCs w:val="28"/>
        </w:rPr>
      </w:pPr>
    </w:p>
    <w:p w:rsidR="00853DFD" w:rsidRPr="00853DFD" w:rsidRDefault="00853DFD" w:rsidP="00853DFD">
      <w:pPr>
        <w:spacing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853DFD" w:rsidRPr="00853DFD" w:rsidRDefault="00853DFD" w:rsidP="00853DFD">
      <w:pPr>
        <w:spacing w:line="216" w:lineRule="auto"/>
        <w:rPr>
          <w:sz w:val="28"/>
          <w:szCs w:val="28"/>
        </w:rPr>
      </w:pPr>
    </w:p>
    <w:p w:rsidR="00853DFD" w:rsidRPr="005507A0" w:rsidRDefault="00853DFD" w:rsidP="00853DFD">
      <w:pPr>
        <w:spacing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853DFD" w:rsidRPr="00853DFD" w:rsidRDefault="00853DFD" w:rsidP="00853DFD">
      <w:pPr>
        <w:spacing w:line="216" w:lineRule="auto"/>
        <w:rPr>
          <w:sz w:val="28"/>
          <w:szCs w:val="28"/>
        </w:rPr>
      </w:pPr>
    </w:p>
    <w:p w:rsidR="00853DFD" w:rsidRPr="005507A0" w:rsidRDefault="00853DFD" w:rsidP="00853DFD">
      <w:pPr>
        <w:spacing w:line="216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53DFD" w:rsidRPr="00853DFD" w:rsidRDefault="00853DFD" w:rsidP="00853DFD">
      <w:pPr>
        <w:spacing w:line="216" w:lineRule="auto"/>
        <w:rPr>
          <w:sz w:val="28"/>
          <w:szCs w:val="28"/>
        </w:rPr>
      </w:pPr>
    </w:p>
    <w:p w:rsidR="00853DFD" w:rsidRPr="00853DFD" w:rsidRDefault="00853DFD" w:rsidP="00853DFD">
      <w:pPr>
        <w:spacing w:line="216" w:lineRule="auto"/>
        <w:rPr>
          <w:sz w:val="28"/>
          <w:szCs w:val="28"/>
        </w:rPr>
      </w:pPr>
    </w:p>
    <w:p w:rsidR="00853DFD" w:rsidRDefault="00853DFD" w:rsidP="00853DFD">
      <w:pP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DA3CC5" w:rsidRDefault="00DA3CC5">
      <w:bookmarkStart w:id="0" w:name="_GoBack"/>
      <w:bookmarkEnd w:id="0"/>
    </w:p>
    <w:sectPr w:rsidR="00DA3CC5" w:rsidSect="00DA3C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E2"/>
    <w:multiLevelType w:val="hybridMultilevel"/>
    <w:tmpl w:val="0E4860B4"/>
    <w:lvl w:ilvl="0" w:tplc="E0A603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030"/>
    <w:multiLevelType w:val="hybridMultilevel"/>
    <w:tmpl w:val="B9FEF790"/>
    <w:lvl w:ilvl="0" w:tplc="FB1C2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A7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E5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07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4C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25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0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29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4E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144C6"/>
    <w:multiLevelType w:val="hybridMultilevel"/>
    <w:tmpl w:val="64A8F8FE"/>
    <w:lvl w:ilvl="0" w:tplc="EE7CC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24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8C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6B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8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ED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40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6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42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651EDD"/>
    <w:multiLevelType w:val="hybridMultilevel"/>
    <w:tmpl w:val="7FC8B408"/>
    <w:lvl w:ilvl="0" w:tplc="0CD8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69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C6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23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A9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82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0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EF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E6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6775C9"/>
    <w:multiLevelType w:val="hybridMultilevel"/>
    <w:tmpl w:val="D33679CE"/>
    <w:lvl w:ilvl="0" w:tplc="7082A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2E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4D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2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6C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C8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C9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2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84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B00CA2"/>
    <w:multiLevelType w:val="hybridMultilevel"/>
    <w:tmpl w:val="A63E2442"/>
    <w:lvl w:ilvl="0" w:tplc="80EC4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7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E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EF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A4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89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CA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80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A1586A"/>
    <w:multiLevelType w:val="hybridMultilevel"/>
    <w:tmpl w:val="42EA8274"/>
    <w:lvl w:ilvl="0" w:tplc="04B01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ED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C9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28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E1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82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C7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81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63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F569CF"/>
    <w:multiLevelType w:val="hybridMultilevel"/>
    <w:tmpl w:val="FCA634A4"/>
    <w:lvl w:ilvl="0" w:tplc="E1E47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2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E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2B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0C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A9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CC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0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C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132EF0"/>
    <w:multiLevelType w:val="hybridMultilevel"/>
    <w:tmpl w:val="C588A3CE"/>
    <w:lvl w:ilvl="0" w:tplc="971EC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03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E8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00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EC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E3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CE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48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C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876C7C"/>
    <w:multiLevelType w:val="hybridMultilevel"/>
    <w:tmpl w:val="5FF6B8A2"/>
    <w:lvl w:ilvl="0" w:tplc="C7DCF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EB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40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29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AC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2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E6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2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B54E9B"/>
    <w:multiLevelType w:val="hybridMultilevel"/>
    <w:tmpl w:val="AA4A75F0"/>
    <w:lvl w:ilvl="0" w:tplc="ED928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A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2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85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86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A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E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AF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E4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5"/>
    <w:rsid w:val="001B76C5"/>
    <w:rsid w:val="001C30DE"/>
    <w:rsid w:val="0033608E"/>
    <w:rsid w:val="0040123F"/>
    <w:rsid w:val="005507A0"/>
    <w:rsid w:val="00853DFD"/>
    <w:rsid w:val="008C240A"/>
    <w:rsid w:val="00DA3CC5"/>
    <w:rsid w:val="00E316D9"/>
    <w:rsid w:val="00F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1548"/>
  <w15:chartTrackingRefBased/>
  <w15:docId w15:val="{5B28827D-E8B5-41EF-AAA6-268F958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8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50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mkip.gov.ua/news/76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ip.gov.ua/news/76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6742</Words>
  <Characters>3844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Шкарупа</dc:creator>
  <cp:keywords/>
  <dc:description/>
  <cp:lastModifiedBy>Діма Шкарупа</cp:lastModifiedBy>
  <cp:revision>6</cp:revision>
  <dcterms:created xsi:type="dcterms:W3CDTF">2023-09-15T14:27:00Z</dcterms:created>
  <dcterms:modified xsi:type="dcterms:W3CDTF">2023-09-16T15:29:00Z</dcterms:modified>
</cp:coreProperties>
</file>