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04" w:rsidRDefault="00803904" w:rsidP="006B26E2">
      <w:pPr>
        <w:spacing w:line="360" w:lineRule="auto"/>
        <w:ind w:firstLine="567"/>
        <w:jc w:val="right"/>
        <w:rPr>
          <w:sz w:val="28"/>
          <w:szCs w:val="28"/>
          <w:lang w:val="pl-PL"/>
        </w:rPr>
      </w:pPr>
      <w:r w:rsidRPr="00803904">
        <w:rPr>
          <w:rFonts w:eastAsia="Calibri"/>
          <w:bCs/>
          <w:sz w:val="28"/>
          <w:szCs w:val="28"/>
          <w:lang w:val="pl-PL" w:eastAsia="en-US"/>
        </w:rPr>
        <w:t>Studentka</w:t>
      </w:r>
      <w:r w:rsidR="006B26E2" w:rsidRPr="00803904">
        <w:rPr>
          <w:rFonts w:eastAsia="Calibri"/>
          <w:sz w:val="28"/>
          <w:szCs w:val="28"/>
          <w:lang w:val="pl-PL" w:eastAsia="en-US"/>
        </w:rPr>
        <w:t xml:space="preserve"> </w:t>
      </w:r>
      <w:r w:rsidR="00EF1EBC" w:rsidRPr="00803904">
        <w:rPr>
          <w:rFonts w:eastAsia="Calibri"/>
          <w:sz w:val="28"/>
          <w:szCs w:val="28"/>
          <w:lang w:val="pl-PL" w:eastAsia="en-US"/>
        </w:rPr>
        <w:t xml:space="preserve">Matusevych </w:t>
      </w:r>
      <w:r w:rsidR="006B26E2" w:rsidRPr="00803904">
        <w:rPr>
          <w:rFonts w:eastAsia="Calibri"/>
          <w:sz w:val="28"/>
          <w:szCs w:val="28"/>
          <w:lang w:val="pl-PL" w:eastAsia="en-US"/>
        </w:rPr>
        <w:t>Kh</w:t>
      </w:r>
      <w:r w:rsidR="00EF1EBC" w:rsidRPr="00803904">
        <w:rPr>
          <w:rFonts w:eastAsia="Calibri"/>
          <w:sz w:val="28"/>
          <w:szCs w:val="28"/>
          <w:lang w:val="pl-PL" w:eastAsia="en-US"/>
        </w:rPr>
        <w:t>.B.,</w:t>
      </w:r>
      <w:r w:rsidR="00EF1EBC" w:rsidRPr="00803904">
        <w:rPr>
          <w:sz w:val="28"/>
          <w:szCs w:val="28"/>
          <w:lang w:val="pl-PL"/>
        </w:rPr>
        <w:t xml:space="preserve"> asyst.</w:t>
      </w:r>
      <w:r>
        <w:rPr>
          <w:sz w:val="28"/>
          <w:szCs w:val="28"/>
          <w:lang w:val="pl-PL"/>
        </w:rPr>
        <w:t>,</w:t>
      </w:r>
      <w:r w:rsidRPr="00803904">
        <w:rPr>
          <w:sz w:val="28"/>
          <w:szCs w:val="28"/>
          <w:lang w:val="pl-PL"/>
        </w:rPr>
        <w:t xml:space="preserve"> Ph.D., </w:t>
      </w:r>
      <w:r w:rsidR="00EF1EBC" w:rsidRPr="00803904">
        <w:rPr>
          <w:sz w:val="28"/>
          <w:szCs w:val="28"/>
          <w:lang w:val="pl-PL"/>
        </w:rPr>
        <w:t xml:space="preserve"> Bednarska I.S.</w:t>
      </w:r>
      <w:r w:rsidR="006B26E2" w:rsidRPr="00803904">
        <w:rPr>
          <w:sz w:val="28"/>
          <w:szCs w:val="28"/>
          <w:lang w:val="pl-PL"/>
        </w:rPr>
        <w:t>,</w:t>
      </w:r>
    </w:p>
    <w:p w:rsidR="00EF1EBC" w:rsidRPr="00803904" w:rsidRDefault="006B26E2" w:rsidP="006B26E2">
      <w:pPr>
        <w:spacing w:line="360" w:lineRule="auto"/>
        <w:ind w:firstLine="567"/>
        <w:jc w:val="right"/>
        <w:rPr>
          <w:rStyle w:val="tlid-translation"/>
          <w:sz w:val="28"/>
          <w:szCs w:val="28"/>
          <w:lang w:val="pl-PL"/>
        </w:rPr>
      </w:pPr>
      <w:r w:rsidRPr="00803904">
        <w:rPr>
          <w:sz w:val="28"/>
          <w:szCs w:val="28"/>
          <w:lang w:val="pl-PL"/>
        </w:rPr>
        <w:t xml:space="preserve">doradca naukowy: Ph.D., </w:t>
      </w:r>
      <w:r w:rsidR="00803904" w:rsidRPr="00803904">
        <w:rPr>
          <w:rFonts w:eastAsia="Calibri"/>
          <w:sz w:val="28"/>
          <w:szCs w:val="28"/>
          <w:lang w:val="pl-PL" w:eastAsia="en-US"/>
        </w:rPr>
        <w:t>starszy wykładowca</w:t>
      </w:r>
      <w:r w:rsidR="00803904" w:rsidRPr="00803904">
        <w:rPr>
          <w:rStyle w:val="af4"/>
          <w:rFonts w:ascii="Helvetica" w:hAnsi="Helvetica" w:cs="Helvetica"/>
          <w:color w:val="A47E3C"/>
          <w:sz w:val="17"/>
          <w:szCs w:val="17"/>
          <w:shd w:val="clear" w:color="auto" w:fill="FFFFFF"/>
          <w:lang w:val="pl-PL"/>
        </w:rPr>
        <w:t> </w:t>
      </w:r>
      <w:r w:rsidRPr="00803904">
        <w:rPr>
          <w:sz w:val="28"/>
          <w:szCs w:val="28"/>
          <w:lang w:val="pl-PL"/>
        </w:rPr>
        <w:t>Sheleshey T.V.</w:t>
      </w:r>
    </w:p>
    <w:p w:rsidR="00EF1EBC" w:rsidRPr="006B26E2" w:rsidRDefault="00EF1EBC" w:rsidP="006B26E2">
      <w:pPr>
        <w:spacing w:line="360" w:lineRule="auto"/>
        <w:ind w:firstLine="567"/>
        <w:jc w:val="right"/>
        <w:rPr>
          <w:rStyle w:val="tlid-translation"/>
          <w:sz w:val="28"/>
          <w:szCs w:val="28"/>
          <w:lang w:val="uk-UA"/>
        </w:rPr>
      </w:pPr>
      <w:r w:rsidRPr="00803904">
        <w:rPr>
          <w:rStyle w:val="tlid-translation"/>
          <w:sz w:val="28"/>
          <w:szCs w:val="28"/>
          <w:lang w:val="pl-PL"/>
        </w:rPr>
        <w:t xml:space="preserve">Narodowy Uniwersytet Techniczny Ukrainy </w:t>
      </w:r>
    </w:p>
    <w:p w:rsidR="00E14C9F" w:rsidRPr="006B26E2" w:rsidRDefault="00EF1EBC" w:rsidP="006B26E2">
      <w:pPr>
        <w:spacing w:line="360" w:lineRule="auto"/>
        <w:ind w:firstLine="567"/>
        <w:jc w:val="right"/>
        <w:rPr>
          <w:sz w:val="28"/>
          <w:szCs w:val="28"/>
          <w:lang w:val="uk-UA"/>
        </w:rPr>
      </w:pPr>
      <w:r w:rsidRPr="00803904">
        <w:rPr>
          <w:rStyle w:val="tlid-translation"/>
          <w:sz w:val="28"/>
          <w:szCs w:val="28"/>
          <w:lang w:val="pl-PL"/>
        </w:rPr>
        <w:t xml:space="preserve">"Kijowski Instytut Politechniczny im. Igora Sikorskiego", </w:t>
      </w:r>
      <w:r w:rsidRPr="00803904">
        <w:rPr>
          <w:sz w:val="28"/>
          <w:szCs w:val="28"/>
          <w:lang w:val="pl-PL"/>
        </w:rPr>
        <w:t>Kijów</w:t>
      </w:r>
    </w:p>
    <w:p w:rsidR="006B26E2" w:rsidRPr="001027C7" w:rsidRDefault="006B26E2" w:rsidP="006B26E2">
      <w:pPr>
        <w:spacing w:line="360" w:lineRule="auto"/>
        <w:jc w:val="both"/>
        <w:rPr>
          <w:sz w:val="28"/>
          <w:szCs w:val="28"/>
          <w:lang w:val="uk-UA"/>
        </w:rPr>
      </w:pPr>
    </w:p>
    <w:p w:rsidR="006B26E2" w:rsidRPr="001027C7" w:rsidRDefault="006B26E2" w:rsidP="006B26E2">
      <w:pPr>
        <w:spacing w:line="360" w:lineRule="auto"/>
        <w:ind w:firstLine="567"/>
        <w:jc w:val="center"/>
        <w:rPr>
          <w:b/>
          <w:caps/>
          <w:sz w:val="28"/>
          <w:szCs w:val="28"/>
          <w:lang w:val="uk-UA"/>
        </w:rPr>
      </w:pPr>
      <w:r w:rsidRPr="00803904">
        <w:rPr>
          <w:b/>
          <w:caps/>
          <w:sz w:val="28"/>
          <w:szCs w:val="28"/>
          <w:lang w:val="pl-PL"/>
        </w:rPr>
        <w:t>Ocena efektywności oczyszczalni azotu</w:t>
      </w:r>
    </w:p>
    <w:p w:rsidR="00EF1EBC" w:rsidRPr="001027C7" w:rsidRDefault="00EF1EBC" w:rsidP="006B26E2">
      <w:pPr>
        <w:pStyle w:val="a7"/>
        <w:ind w:left="0" w:firstLine="567"/>
        <w:rPr>
          <w:szCs w:val="28"/>
        </w:rPr>
      </w:pPr>
    </w:p>
    <w:p w:rsidR="00A52D7F" w:rsidRPr="00A52D7F" w:rsidRDefault="00A52D7F" w:rsidP="006B26E2">
      <w:pPr>
        <w:pStyle w:val="af3"/>
        <w:spacing w:before="0" w:beforeAutospacing="0" w:after="0" w:afterAutospacing="0" w:line="360" w:lineRule="auto"/>
        <w:ind w:firstLine="709"/>
        <w:contextualSpacing/>
        <w:jc w:val="both"/>
        <w:rPr>
          <w:sz w:val="28"/>
        </w:rPr>
      </w:pPr>
      <w:r w:rsidRPr="00A52D7F">
        <w:rPr>
          <w:sz w:val="28"/>
        </w:rPr>
        <w:t xml:space="preserve">Jednym z najbardziej palących problemów środowiskowych współczesnej energetyki cieplnej jest </w:t>
      </w:r>
      <w:r w:rsidRPr="00A52D7F">
        <w:rPr>
          <w:rStyle w:val="af4"/>
          <w:b w:val="0"/>
          <w:sz w:val="28"/>
        </w:rPr>
        <w:t xml:space="preserve"> emisja tlenków azotu (NOₓ)</w:t>
      </w:r>
      <w:r w:rsidRPr="00A52D7F">
        <w:rPr>
          <w:sz w:val="28"/>
        </w:rPr>
        <w:t xml:space="preserve"> powstających podczas spalania paliw organicznych, w szczególności oleju opałowego, gazu ziemnego i węgla. Związki te – przede wszystkim </w:t>
      </w:r>
      <w:r w:rsidRPr="00A52D7F">
        <w:rPr>
          <w:rStyle w:val="af4"/>
          <w:b w:val="0"/>
          <w:sz w:val="28"/>
        </w:rPr>
        <w:t xml:space="preserve">tlenek azotu (NO) </w:t>
      </w:r>
      <w:r w:rsidRPr="00A52D7F">
        <w:rPr>
          <w:sz w:val="28"/>
        </w:rPr>
        <w:t xml:space="preserve">i </w:t>
      </w:r>
      <w:r w:rsidRPr="00A52D7F">
        <w:rPr>
          <w:rStyle w:val="af4"/>
          <w:b w:val="0"/>
          <w:sz w:val="28"/>
        </w:rPr>
        <w:t>dwutlenek azotu (NO₂)</w:t>
      </w:r>
      <w:r w:rsidRPr="00A52D7F">
        <w:rPr>
          <w:sz w:val="28"/>
        </w:rPr>
        <w:t xml:space="preserve"> – stanowią poważne zagrożenie dla środowiska i zdrowia ludzi.  </w:t>
      </w:r>
      <w:proofErr w:type="spellStart"/>
      <w:r w:rsidRPr="00A52D7F">
        <w:rPr>
          <w:sz w:val="28"/>
        </w:rPr>
        <w:t>które</w:t>
      </w:r>
      <w:proofErr w:type="spellEnd"/>
      <w:r w:rsidRPr="00A52D7F">
        <w:rPr>
          <w:sz w:val="28"/>
        </w:rPr>
        <w:t xml:space="preserve"> </w:t>
      </w:r>
      <w:proofErr w:type="spellStart"/>
      <w:r w:rsidRPr="00A52D7F">
        <w:rPr>
          <w:sz w:val="28"/>
        </w:rPr>
        <w:t>mają</w:t>
      </w:r>
      <w:proofErr w:type="spellEnd"/>
      <w:r w:rsidRPr="00A52D7F">
        <w:rPr>
          <w:sz w:val="28"/>
        </w:rPr>
        <w:t xml:space="preserve"> </w:t>
      </w:r>
      <w:proofErr w:type="spellStart"/>
      <w:r w:rsidRPr="00A52D7F">
        <w:rPr>
          <w:sz w:val="28"/>
        </w:rPr>
        <w:t>skutki</w:t>
      </w:r>
      <w:proofErr w:type="spellEnd"/>
      <w:r w:rsidRPr="00A52D7F">
        <w:rPr>
          <w:sz w:val="28"/>
        </w:rPr>
        <w:t xml:space="preserve"> </w:t>
      </w:r>
      <w:proofErr w:type="spellStart"/>
      <w:r w:rsidRPr="00A52D7F">
        <w:rPr>
          <w:sz w:val="28"/>
        </w:rPr>
        <w:t>środowiskowe</w:t>
      </w:r>
      <w:proofErr w:type="spellEnd"/>
      <w:r w:rsidRPr="00A52D7F">
        <w:rPr>
          <w:sz w:val="28"/>
        </w:rPr>
        <w:t xml:space="preserve"> </w:t>
      </w:r>
      <w:proofErr w:type="spellStart"/>
      <w:r w:rsidRPr="00A52D7F">
        <w:rPr>
          <w:sz w:val="28"/>
        </w:rPr>
        <w:t>na</w:t>
      </w:r>
      <w:proofErr w:type="spellEnd"/>
      <w:r w:rsidRPr="00A52D7F">
        <w:rPr>
          <w:sz w:val="28"/>
        </w:rPr>
        <w:t xml:space="preserve"> </w:t>
      </w:r>
      <w:proofErr w:type="spellStart"/>
      <w:r w:rsidRPr="00A52D7F">
        <w:rPr>
          <w:sz w:val="28"/>
        </w:rPr>
        <w:t>dużą</w:t>
      </w:r>
      <w:proofErr w:type="spellEnd"/>
      <w:r w:rsidRPr="00A52D7F">
        <w:rPr>
          <w:sz w:val="28"/>
        </w:rPr>
        <w:t xml:space="preserve"> </w:t>
      </w:r>
      <w:proofErr w:type="spellStart"/>
      <w:r w:rsidRPr="00A52D7F">
        <w:rPr>
          <w:sz w:val="28"/>
        </w:rPr>
        <w:t>skalę</w:t>
      </w:r>
      <w:proofErr w:type="spellEnd"/>
      <w:r w:rsidRPr="00A52D7F">
        <w:rPr>
          <w:sz w:val="28"/>
        </w:rPr>
        <w:t>.</w:t>
      </w:r>
    </w:p>
    <w:p w:rsidR="00A52D7F" w:rsidRPr="00A52D7F" w:rsidRDefault="00A52D7F" w:rsidP="006B26E2">
      <w:pPr>
        <w:pStyle w:val="af3"/>
        <w:spacing w:before="0" w:beforeAutospacing="0" w:after="0" w:afterAutospacing="0" w:line="360" w:lineRule="auto"/>
        <w:ind w:firstLine="709"/>
        <w:contextualSpacing/>
        <w:jc w:val="both"/>
        <w:rPr>
          <w:sz w:val="28"/>
        </w:rPr>
      </w:pPr>
      <w:r w:rsidRPr="00A52D7F">
        <w:rPr>
          <w:sz w:val="28"/>
        </w:rPr>
        <w:t xml:space="preserve">W szczególności NOₓ powoduje </w:t>
      </w:r>
      <w:r w:rsidRPr="00A52D7F">
        <w:rPr>
          <w:rStyle w:val="af4"/>
          <w:b w:val="0"/>
          <w:sz w:val="28"/>
        </w:rPr>
        <w:t>powstawanie smogu fotochemicznego</w:t>
      </w:r>
      <w:r w:rsidRPr="00A52D7F">
        <w:rPr>
          <w:sz w:val="28"/>
        </w:rPr>
        <w:t xml:space="preserve">, który jest szczególnie niebezpieczny w dużych aglomeracjach miejskich. Smog ten powstaje w wyniku reakcji tlenków azotu z </w:t>
      </w:r>
      <w:proofErr w:type="spellStart"/>
      <w:r w:rsidRPr="00A52D7F">
        <w:rPr>
          <w:sz w:val="28"/>
        </w:rPr>
        <w:t>lotnymi</w:t>
      </w:r>
      <w:proofErr w:type="spellEnd"/>
      <w:r w:rsidRPr="00A52D7F">
        <w:rPr>
          <w:sz w:val="28"/>
        </w:rPr>
        <w:t xml:space="preserve"> </w:t>
      </w:r>
      <w:proofErr w:type="spellStart"/>
      <w:r w:rsidRPr="00A52D7F">
        <w:rPr>
          <w:sz w:val="28"/>
        </w:rPr>
        <w:t>związkami</w:t>
      </w:r>
      <w:proofErr w:type="spellEnd"/>
      <w:r w:rsidRPr="00A52D7F">
        <w:rPr>
          <w:sz w:val="28"/>
        </w:rPr>
        <w:t xml:space="preserve"> </w:t>
      </w:r>
      <w:proofErr w:type="spellStart"/>
      <w:r w:rsidRPr="00A52D7F">
        <w:rPr>
          <w:sz w:val="28"/>
        </w:rPr>
        <w:t>organicznymi</w:t>
      </w:r>
      <w:proofErr w:type="spellEnd"/>
      <w:r w:rsidRPr="00A52D7F">
        <w:rPr>
          <w:sz w:val="28"/>
        </w:rPr>
        <w:t xml:space="preserve"> </w:t>
      </w:r>
      <w:proofErr w:type="spellStart"/>
      <w:r w:rsidRPr="00A52D7F">
        <w:rPr>
          <w:sz w:val="28"/>
        </w:rPr>
        <w:t>przy</w:t>
      </w:r>
      <w:proofErr w:type="spellEnd"/>
      <w:r w:rsidRPr="00A52D7F">
        <w:rPr>
          <w:sz w:val="28"/>
        </w:rPr>
        <w:t xml:space="preserve"> </w:t>
      </w:r>
      <w:proofErr w:type="spellStart"/>
      <w:r w:rsidRPr="00A52D7F">
        <w:rPr>
          <w:sz w:val="28"/>
        </w:rPr>
        <w:t>udziale</w:t>
      </w:r>
      <w:proofErr w:type="spellEnd"/>
      <w:r w:rsidRPr="00A52D7F">
        <w:rPr>
          <w:sz w:val="28"/>
        </w:rPr>
        <w:t xml:space="preserve"> </w:t>
      </w:r>
      <w:proofErr w:type="spellStart"/>
      <w:r w:rsidRPr="00A52D7F">
        <w:rPr>
          <w:sz w:val="28"/>
        </w:rPr>
        <w:t>promieniowania</w:t>
      </w:r>
      <w:proofErr w:type="spellEnd"/>
      <w:r w:rsidRPr="00A52D7F">
        <w:rPr>
          <w:sz w:val="28"/>
        </w:rPr>
        <w:t xml:space="preserve"> </w:t>
      </w:r>
      <w:proofErr w:type="spellStart"/>
      <w:r w:rsidRPr="00A52D7F">
        <w:rPr>
          <w:sz w:val="28"/>
        </w:rPr>
        <w:t>słonecznego</w:t>
      </w:r>
      <w:proofErr w:type="spellEnd"/>
      <w:r w:rsidRPr="00A52D7F">
        <w:rPr>
          <w:sz w:val="28"/>
        </w:rPr>
        <w:t>.</w:t>
      </w:r>
    </w:p>
    <w:p w:rsidR="00A52D7F" w:rsidRPr="00A52D7F" w:rsidRDefault="00A52D7F" w:rsidP="006B26E2">
      <w:pPr>
        <w:pStyle w:val="af3"/>
        <w:spacing w:before="0" w:beforeAutospacing="0" w:after="0" w:afterAutospacing="0" w:line="360" w:lineRule="auto"/>
        <w:ind w:firstLine="709"/>
        <w:contextualSpacing/>
        <w:jc w:val="both"/>
        <w:rPr>
          <w:sz w:val="28"/>
        </w:rPr>
      </w:pPr>
      <w:proofErr w:type="spellStart"/>
      <w:r w:rsidRPr="00A52D7F">
        <w:rPr>
          <w:sz w:val="28"/>
        </w:rPr>
        <w:t>Ponadto</w:t>
      </w:r>
      <w:proofErr w:type="spellEnd"/>
      <w:r w:rsidRPr="00A52D7F">
        <w:rPr>
          <w:sz w:val="28"/>
        </w:rPr>
        <w:t xml:space="preserve"> </w:t>
      </w:r>
      <w:proofErr w:type="spellStart"/>
      <w:r w:rsidRPr="00A52D7F">
        <w:rPr>
          <w:sz w:val="28"/>
        </w:rPr>
        <w:t>tlenki</w:t>
      </w:r>
      <w:proofErr w:type="spellEnd"/>
      <w:r w:rsidRPr="00A52D7F">
        <w:rPr>
          <w:sz w:val="28"/>
        </w:rPr>
        <w:t xml:space="preserve"> </w:t>
      </w:r>
      <w:proofErr w:type="spellStart"/>
      <w:r w:rsidRPr="00A52D7F">
        <w:rPr>
          <w:sz w:val="28"/>
        </w:rPr>
        <w:t>azotu</w:t>
      </w:r>
      <w:proofErr w:type="spellEnd"/>
      <w:r w:rsidRPr="00A52D7F">
        <w:rPr>
          <w:sz w:val="28"/>
        </w:rPr>
        <w:t xml:space="preserve"> są jedną z głównych przyczyn </w:t>
      </w:r>
      <w:r w:rsidRPr="00A52D7F">
        <w:rPr>
          <w:rStyle w:val="af4"/>
          <w:b w:val="0"/>
          <w:sz w:val="28"/>
        </w:rPr>
        <w:t>kwaśnych deszczy</w:t>
      </w:r>
      <w:r w:rsidRPr="00A52D7F">
        <w:rPr>
          <w:sz w:val="28"/>
        </w:rPr>
        <w:t xml:space="preserve">. Po dostaniu się do atmosfery reagują z parą wodną, tworząc kwas azotowy. </w:t>
      </w:r>
      <w:r w:rsidRPr="001027C7">
        <w:rPr>
          <w:szCs w:val="28"/>
        </w:rPr>
        <w:t>[1].</w:t>
      </w:r>
    </w:p>
    <w:p w:rsidR="00A52D7F" w:rsidRPr="00A52D7F" w:rsidRDefault="00A52D7F" w:rsidP="006B26E2">
      <w:pPr>
        <w:pStyle w:val="af3"/>
        <w:spacing w:before="0" w:beforeAutospacing="0" w:after="0" w:afterAutospacing="0" w:line="360" w:lineRule="auto"/>
        <w:ind w:firstLine="709"/>
        <w:contextualSpacing/>
        <w:jc w:val="both"/>
        <w:rPr>
          <w:sz w:val="28"/>
        </w:rPr>
      </w:pPr>
      <w:r w:rsidRPr="00A52D7F">
        <w:rPr>
          <w:sz w:val="28"/>
        </w:rPr>
        <w:t xml:space="preserve">Ponadto emisja NOₓ negatywnie wpływa na </w:t>
      </w:r>
      <w:r w:rsidRPr="00A52D7F">
        <w:rPr>
          <w:rStyle w:val="af4"/>
          <w:b w:val="0"/>
          <w:sz w:val="28"/>
        </w:rPr>
        <w:t>roślinność i gleby</w:t>
      </w:r>
      <w:r w:rsidRPr="00A52D7F">
        <w:rPr>
          <w:sz w:val="28"/>
        </w:rPr>
        <w:t xml:space="preserve">, zmieniając skład chemiczny i zaburzając równowagę związków azotu. Może to prowadzić do nadmiernego wzbogacenia w azot (eutrofizacji), zmniejszenia różnorodności </w:t>
      </w:r>
      <w:proofErr w:type="spellStart"/>
      <w:r w:rsidRPr="00A52D7F">
        <w:rPr>
          <w:sz w:val="28"/>
        </w:rPr>
        <w:t>biologicznej</w:t>
      </w:r>
      <w:proofErr w:type="spellEnd"/>
      <w:r w:rsidRPr="00A52D7F">
        <w:rPr>
          <w:sz w:val="28"/>
        </w:rPr>
        <w:t xml:space="preserve"> i </w:t>
      </w:r>
      <w:proofErr w:type="spellStart"/>
      <w:r w:rsidRPr="00A52D7F">
        <w:rPr>
          <w:sz w:val="28"/>
        </w:rPr>
        <w:t>zahamowania</w:t>
      </w:r>
      <w:proofErr w:type="spellEnd"/>
      <w:r w:rsidRPr="00A52D7F">
        <w:rPr>
          <w:sz w:val="28"/>
        </w:rPr>
        <w:t xml:space="preserve"> </w:t>
      </w:r>
      <w:proofErr w:type="spellStart"/>
      <w:r w:rsidRPr="00A52D7F">
        <w:rPr>
          <w:sz w:val="28"/>
        </w:rPr>
        <w:t>wzrostu</w:t>
      </w:r>
      <w:proofErr w:type="spellEnd"/>
      <w:r w:rsidRPr="00A52D7F">
        <w:rPr>
          <w:sz w:val="28"/>
        </w:rPr>
        <w:t xml:space="preserve"> </w:t>
      </w:r>
      <w:proofErr w:type="spellStart"/>
      <w:r w:rsidRPr="00A52D7F">
        <w:rPr>
          <w:sz w:val="28"/>
        </w:rPr>
        <w:t>niektórych</w:t>
      </w:r>
      <w:proofErr w:type="spellEnd"/>
      <w:r w:rsidRPr="00A52D7F">
        <w:rPr>
          <w:sz w:val="28"/>
        </w:rPr>
        <w:t xml:space="preserve"> </w:t>
      </w:r>
      <w:proofErr w:type="spellStart"/>
      <w:r w:rsidRPr="00A52D7F">
        <w:rPr>
          <w:sz w:val="28"/>
        </w:rPr>
        <w:t>gatunków</w:t>
      </w:r>
      <w:proofErr w:type="spellEnd"/>
      <w:r w:rsidRPr="00A52D7F">
        <w:rPr>
          <w:sz w:val="28"/>
        </w:rPr>
        <w:t xml:space="preserve"> </w:t>
      </w:r>
      <w:proofErr w:type="spellStart"/>
      <w:r w:rsidRPr="00A52D7F">
        <w:rPr>
          <w:sz w:val="28"/>
        </w:rPr>
        <w:t>roślin</w:t>
      </w:r>
      <w:proofErr w:type="spellEnd"/>
      <w:r w:rsidRPr="00A52D7F">
        <w:rPr>
          <w:sz w:val="28"/>
        </w:rPr>
        <w:t>.</w:t>
      </w:r>
    </w:p>
    <w:p w:rsidR="00A52D7F" w:rsidRPr="00A52D7F" w:rsidRDefault="00A52D7F" w:rsidP="006B26E2">
      <w:pPr>
        <w:pStyle w:val="af3"/>
        <w:spacing w:before="0" w:beforeAutospacing="0" w:after="0" w:afterAutospacing="0" w:line="360" w:lineRule="auto"/>
        <w:ind w:firstLine="709"/>
        <w:contextualSpacing/>
        <w:jc w:val="both"/>
        <w:rPr>
          <w:sz w:val="28"/>
        </w:rPr>
      </w:pPr>
      <w:r w:rsidRPr="00A52D7F">
        <w:rPr>
          <w:sz w:val="28"/>
        </w:rPr>
        <w:t xml:space="preserve">Równie ważne  jest </w:t>
      </w:r>
      <w:r w:rsidRPr="00A52D7F">
        <w:rPr>
          <w:rStyle w:val="af4"/>
          <w:b w:val="0"/>
          <w:sz w:val="28"/>
        </w:rPr>
        <w:t>toksyczne działanie NOₓ na ludzi</w:t>
      </w:r>
      <w:r w:rsidRPr="00A52D7F">
        <w:rPr>
          <w:sz w:val="28"/>
        </w:rPr>
        <w:t xml:space="preserve">. Długotrwałe wdychanie tych gazów może powodować przewlekłe choroby układu oddechowego, w tym astmę, zapalenie oskrzeli, a także pogorszenie stanu zdrowia układu krążenia. Szczególnie narażone na takie skutki są dzieci i osoby starsze. </w:t>
      </w:r>
      <w:r w:rsidRPr="001027C7">
        <w:rPr>
          <w:szCs w:val="28"/>
        </w:rPr>
        <w:t>[2].</w:t>
      </w:r>
    </w:p>
    <w:p w:rsidR="00746D28" w:rsidRPr="001027C7" w:rsidRDefault="00A52D7F" w:rsidP="006B26E2">
      <w:pPr>
        <w:pStyle w:val="af3"/>
        <w:spacing w:before="0" w:beforeAutospacing="0" w:after="0" w:afterAutospacing="0" w:line="360" w:lineRule="auto"/>
        <w:ind w:firstLine="709"/>
        <w:contextualSpacing/>
        <w:jc w:val="both"/>
        <w:rPr>
          <w:szCs w:val="28"/>
        </w:rPr>
      </w:pPr>
      <w:proofErr w:type="spellStart"/>
      <w:r w:rsidRPr="00A52D7F">
        <w:rPr>
          <w:sz w:val="28"/>
        </w:rPr>
        <w:t>Głównymi</w:t>
      </w:r>
      <w:proofErr w:type="spellEnd"/>
      <w:r w:rsidRPr="00A52D7F">
        <w:rPr>
          <w:sz w:val="28"/>
        </w:rPr>
        <w:t xml:space="preserve"> </w:t>
      </w:r>
      <w:proofErr w:type="spellStart"/>
      <w:r w:rsidRPr="00A52D7F">
        <w:rPr>
          <w:sz w:val="28"/>
        </w:rPr>
        <w:t>źródłami</w:t>
      </w:r>
      <w:proofErr w:type="spellEnd"/>
      <w:r w:rsidRPr="00A52D7F">
        <w:rPr>
          <w:sz w:val="28"/>
        </w:rPr>
        <w:t xml:space="preserve"> </w:t>
      </w:r>
      <w:proofErr w:type="spellStart"/>
      <w:r w:rsidRPr="00A52D7F">
        <w:rPr>
          <w:sz w:val="28"/>
        </w:rPr>
        <w:t>emisji</w:t>
      </w:r>
      <w:proofErr w:type="spellEnd"/>
      <w:r w:rsidRPr="00A52D7F">
        <w:rPr>
          <w:sz w:val="28"/>
        </w:rPr>
        <w:t xml:space="preserve"> NOₓ w energetyce cieplnej są bloki energetyczne TPP, kotłownie, turbiny gazowe i inne urządzenia zasilane paliwami kopalnymi. </w:t>
      </w:r>
      <w:r w:rsidRPr="00A52D7F">
        <w:rPr>
          <w:sz w:val="28"/>
        </w:rPr>
        <w:lastRenderedPageBreak/>
        <w:t>Szczególnie wysokie stężenia powstają, gdy olej opałowy i węgiel są spalane w wysokich temperaturach.</w:t>
      </w:r>
      <w:r w:rsidRPr="001027C7">
        <w:rPr>
          <w:szCs w:val="28"/>
        </w:rPr>
        <w:t xml:space="preserve"> [3].</w:t>
      </w:r>
    </w:p>
    <w:p w:rsidR="00B107D6" w:rsidRPr="001027C7" w:rsidRDefault="00B107D6" w:rsidP="006B26E2">
      <w:pPr>
        <w:pStyle w:val="a7"/>
        <w:ind w:left="0"/>
        <w:rPr>
          <w:szCs w:val="28"/>
        </w:rPr>
      </w:pPr>
      <w:r w:rsidRPr="001027C7">
        <w:rPr>
          <w:szCs w:val="28"/>
        </w:rPr>
        <w:t xml:space="preserve">Biorąc pod uwagę zobowiązania Ukrainy wobec Europejskiej Wspólnoty Energetycznej do redukcji emisji przemysłowych, osiągnięcie akceptowalnego dla środowiska poziomu emisji NOₓ staje się nie tylko kwestią modernizacji technicznej, ale także koniecznością legislacyjną [2]. Wprowadzenie wydajnych instalacji oczyszczania azotu do spalania oleju opałowego o wysokiej zawartości siarki jest szczególnie istotne, ponieważ jednoczesna emisja tlenków siarki i </w:t>
      </w:r>
      <w:proofErr w:type="spellStart"/>
      <w:r w:rsidRPr="001027C7">
        <w:rPr>
          <w:szCs w:val="28"/>
        </w:rPr>
        <w:t>azotu</w:t>
      </w:r>
      <w:proofErr w:type="spellEnd"/>
      <w:r w:rsidRPr="001027C7">
        <w:rPr>
          <w:szCs w:val="28"/>
        </w:rPr>
        <w:t xml:space="preserve"> </w:t>
      </w:r>
      <w:proofErr w:type="spellStart"/>
      <w:r w:rsidRPr="001027C7">
        <w:rPr>
          <w:szCs w:val="28"/>
        </w:rPr>
        <w:t>stwarza</w:t>
      </w:r>
      <w:proofErr w:type="spellEnd"/>
      <w:r w:rsidRPr="001027C7">
        <w:rPr>
          <w:szCs w:val="28"/>
        </w:rPr>
        <w:t xml:space="preserve"> </w:t>
      </w:r>
      <w:proofErr w:type="spellStart"/>
      <w:r w:rsidRPr="001027C7">
        <w:rPr>
          <w:szCs w:val="28"/>
        </w:rPr>
        <w:t>podwójne</w:t>
      </w:r>
      <w:proofErr w:type="spellEnd"/>
      <w:r w:rsidRPr="001027C7">
        <w:rPr>
          <w:szCs w:val="28"/>
        </w:rPr>
        <w:t xml:space="preserve"> </w:t>
      </w:r>
      <w:proofErr w:type="spellStart"/>
      <w:r w:rsidRPr="001027C7">
        <w:rPr>
          <w:szCs w:val="28"/>
        </w:rPr>
        <w:t>obciążenie</w:t>
      </w:r>
      <w:proofErr w:type="spellEnd"/>
      <w:r w:rsidRPr="001027C7">
        <w:rPr>
          <w:szCs w:val="28"/>
        </w:rPr>
        <w:t xml:space="preserve"> </w:t>
      </w:r>
      <w:proofErr w:type="spellStart"/>
      <w:r w:rsidRPr="001027C7">
        <w:rPr>
          <w:szCs w:val="28"/>
        </w:rPr>
        <w:t>środowiska</w:t>
      </w:r>
      <w:proofErr w:type="spellEnd"/>
      <w:r w:rsidRPr="001027C7">
        <w:rPr>
          <w:szCs w:val="28"/>
        </w:rPr>
        <w:t xml:space="preserve"> [4].</w:t>
      </w:r>
    </w:p>
    <w:p w:rsidR="00B107D6" w:rsidRPr="001027C7" w:rsidRDefault="00B107D6" w:rsidP="006B26E2">
      <w:pPr>
        <w:pStyle w:val="a7"/>
        <w:ind w:left="0"/>
        <w:rPr>
          <w:szCs w:val="28"/>
        </w:rPr>
      </w:pPr>
      <w:r w:rsidRPr="001027C7">
        <w:rPr>
          <w:szCs w:val="28"/>
        </w:rPr>
        <w:t xml:space="preserve">W </w:t>
      </w:r>
      <w:proofErr w:type="spellStart"/>
      <w:r w:rsidRPr="001027C7">
        <w:rPr>
          <w:szCs w:val="28"/>
        </w:rPr>
        <w:t>niniejszej</w:t>
      </w:r>
      <w:proofErr w:type="spellEnd"/>
      <w:r w:rsidRPr="001027C7">
        <w:rPr>
          <w:szCs w:val="28"/>
        </w:rPr>
        <w:t xml:space="preserve"> </w:t>
      </w:r>
      <w:proofErr w:type="spellStart"/>
      <w:r w:rsidRPr="001027C7">
        <w:rPr>
          <w:szCs w:val="28"/>
        </w:rPr>
        <w:t>pracy</w:t>
      </w:r>
      <w:proofErr w:type="spellEnd"/>
      <w:r w:rsidRPr="001027C7">
        <w:rPr>
          <w:szCs w:val="28"/>
        </w:rPr>
        <w:t xml:space="preserve"> </w:t>
      </w:r>
      <w:proofErr w:type="spellStart"/>
      <w:r w:rsidRPr="001027C7">
        <w:rPr>
          <w:szCs w:val="28"/>
        </w:rPr>
        <w:t>obliczono</w:t>
      </w:r>
      <w:proofErr w:type="spellEnd"/>
      <w:r w:rsidRPr="001027C7">
        <w:rPr>
          <w:szCs w:val="28"/>
        </w:rPr>
        <w:t xml:space="preserve"> </w:t>
      </w:r>
      <w:proofErr w:type="spellStart"/>
      <w:r w:rsidRPr="001027C7">
        <w:rPr>
          <w:szCs w:val="28"/>
        </w:rPr>
        <w:t>specyficzny</w:t>
      </w:r>
      <w:proofErr w:type="spellEnd"/>
      <w:r w:rsidRPr="001027C7">
        <w:rPr>
          <w:szCs w:val="28"/>
        </w:rPr>
        <w:t xml:space="preserve"> </w:t>
      </w:r>
      <w:proofErr w:type="spellStart"/>
      <w:r w:rsidRPr="001027C7">
        <w:rPr>
          <w:szCs w:val="28"/>
        </w:rPr>
        <w:t>wskaźnik</w:t>
      </w:r>
      <w:proofErr w:type="spellEnd"/>
      <w:r w:rsidRPr="001027C7">
        <w:rPr>
          <w:szCs w:val="28"/>
        </w:rPr>
        <w:t xml:space="preserve"> </w:t>
      </w:r>
      <w:proofErr w:type="spellStart"/>
      <w:r w:rsidRPr="001027C7">
        <w:rPr>
          <w:szCs w:val="28"/>
        </w:rPr>
        <w:t>emisji</w:t>
      </w:r>
      <w:proofErr w:type="spellEnd"/>
      <w:r w:rsidRPr="001027C7">
        <w:rPr>
          <w:szCs w:val="28"/>
        </w:rPr>
        <w:t xml:space="preserve"> </w:t>
      </w:r>
      <w:proofErr w:type="spellStart"/>
      <w:r w:rsidRPr="001027C7">
        <w:rPr>
          <w:szCs w:val="28"/>
        </w:rPr>
        <w:t>tlenków</w:t>
      </w:r>
      <w:proofErr w:type="spellEnd"/>
      <w:r w:rsidRPr="001027C7">
        <w:rPr>
          <w:szCs w:val="28"/>
        </w:rPr>
        <w:t xml:space="preserve"> </w:t>
      </w:r>
      <w:proofErr w:type="spellStart"/>
      <w:r w:rsidRPr="001027C7">
        <w:rPr>
          <w:szCs w:val="28"/>
        </w:rPr>
        <w:t>azotu</w:t>
      </w:r>
      <w:proofErr w:type="spellEnd"/>
      <w:r w:rsidR="006B26E2" w:rsidRPr="00803904">
        <w:rPr>
          <w:szCs w:val="28"/>
          <w:lang w:val="pl-PL"/>
        </w:rPr>
        <w:t xml:space="preserve">     </w:t>
      </w:r>
      <w:r w:rsidRPr="001027C7">
        <w:rPr>
          <w:szCs w:val="28"/>
        </w:rPr>
        <w:t xml:space="preserve"> (</w:t>
      </w:r>
      <w:proofErr w:type="spellStart"/>
      <w:r w:rsidRPr="001027C7">
        <w:rPr>
          <w:szCs w:val="28"/>
        </w:rPr>
        <w:t>k</w:t>
      </w:r>
      <w:r w:rsidRPr="001027C7">
        <w:rPr>
          <w:szCs w:val="28"/>
          <w:vertAlign w:val="subscript"/>
        </w:rPr>
        <w:t>NOx</w:t>
      </w:r>
      <w:proofErr w:type="spellEnd"/>
      <w:r w:rsidRPr="001027C7">
        <w:rPr>
          <w:szCs w:val="28"/>
          <w:vertAlign w:val="subscript"/>
        </w:rPr>
        <w:t xml:space="preserve">)z </w:t>
      </w:r>
      <w:proofErr w:type="spellStart"/>
      <w:r w:rsidRPr="001027C7">
        <w:rPr>
          <w:szCs w:val="28"/>
        </w:rPr>
        <w:t>uwzględnieniem</w:t>
      </w:r>
      <w:proofErr w:type="spellEnd"/>
      <w:r w:rsidRPr="001027C7">
        <w:rPr>
          <w:szCs w:val="28"/>
        </w:rPr>
        <w:t xml:space="preserve"> </w:t>
      </w:r>
      <w:proofErr w:type="spellStart"/>
      <w:r w:rsidRPr="001027C7">
        <w:rPr>
          <w:szCs w:val="28"/>
        </w:rPr>
        <w:t>efektywności</w:t>
      </w:r>
      <w:proofErr w:type="spellEnd"/>
      <w:r w:rsidRPr="001027C7">
        <w:rPr>
          <w:szCs w:val="28"/>
        </w:rPr>
        <w:t xml:space="preserve"> </w:t>
      </w:r>
      <w:proofErr w:type="spellStart"/>
      <w:r w:rsidRPr="001027C7">
        <w:rPr>
          <w:szCs w:val="28"/>
        </w:rPr>
        <w:t>różnych</w:t>
      </w:r>
      <w:proofErr w:type="spellEnd"/>
      <w:r w:rsidRPr="001027C7">
        <w:rPr>
          <w:szCs w:val="28"/>
        </w:rPr>
        <w:t xml:space="preserve"> </w:t>
      </w:r>
      <w:proofErr w:type="spellStart"/>
      <w:r w:rsidRPr="001027C7">
        <w:rPr>
          <w:szCs w:val="28"/>
        </w:rPr>
        <w:t>technologii</w:t>
      </w:r>
      <w:proofErr w:type="spellEnd"/>
      <w:r w:rsidRPr="001027C7">
        <w:rPr>
          <w:szCs w:val="28"/>
        </w:rPr>
        <w:t xml:space="preserve"> </w:t>
      </w:r>
      <w:proofErr w:type="spellStart"/>
      <w:r w:rsidRPr="001027C7">
        <w:rPr>
          <w:szCs w:val="28"/>
        </w:rPr>
        <w:t>oczyszczania</w:t>
      </w:r>
      <w:proofErr w:type="spellEnd"/>
      <w:r w:rsidRPr="001027C7">
        <w:rPr>
          <w:szCs w:val="28"/>
        </w:rPr>
        <w:t xml:space="preserve"> </w:t>
      </w:r>
      <w:proofErr w:type="spellStart"/>
      <w:r w:rsidRPr="001027C7">
        <w:rPr>
          <w:szCs w:val="28"/>
        </w:rPr>
        <w:t>spalin</w:t>
      </w:r>
      <w:proofErr w:type="spellEnd"/>
      <w:r w:rsidRPr="001027C7">
        <w:rPr>
          <w:szCs w:val="28"/>
        </w:rPr>
        <w:t xml:space="preserve">. Za paliwo uznano olej opałowy o wysokiej zawartości siarki klasy 100, który ma duży potencjał do powstawania zanieczyszczeń podczas procesu spalania. Wskaźnik emisji został dostosowany zgodnie ze wzorem (1), który uwzględnia efektywność zarówno środków pierwotnych (reżimowych i </w:t>
      </w:r>
      <w:proofErr w:type="spellStart"/>
      <w:r w:rsidRPr="001027C7">
        <w:rPr>
          <w:szCs w:val="28"/>
        </w:rPr>
        <w:t>technologicznych</w:t>
      </w:r>
      <w:proofErr w:type="spellEnd"/>
      <w:r w:rsidRPr="001027C7">
        <w:rPr>
          <w:szCs w:val="28"/>
        </w:rPr>
        <w:t xml:space="preserve">), </w:t>
      </w:r>
      <w:proofErr w:type="spellStart"/>
      <w:r w:rsidRPr="001027C7">
        <w:rPr>
          <w:szCs w:val="28"/>
        </w:rPr>
        <w:t>jak</w:t>
      </w:r>
      <w:proofErr w:type="spellEnd"/>
      <w:r w:rsidRPr="001027C7">
        <w:rPr>
          <w:szCs w:val="28"/>
        </w:rPr>
        <w:t xml:space="preserve"> i </w:t>
      </w:r>
      <w:proofErr w:type="spellStart"/>
      <w:r w:rsidRPr="001027C7">
        <w:rPr>
          <w:szCs w:val="28"/>
        </w:rPr>
        <w:t>wtórnych</w:t>
      </w:r>
      <w:proofErr w:type="spellEnd"/>
      <w:r w:rsidRPr="001027C7">
        <w:rPr>
          <w:szCs w:val="28"/>
        </w:rPr>
        <w:t xml:space="preserve"> (</w:t>
      </w:r>
      <w:proofErr w:type="spellStart"/>
      <w:r w:rsidRPr="001027C7">
        <w:rPr>
          <w:szCs w:val="28"/>
        </w:rPr>
        <w:t>oczyszczanie</w:t>
      </w:r>
      <w:proofErr w:type="spellEnd"/>
      <w:r w:rsidRPr="001027C7">
        <w:rPr>
          <w:szCs w:val="28"/>
        </w:rPr>
        <w:t xml:space="preserve"> </w:t>
      </w:r>
      <w:proofErr w:type="spellStart"/>
      <w:r w:rsidRPr="001027C7">
        <w:rPr>
          <w:szCs w:val="28"/>
        </w:rPr>
        <w:t>azotu</w:t>
      </w:r>
      <w:proofErr w:type="spellEnd"/>
      <w:r w:rsidRPr="001027C7">
        <w:rPr>
          <w:szCs w:val="28"/>
        </w:rPr>
        <w:t>).</w:t>
      </w:r>
    </w:p>
    <w:p w:rsidR="00746D28" w:rsidRPr="001027C7" w:rsidRDefault="00B107D6" w:rsidP="006B26E2">
      <w:pPr>
        <w:pStyle w:val="a7"/>
        <w:ind w:left="0"/>
        <w:rPr>
          <w:szCs w:val="28"/>
        </w:rPr>
      </w:pPr>
      <w:proofErr w:type="spellStart"/>
      <w:r w:rsidRPr="001027C7">
        <w:rPr>
          <w:szCs w:val="28"/>
        </w:rPr>
        <w:t>Każda</w:t>
      </w:r>
      <w:proofErr w:type="spellEnd"/>
      <w:r w:rsidRPr="001027C7">
        <w:rPr>
          <w:szCs w:val="28"/>
        </w:rPr>
        <w:t xml:space="preserve"> z </w:t>
      </w:r>
      <w:proofErr w:type="spellStart"/>
      <w:r w:rsidRPr="001027C7">
        <w:rPr>
          <w:szCs w:val="28"/>
        </w:rPr>
        <w:t>technologii</w:t>
      </w:r>
      <w:proofErr w:type="spellEnd"/>
      <w:r w:rsidRPr="001027C7">
        <w:rPr>
          <w:szCs w:val="28"/>
        </w:rPr>
        <w:t xml:space="preserve"> </w:t>
      </w:r>
      <w:proofErr w:type="spellStart"/>
      <w:r w:rsidRPr="001027C7">
        <w:rPr>
          <w:szCs w:val="28"/>
        </w:rPr>
        <w:t>charakteryzuje</w:t>
      </w:r>
      <w:proofErr w:type="spellEnd"/>
      <w:r w:rsidRPr="001027C7">
        <w:rPr>
          <w:szCs w:val="28"/>
        </w:rPr>
        <w:t xml:space="preserve"> się stopniem efektywności i współczynnikiem pracy, które zostały zaczerpnięte z Tabeli. D11, </w:t>
      </w:r>
      <w:proofErr w:type="spellStart"/>
      <w:r w:rsidRPr="001027C7">
        <w:rPr>
          <w:szCs w:val="28"/>
        </w:rPr>
        <w:t>dodatek</w:t>
      </w:r>
      <w:proofErr w:type="spellEnd"/>
      <w:r w:rsidRPr="001027C7">
        <w:rPr>
          <w:szCs w:val="28"/>
        </w:rPr>
        <w:t xml:space="preserve"> </w:t>
      </w:r>
      <w:proofErr w:type="spellStart"/>
      <w:r w:rsidRPr="001027C7">
        <w:rPr>
          <w:szCs w:val="28"/>
        </w:rPr>
        <w:t>źródłowy</w:t>
      </w:r>
      <w:proofErr w:type="spellEnd"/>
      <w:r w:rsidRPr="001027C7">
        <w:rPr>
          <w:szCs w:val="28"/>
        </w:rPr>
        <w:t xml:space="preserve"> [5].</w:t>
      </w:r>
    </w:p>
    <w:p w:rsidR="007D68F6" w:rsidRPr="001027C7" w:rsidRDefault="00CA413D" w:rsidP="006B26E2">
      <w:pPr>
        <w:pStyle w:val="SpecificationNext"/>
        <w:tabs>
          <w:tab w:val="clear" w:pos="1134"/>
        </w:tabs>
        <w:ind w:left="0" w:firstLine="709"/>
        <w:jc w:val="both"/>
        <w:rPr>
          <w:sz w:val="28"/>
          <w:szCs w:val="28"/>
        </w:rPr>
      </w:pPr>
      <w:r w:rsidRPr="001027C7">
        <w:rPr>
          <w:sz w:val="28"/>
          <w:szCs w:val="28"/>
        </w:rPr>
        <w:t>Wyniki obliczeń podsumowano na wykresie przedstawionym na rys. 1. 1.</w:t>
      </w:r>
    </w:p>
    <w:p w:rsidR="00DF7947" w:rsidRDefault="00DF7947" w:rsidP="006B26E2">
      <w:pPr>
        <w:pStyle w:val="SpecificationNext"/>
        <w:tabs>
          <w:tab w:val="clear" w:pos="1134"/>
        </w:tabs>
        <w:ind w:left="0" w:firstLine="567"/>
        <w:jc w:val="both"/>
        <w:rPr>
          <w:sz w:val="28"/>
          <w:szCs w:val="28"/>
        </w:rPr>
      </w:pPr>
    </w:p>
    <w:p w:rsidR="0019747A" w:rsidRPr="001027C7" w:rsidRDefault="0019747A" w:rsidP="006B26E2">
      <w:pPr>
        <w:pStyle w:val="SpecificationNext"/>
        <w:tabs>
          <w:tab w:val="clear" w:pos="1134"/>
        </w:tabs>
        <w:ind w:left="0" w:firstLine="0"/>
        <w:jc w:val="center"/>
        <w:rPr>
          <w:sz w:val="28"/>
          <w:szCs w:val="28"/>
        </w:rPr>
      </w:pPr>
      <w:r w:rsidRPr="0019747A">
        <w:rPr>
          <w:noProof/>
          <w:sz w:val="28"/>
          <w:szCs w:val="28"/>
          <w:lang w:val="ru-RU" w:eastAsia="ru-RU"/>
        </w:rPr>
        <w:drawing>
          <wp:inline distT="0" distB="0" distL="0" distR="0">
            <wp:extent cx="3698586" cy="15697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07571" cy="1573533"/>
                    </a:xfrm>
                    <a:prstGeom prst="rect">
                      <a:avLst/>
                    </a:prstGeom>
                  </pic:spPr>
                </pic:pic>
              </a:graphicData>
            </a:graphic>
          </wp:inline>
        </w:drawing>
      </w:r>
    </w:p>
    <w:p w:rsidR="00300A15" w:rsidRPr="001027C7" w:rsidRDefault="00300A15" w:rsidP="006B26E2">
      <w:pPr>
        <w:spacing w:line="360" w:lineRule="auto"/>
        <w:ind w:firstLine="567"/>
        <w:jc w:val="both"/>
        <w:rPr>
          <w:sz w:val="28"/>
          <w:szCs w:val="28"/>
          <w:lang w:val="uk-UA"/>
        </w:rPr>
      </w:pPr>
      <w:r w:rsidRPr="00803904">
        <w:rPr>
          <w:sz w:val="28"/>
          <w:szCs w:val="28"/>
          <w:lang w:val="pl-PL"/>
        </w:rPr>
        <w:t>Rysunek 1 – Porównanie wskaźników emisji tlenków azotu dla różnych rodzajów technologii oczyszczania azotu</w:t>
      </w:r>
    </w:p>
    <w:p w:rsidR="00DF7947" w:rsidRPr="001027C7" w:rsidRDefault="00DF7947" w:rsidP="006B26E2">
      <w:pPr>
        <w:spacing w:line="360" w:lineRule="auto"/>
        <w:ind w:firstLine="567"/>
        <w:jc w:val="center"/>
        <w:rPr>
          <w:sz w:val="28"/>
          <w:szCs w:val="28"/>
          <w:lang w:val="uk-UA"/>
        </w:rPr>
      </w:pPr>
    </w:p>
    <w:p w:rsidR="00DF7947" w:rsidRPr="001027C7" w:rsidRDefault="00DF7947" w:rsidP="006B26E2">
      <w:pPr>
        <w:spacing w:line="360" w:lineRule="auto"/>
        <w:ind w:firstLine="709"/>
        <w:jc w:val="both"/>
        <w:rPr>
          <w:sz w:val="28"/>
          <w:szCs w:val="28"/>
          <w:lang w:val="uk-UA"/>
        </w:rPr>
      </w:pPr>
      <w:r w:rsidRPr="00803904">
        <w:rPr>
          <w:sz w:val="28"/>
          <w:szCs w:val="28"/>
          <w:lang w:val="pl-PL"/>
        </w:rPr>
        <w:lastRenderedPageBreak/>
        <w:t xml:space="preserve">Analiza wykresu wskazuje na istotną różnicę w zdolności tych układów do redukcji emisji. Najwyższą wartość </w:t>
      </w:r>
      <w:r w:rsidRPr="00803904">
        <w:rPr>
          <w:rStyle w:val="mord"/>
          <w:sz w:val="28"/>
          <w:szCs w:val="28"/>
          <w:lang w:val="pl-PL"/>
        </w:rPr>
        <w:t>kNOx</w:t>
      </w:r>
      <w:r w:rsidRPr="00803904">
        <w:rPr>
          <w:sz w:val="28"/>
          <w:szCs w:val="28"/>
          <w:lang w:val="pl-PL"/>
        </w:rPr>
        <w:t xml:space="preserve">  obserwuje się przy zastosowaniu selektywnej redukcji niekatalitycznej (SNC) – </w:t>
      </w:r>
      <w:r w:rsidRPr="00803904">
        <w:rPr>
          <w:rStyle w:val="af4"/>
          <w:b w:val="0"/>
          <w:bCs w:val="0"/>
          <w:sz w:val="28"/>
          <w:szCs w:val="28"/>
          <w:lang w:val="pl-PL"/>
        </w:rPr>
        <w:t xml:space="preserve">około 60 g/GJ, </w:t>
      </w:r>
      <w:r w:rsidRPr="00803904">
        <w:rPr>
          <w:sz w:val="28"/>
          <w:szCs w:val="28"/>
          <w:lang w:val="pl-PL"/>
        </w:rPr>
        <w:t>co świadczy o najniższej skuteczności oczyszczania spośród badanych technologii.</w:t>
      </w:r>
    </w:p>
    <w:p w:rsidR="009C42F5" w:rsidRPr="001027C7" w:rsidRDefault="009C42F5" w:rsidP="006B26E2">
      <w:pPr>
        <w:spacing w:line="360" w:lineRule="auto"/>
        <w:ind w:firstLine="709"/>
        <w:jc w:val="both"/>
        <w:rPr>
          <w:sz w:val="28"/>
          <w:szCs w:val="28"/>
          <w:lang w:val="uk-UA"/>
        </w:rPr>
      </w:pPr>
      <w:r w:rsidRPr="00803904">
        <w:rPr>
          <w:sz w:val="28"/>
          <w:szCs w:val="28"/>
          <w:lang w:val="pl-PL"/>
        </w:rPr>
        <w:t xml:space="preserve">Z kolei najniższą wartość wskaźnika emisji wykazała  </w:t>
      </w:r>
      <w:r w:rsidRPr="00803904">
        <w:rPr>
          <w:rStyle w:val="af4"/>
          <w:b w:val="0"/>
          <w:bCs w:val="0"/>
          <w:sz w:val="28"/>
          <w:szCs w:val="28"/>
          <w:lang w:val="pl-PL"/>
        </w:rPr>
        <w:t>technologia DESONOX – SNOX</w:t>
      </w:r>
      <w:r w:rsidRPr="00803904">
        <w:rPr>
          <w:sz w:val="28"/>
          <w:szCs w:val="28"/>
          <w:lang w:val="pl-PL"/>
        </w:rPr>
        <w:t xml:space="preserve">, dla której </w:t>
      </w:r>
      <w:r w:rsidRPr="00803904">
        <w:rPr>
          <w:rStyle w:val="mord"/>
          <w:sz w:val="28"/>
          <w:szCs w:val="28"/>
          <w:lang w:val="pl-PL"/>
        </w:rPr>
        <w:t>kNOx</w:t>
      </w:r>
      <w:r w:rsidRPr="00803904">
        <w:rPr>
          <w:sz w:val="28"/>
          <w:szCs w:val="28"/>
          <w:lang w:val="pl-PL"/>
        </w:rPr>
        <w:t xml:space="preserve"> wynosi </w:t>
      </w:r>
      <w:r w:rsidRPr="00803904">
        <w:rPr>
          <w:rStyle w:val="af4"/>
          <w:b w:val="0"/>
          <w:bCs w:val="0"/>
          <w:sz w:val="28"/>
          <w:szCs w:val="28"/>
          <w:lang w:val="pl-PL"/>
        </w:rPr>
        <w:t>mniej niż 10 g/GJ</w:t>
      </w:r>
      <w:r w:rsidRPr="00803904">
        <w:rPr>
          <w:sz w:val="28"/>
          <w:szCs w:val="28"/>
          <w:lang w:val="pl-PL"/>
        </w:rPr>
        <w:t>. Potwierdza to jej wysoką skuteczność w ograniczaniu zanieczyszczenia spalin tlenkami azotu.</w:t>
      </w:r>
    </w:p>
    <w:p w:rsidR="00762D67" w:rsidRPr="001027C7" w:rsidRDefault="007D68F6" w:rsidP="006B26E2">
      <w:pPr>
        <w:spacing w:line="360" w:lineRule="auto"/>
        <w:ind w:firstLine="709"/>
        <w:jc w:val="both"/>
        <w:rPr>
          <w:sz w:val="28"/>
          <w:szCs w:val="28"/>
          <w:lang w:val="uk-UA"/>
        </w:rPr>
      </w:pPr>
      <w:r w:rsidRPr="00803904">
        <w:rPr>
          <w:b/>
          <w:sz w:val="28"/>
          <w:szCs w:val="28"/>
          <w:lang w:val="pl-PL"/>
        </w:rPr>
        <w:t xml:space="preserve">Wnioski. </w:t>
      </w:r>
      <w:r w:rsidR="009C42F5" w:rsidRPr="00803904">
        <w:rPr>
          <w:sz w:val="28"/>
          <w:szCs w:val="28"/>
          <w:lang w:val="pl-PL"/>
        </w:rPr>
        <w:t xml:space="preserve">Uzyskane wyniki wskazują, że wdrożenie nowoczesnych technologii katalitycznych, w szczególności DESONOX – SNOX, zapewnia najniższy poziom resztkowej emisji NOₓ, co ma kluczowe znaczenie dla spalania oleju opałowego o wysokiej zawartości siarki. Wartość </w:t>
      </w:r>
      <w:r w:rsidR="009C42F5" w:rsidRPr="00803904">
        <w:rPr>
          <w:rStyle w:val="mord"/>
          <w:sz w:val="28"/>
          <w:szCs w:val="28"/>
          <w:lang w:val="pl-PL"/>
        </w:rPr>
        <w:t xml:space="preserve">kNOx </w:t>
      </w:r>
      <w:r w:rsidR="009C42F5" w:rsidRPr="00803904">
        <w:rPr>
          <w:sz w:val="28"/>
          <w:szCs w:val="28"/>
          <w:lang w:val="pl-PL"/>
        </w:rPr>
        <w:t xml:space="preserve"> jest pouczającym kryterium wyboru optymalnego rodzaju oczyszczalni azotu, uwzględniającego zarówno czynniki środowiskowe, jak i ekonomiczne.</w:t>
      </w:r>
    </w:p>
    <w:p w:rsidR="008A1331" w:rsidRPr="001027C7" w:rsidRDefault="008A1331" w:rsidP="006B26E2">
      <w:pPr>
        <w:spacing w:line="360" w:lineRule="auto"/>
        <w:ind w:firstLine="567"/>
        <w:jc w:val="both"/>
        <w:rPr>
          <w:sz w:val="28"/>
          <w:szCs w:val="28"/>
          <w:lang w:val="uk-UA"/>
        </w:rPr>
      </w:pPr>
    </w:p>
    <w:p w:rsidR="007D68F6" w:rsidRPr="006B26E2" w:rsidRDefault="007D68F6" w:rsidP="006B26E2">
      <w:pPr>
        <w:spacing w:line="360" w:lineRule="auto"/>
        <w:ind w:firstLine="567"/>
        <w:jc w:val="center"/>
        <w:rPr>
          <w:b/>
          <w:bCs/>
          <w:lang w:val="uk-UA"/>
        </w:rPr>
      </w:pPr>
      <w:r w:rsidRPr="006B26E2">
        <w:rPr>
          <w:b/>
          <w:bCs/>
        </w:rPr>
        <w:t>Odwołania:</w:t>
      </w:r>
    </w:p>
    <w:p w:rsidR="009C42F5" w:rsidRPr="006B26E2" w:rsidRDefault="009C42F5" w:rsidP="006B26E2">
      <w:pPr>
        <w:pStyle w:val="a7"/>
        <w:numPr>
          <w:ilvl w:val="0"/>
          <w:numId w:val="11"/>
        </w:numPr>
        <w:tabs>
          <w:tab w:val="left" w:pos="851"/>
        </w:tabs>
        <w:ind w:left="0" w:firstLine="567"/>
        <w:rPr>
          <w:sz w:val="24"/>
          <w:szCs w:val="24"/>
        </w:rPr>
      </w:pPr>
      <w:r w:rsidRPr="006B26E2">
        <w:rPr>
          <w:sz w:val="24"/>
          <w:szCs w:val="24"/>
        </w:rPr>
        <w:t xml:space="preserve">Nechaeva T.P. Czynniki ekologicznego wpływu obiektów elektroenergetycznych na środowisko / T.P. Nechaeva, S.V. Shulzhenko, D.P. Sas, M.V. Parasyuk // Problemy energetyki ogólnej. Seria "Środowiskowe aspekty energetyki i ochrony środowiska". – 2008. – Nr 18. – str. 54–60.  </w:t>
      </w:r>
    </w:p>
    <w:p w:rsidR="009C42F5" w:rsidRPr="006B26E2" w:rsidRDefault="00FB7ADC" w:rsidP="006B26E2">
      <w:pPr>
        <w:pStyle w:val="a7"/>
        <w:numPr>
          <w:ilvl w:val="0"/>
          <w:numId w:val="11"/>
        </w:numPr>
        <w:tabs>
          <w:tab w:val="left" w:pos="851"/>
        </w:tabs>
        <w:ind w:left="0" w:firstLine="567"/>
        <w:rPr>
          <w:sz w:val="24"/>
          <w:szCs w:val="24"/>
        </w:rPr>
      </w:pPr>
      <w:r w:rsidRPr="006B26E2">
        <w:rPr>
          <w:sz w:val="24"/>
          <w:szCs w:val="24"/>
        </w:rPr>
        <w:t xml:space="preserve">Redukcja emisji w energetyce cieplnej Ukrainy poprzez spełnienie wymagań Europejskiej Wspólnoty Energetycznej: Zielona Księga / I. Gazizullin, L. Lozovyi, O. Ivakhno, V. Williams, I. Petrenko, R. Zaika; Lit. Redagować. N. Tsisyk. – Kijów: Wydawnictwo Optima, 2011. – 43 p. (po rosyjsku). </w:t>
      </w:r>
    </w:p>
    <w:p w:rsidR="009C42F5" w:rsidRPr="006B26E2" w:rsidRDefault="00FB7ADC" w:rsidP="006B26E2">
      <w:pPr>
        <w:pStyle w:val="a7"/>
        <w:numPr>
          <w:ilvl w:val="0"/>
          <w:numId w:val="11"/>
        </w:numPr>
        <w:tabs>
          <w:tab w:val="left" w:pos="851"/>
        </w:tabs>
        <w:ind w:left="0" w:firstLine="567"/>
        <w:rPr>
          <w:sz w:val="24"/>
          <w:szCs w:val="24"/>
        </w:rPr>
      </w:pPr>
      <w:proofErr w:type="spellStart"/>
      <w:r w:rsidRPr="006B26E2">
        <w:rPr>
          <w:sz w:val="24"/>
          <w:szCs w:val="24"/>
        </w:rPr>
        <w:t>Verbitska</w:t>
      </w:r>
      <w:proofErr w:type="spellEnd"/>
      <w:r w:rsidRPr="006B26E2">
        <w:rPr>
          <w:sz w:val="24"/>
          <w:szCs w:val="24"/>
        </w:rPr>
        <w:t xml:space="preserve"> I.Y. </w:t>
      </w:r>
      <w:proofErr w:type="spellStart"/>
      <w:r w:rsidRPr="006B26E2">
        <w:rPr>
          <w:sz w:val="24"/>
          <w:szCs w:val="24"/>
        </w:rPr>
        <w:t>Perspektywy</w:t>
      </w:r>
      <w:proofErr w:type="spellEnd"/>
      <w:r w:rsidRPr="006B26E2">
        <w:rPr>
          <w:sz w:val="24"/>
          <w:szCs w:val="24"/>
        </w:rPr>
        <w:t xml:space="preserve"> </w:t>
      </w:r>
      <w:proofErr w:type="spellStart"/>
      <w:r w:rsidRPr="006B26E2">
        <w:rPr>
          <w:sz w:val="24"/>
          <w:szCs w:val="24"/>
        </w:rPr>
        <w:t>eksploatacji</w:t>
      </w:r>
      <w:proofErr w:type="spellEnd"/>
      <w:r w:rsidRPr="006B26E2">
        <w:rPr>
          <w:sz w:val="24"/>
          <w:szCs w:val="24"/>
        </w:rPr>
        <w:t xml:space="preserve"> TPP w </w:t>
      </w:r>
      <w:proofErr w:type="spellStart"/>
      <w:r w:rsidRPr="006B26E2">
        <w:rPr>
          <w:sz w:val="24"/>
          <w:szCs w:val="24"/>
        </w:rPr>
        <w:t>warunkach</w:t>
      </w:r>
      <w:proofErr w:type="spellEnd"/>
      <w:r w:rsidRPr="006B26E2">
        <w:rPr>
          <w:sz w:val="24"/>
          <w:szCs w:val="24"/>
        </w:rPr>
        <w:t xml:space="preserve"> </w:t>
      </w:r>
      <w:proofErr w:type="spellStart"/>
      <w:r w:rsidRPr="006B26E2">
        <w:rPr>
          <w:sz w:val="24"/>
          <w:szCs w:val="24"/>
        </w:rPr>
        <w:t>współczesnych</w:t>
      </w:r>
      <w:proofErr w:type="spellEnd"/>
      <w:r w:rsidRPr="006B26E2">
        <w:rPr>
          <w:sz w:val="24"/>
          <w:szCs w:val="24"/>
        </w:rPr>
        <w:t xml:space="preserve"> </w:t>
      </w:r>
      <w:proofErr w:type="spellStart"/>
      <w:r w:rsidRPr="006B26E2">
        <w:rPr>
          <w:sz w:val="24"/>
          <w:szCs w:val="24"/>
        </w:rPr>
        <w:t>wymagań</w:t>
      </w:r>
      <w:proofErr w:type="spellEnd"/>
      <w:r w:rsidRPr="006B26E2">
        <w:rPr>
          <w:sz w:val="24"/>
          <w:szCs w:val="24"/>
        </w:rPr>
        <w:t xml:space="preserve"> </w:t>
      </w:r>
      <w:proofErr w:type="spellStart"/>
      <w:r w:rsidRPr="006B26E2">
        <w:rPr>
          <w:sz w:val="24"/>
          <w:szCs w:val="24"/>
        </w:rPr>
        <w:t>środowiskowych</w:t>
      </w:r>
      <w:proofErr w:type="spellEnd"/>
      <w:r w:rsidRPr="006B26E2">
        <w:rPr>
          <w:sz w:val="24"/>
          <w:szCs w:val="24"/>
        </w:rPr>
        <w:t xml:space="preserve">. </w:t>
      </w:r>
      <w:proofErr w:type="spellStart"/>
      <w:r w:rsidRPr="006B26E2">
        <w:rPr>
          <w:sz w:val="24"/>
          <w:szCs w:val="24"/>
        </w:rPr>
        <w:t>Forum</w:t>
      </w:r>
      <w:proofErr w:type="spellEnd"/>
      <w:r w:rsidRPr="006B26E2">
        <w:rPr>
          <w:sz w:val="24"/>
          <w:szCs w:val="24"/>
        </w:rPr>
        <w:t xml:space="preserve"> </w:t>
      </w:r>
      <w:proofErr w:type="spellStart"/>
      <w:r w:rsidRPr="006B26E2">
        <w:rPr>
          <w:sz w:val="24"/>
          <w:szCs w:val="24"/>
        </w:rPr>
        <w:t>Węglowe</w:t>
      </w:r>
      <w:proofErr w:type="spellEnd"/>
      <w:r w:rsidRPr="006B26E2">
        <w:rPr>
          <w:sz w:val="24"/>
          <w:szCs w:val="24"/>
        </w:rPr>
        <w:t xml:space="preserve">. – </w:t>
      </w:r>
      <w:proofErr w:type="spellStart"/>
      <w:r w:rsidRPr="006B26E2">
        <w:rPr>
          <w:sz w:val="24"/>
          <w:szCs w:val="24"/>
        </w:rPr>
        <w:t>Dniepr</w:t>
      </w:r>
      <w:proofErr w:type="spellEnd"/>
      <w:r w:rsidRPr="006B26E2">
        <w:rPr>
          <w:sz w:val="24"/>
          <w:szCs w:val="24"/>
        </w:rPr>
        <w:t xml:space="preserve">, 12 </w:t>
      </w:r>
      <w:proofErr w:type="spellStart"/>
      <w:r w:rsidRPr="006B26E2">
        <w:rPr>
          <w:sz w:val="24"/>
          <w:szCs w:val="24"/>
        </w:rPr>
        <w:t>kwietnia</w:t>
      </w:r>
      <w:proofErr w:type="spellEnd"/>
      <w:r w:rsidRPr="006B26E2">
        <w:rPr>
          <w:sz w:val="24"/>
          <w:szCs w:val="24"/>
        </w:rPr>
        <w:t xml:space="preserve"> 2018 r. – </w:t>
      </w:r>
      <w:proofErr w:type="spellStart"/>
      <w:r w:rsidRPr="006B26E2">
        <w:rPr>
          <w:sz w:val="24"/>
          <w:szCs w:val="24"/>
        </w:rPr>
        <w:t>godz</w:t>
      </w:r>
      <w:proofErr w:type="spellEnd"/>
      <w:r w:rsidRPr="006B26E2">
        <w:rPr>
          <w:sz w:val="24"/>
          <w:szCs w:val="24"/>
        </w:rPr>
        <w:t xml:space="preserve">. 17 </w:t>
      </w:r>
    </w:p>
    <w:p w:rsidR="009C42F5" w:rsidRPr="006B26E2" w:rsidRDefault="00FB7ADC" w:rsidP="006B26E2">
      <w:pPr>
        <w:pStyle w:val="a7"/>
        <w:numPr>
          <w:ilvl w:val="0"/>
          <w:numId w:val="11"/>
        </w:numPr>
        <w:tabs>
          <w:tab w:val="left" w:pos="851"/>
        </w:tabs>
        <w:ind w:left="0" w:firstLine="567"/>
        <w:rPr>
          <w:sz w:val="24"/>
          <w:szCs w:val="24"/>
        </w:rPr>
      </w:pPr>
      <w:r w:rsidRPr="006B26E2">
        <w:rPr>
          <w:sz w:val="24"/>
          <w:szCs w:val="24"/>
        </w:rPr>
        <w:t xml:space="preserve">34.02.305-2002. Emisje zanieczyszczeń do atmosfery z elektrowni. Metoda oznaczania. [Obowiązuje od 2002-07-01]. Kijów, 2002. </w:t>
      </w:r>
    </w:p>
    <w:p w:rsidR="00FB7ADC" w:rsidRPr="006B26E2" w:rsidRDefault="00FB7ADC" w:rsidP="006B26E2">
      <w:pPr>
        <w:pStyle w:val="a7"/>
        <w:numPr>
          <w:ilvl w:val="0"/>
          <w:numId w:val="11"/>
        </w:numPr>
        <w:tabs>
          <w:tab w:val="left" w:pos="851"/>
        </w:tabs>
        <w:ind w:left="0" w:firstLine="567"/>
        <w:rPr>
          <w:sz w:val="24"/>
          <w:szCs w:val="24"/>
        </w:rPr>
      </w:pPr>
      <w:r w:rsidRPr="006B26E2">
        <w:rPr>
          <w:sz w:val="24"/>
          <w:szCs w:val="24"/>
        </w:rPr>
        <w:t xml:space="preserve">Szczegółowe wskaźniki emisji zanieczyszczeń do atmosfery z głównych gałęzi przemysłu i rolnictwa. </w:t>
      </w:r>
      <w:proofErr w:type="spellStart"/>
      <w:r w:rsidRPr="006B26E2">
        <w:rPr>
          <w:sz w:val="24"/>
          <w:szCs w:val="24"/>
        </w:rPr>
        <w:t>Kijów</w:t>
      </w:r>
      <w:proofErr w:type="spellEnd"/>
      <w:r w:rsidRPr="006B26E2">
        <w:rPr>
          <w:sz w:val="24"/>
          <w:szCs w:val="24"/>
        </w:rPr>
        <w:t xml:space="preserve">: </w:t>
      </w:r>
      <w:proofErr w:type="spellStart"/>
      <w:r w:rsidRPr="006B26E2">
        <w:rPr>
          <w:sz w:val="24"/>
          <w:szCs w:val="24"/>
        </w:rPr>
        <w:t>Ministerstwo</w:t>
      </w:r>
      <w:proofErr w:type="spellEnd"/>
      <w:r w:rsidRPr="006B26E2">
        <w:rPr>
          <w:sz w:val="24"/>
          <w:szCs w:val="24"/>
        </w:rPr>
        <w:t xml:space="preserve"> </w:t>
      </w:r>
      <w:proofErr w:type="spellStart"/>
      <w:r w:rsidRPr="006B26E2">
        <w:rPr>
          <w:sz w:val="24"/>
          <w:szCs w:val="24"/>
        </w:rPr>
        <w:t>Zasobów</w:t>
      </w:r>
      <w:proofErr w:type="spellEnd"/>
      <w:r w:rsidRPr="006B26E2">
        <w:rPr>
          <w:sz w:val="24"/>
          <w:szCs w:val="24"/>
        </w:rPr>
        <w:t xml:space="preserve"> </w:t>
      </w:r>
      <w:proofErr w:type="spellStart"/>
      <w:r w:rsidRPr="006B26E2">
        <w:rPr>
          <w:sz w:val="24"/>
          <w:szCs w:val="24"/>
        </w:rPr>
        <w:t>Środowiska</w:t>
      </w:r>
      <w:proofErr w:type="spellEnd"/>
      <w:r w:rsidRPr="006B26E2">
        <w:rPr>
          <w:sz w:val="24"/>
          <w:szCs w:val="24"/>
        </w:rPr>
        <w:t xml:space="preserve"> </w:t>
      </w:r>
      <w:proofErr w:type="spellStart"/>
      <w:r w:rsidRPr="006B26E2">
        <w:rPr>
          <w:sz w:val="24"/>
          <w:szCs w:val="24"/>
        </w:rPr>
        <w:t>Ukrainy</w:t>
      </w:r>
      <w:proofErr w:type="spellEnd"/>
      <w:r w:rsidRPr="006B26E2">
        <w:rPr>
          <w:sz w:val="24"/>
          <w:szCs w:val="24"/>
        </w:rPr>
        <w:t>, 2001.</w:t>
      </w:r>
    </w:p>
    <w:p w:rsidR="00D37854" w:rsidRPr="001027C7" w:rsidRDefault="00D37854" w:rsidP="006B26E2">
      <w:pPr>
        <w:spacing w:line="360" w:lineRule="auto"/>
        <w:ind w:firstLine="567"/>
        <w:jc w:val="both"/>
        <w:rPr>
          <w:sz w:val="28"/>
          <w:szCs w:val="28"/>
          <w:lang w:val="uk-UA"/>
        </w:rPr>
      </w:pPr>
    </w:p>
    <w:p w:rsidR="008475CD" w:rsidRPr="001027C7" w:rsidRDefault="008475CD" w:rsidP="006B26E2">
      <w:pPr>
        <w:spacing w:line="360" w:lineRule="auto"/>
        <w:rPr>
          <w:b/>
          <w:sz w:val="28"/>
          <w:szCs w:val="28"/>
          <w:lang w:val="uk-UA"/>
        </w:rPr>
      </w:pPr>
    </w:p>
    <w:sectPr w:rsidR="008475CD" w:rsidRPr="001027C7" w:rsidSect="006B26E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31B"/>
    <w:multiLevelType w:val="hybridMultilevel"/>
    <w:tmpl w:val="B3647B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0D56938"/>
    <w:multiLevelType w:val="hybridMultilevel"/>
    <w:tmpl w:val="53B6C80A"/>
    <w:lvl w:ilvl="0" w:tplc="B06A7C9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D1687B"/>
    <w:multiLevelType w:val="hybridMultilevel"/>
    <w:tmpl w:val="21D08F96"/>
    <w:lvl w:ilvl="0" w:tplc="44446F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8BB6F38"/>
    <w:multiLevelType w:val="hybridMultilevel"/>
    <w:tmpl w:val="EC4A904E"/>
    <w:lvl w:ilvl="0" w:tplc="B45A83BE">
      <w:start w:val="1"/>
      <w:numFmt w:val="bullet"/>
      <w:lvlText w:val="­"/>
      <w:lvlJc w:val="left"/>
      <w:pPr>
        <w:tabs>
          <w:tab w:val="num" w:pos="0"/>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EF6851"/>
    <w:multiLevelType w:val="hybridMultilevel"/>
    <w:tmpl w:val="F0B629D4"/>
    <w:lvl w:ilvl="0" w:tplc="F3A6D9C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692219"/>
    <w:multiLevelType w:val="singleLevel"/>
    <w:tmpl w:val="9B1041E4"/>
    <w:lvl w:ilvl="0">
      <w:start w:val="5"/>
      <w:numFmt w:val="bullet"/>
      <w:lvlText w:val=""/>
      <w:lvlJc w:val="left"/>
      <w:pPr>
        <w:tabs>
          <w:tab w:val="num" w:pos="1139"/>
        </w:tabs>
        <w:ind w:left="1139" w:hanging="855"/>
      </w:pPr>
      <w:rPr>
        <w:rFonts w:ascii="Symbol" w:hAnsi="Symbol" w:hint="default"/>
      </w:rPr>
    </w:lvl>
  </w:abstractNum>
  <w:abstractNum w:abstractNumId="6">
    <w:nsid w:val="339055CD"/>
    <w:multiLevelType w:val="hybridMultilevel"/>
    <w:tmpl w:val="C24EC3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47D6B13"/>
    <w:multiLevelType w:val="hybridMultilevel"/>
    <w:tmpl w:val="BF300A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640BC0"/>
    <w:multiLevelType w:val="hybridMultilevel"/>
    <w:tmpl w:val="91D63B14"/>
    <w:lvl w:ilvl="0" w:tplc="D5DE416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1511C5D"/>
    <w:multiLevelType w:val="hybridMultilevel"/>
    <w:tmpl w:val="7B90A020"/>
    <w:lvl w:ilvl="0" w:tplc="8BCA3432">
      <w:start w:val="1"/>
      <w:numFmt w:val="bullet"/>
      <w:lvlText w:val=""/>
      <w:lvlJc w:val="left"/>
      <w:pPr>
        <w:tabs>
          <w:tab w:val="num" w:pos="720"/>
        </w:tabs>
        <w:ind w:left="720" w:hanging="360"/>
      </w:pPr>
      <w:rPr>
        <w:rFonts w:ascii="Tahoma" w:hAnsi="Tahoma"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08"/>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compat/>
  <w:rsids>
    <w:rsidRoot w:val="00050224"/>
    <w:rsid w:val="00001EFC"/>
    <w:rsid w:val="0001403C"/>
    <w:rsid w:val="00026128"/>
    <w:rsid w:val="00050224"/>
    <w:rsid w:val="000730D6"/>
    <w:rsid w:val="00093ED3"/>
    <w:rsid w:val="00095FEA"/>
    <w:rsid w:val="000A026C"/>
    <w:rsid w:val="000A5473"/>
    <w:rsid w:val="000B0AFB"/>
    <w:rsid w:val="000B7A04"/>
    <w:rsid w:val="000C0774"/>
    <w:rsid w:val="000C1A02"/>
    <w:rsid w:val="000C35EC"/>
    <w:rsid w:val="000D149C"/>
    <w:rsid w:val="000F1D83"/>
    <w:rsid w:val="000F212D"/>
    <w:rsid w:val="000F4482"/>
    <w:rsid w:val="000F6710"/>
    <w:rsid w:val="0010210C"/>
    <w:rsid w:val="001027C7"/>
    <w:rsid w:val="00105661"/>
    <w:rsid w:val="00124CD2"/>
    <w:rsid w:val="001440D4"/>
    <w:rsid w:val="00161059"/>
    <w:rsid w:val="00166930"/>
    <w:rsid w:val="0017151E"/>
    <w:rsid w:val="00185768"/>
    <w:rsid w:val="00185B78"/>
    <w:rsid w:val="00186779"/>
    <w:rsid w:val="00192117"/>
    <w:rsid w:val="0019219F"/>
    <w:rsid w:val="0019747A"/>
    <w:rsid w:val="001A0650"/>
    <w:rsid w:val="001A7878"/>
    <w:rsid w:val="001C1C3E"/>
    <w:rsid w:val="001C3E67"/>
    <w:rsid w:val="001F4B9C"/>
    <w:rsid w:val="001F70B6"/>
    <w:rsid w:val="001F7CFB"/>
    <w:rsid w:val="00200183"/>
    <w:rsid w:val="00206FEE"/>
    <w:rsid w:val="00207099"/>
    <w:rsid w:val="00207AB3"/>
    <w:rsid w:val="002274A7"/>
    <w:rsid w:val="00227603"/>
    <w:rsid w:val="0023558D"/>
    <w:rsid w:val="002818C1"/>
    <w:rsid w:val="00291B8C"/>
    <w:rsid w:val="002A08F4"/>
    <w:rsid w:val="002B19BD"/>
    <w:rsid w:val="002C4100"/>
    <w:rsid w:val="002C4DB1"/>
    <w:rsid w:val="002D6B59"/>
    <w:rsid w:val="002E02E3"/>
    <w:rsid w:val="002E49C2"/>
    <w:rsid w:val="002E7B33"/>
    <w:rsid w:val="002F1156"/>
    <w:rsid w:val="002F765C"/>
    <w:rsid w:val="00300A15"/>
    <w:rsid w:val="00307FE8"/>
    <w:rsid w:val="00315D12"/>
    <w:rsid w:val="00320EE0"/>
    <w:rsid w:val="00321BE7"/>
    <w:rsid w:val="00371AAF"/>
    <w:rsid w:val="003835D8"/>
    <w:rsid w:val="003B55E3"/>
    <w:rsid w:val="003C0389"/>
    <w:rsid w:val="003C7894"/>
    <w:rsid w:val="003D7A6A"/>
    <w:rsid w:val="003E3BA0"/>
    <w:rsid w:val="003F24C7"/>
    <w:rsid w:val="00403FBC"/>
    <w:rsid w:val="00404F23"/>
    <w:rsid w:val="0040634F"/>
    <w:rsid w:val="00440ABE"/>
    <w:rsid w:val="004427A4"/>
    <w:rsid w:val="004444E5"/>
    <w:rsid w:val="00446C79"/>
    <w:rsid w:val="004555D5"/>
    <w:rsid w:val="0046242E"/>
    <w:rsid w:val="0048164A"/>
    <w:rsid w:val="004A719B"/>
    <w:rsid w:val="004A745B"/>
    <w:rsid w:val="004B3A77"/>
    <w:rsid w:val="004C280F"/>
    <w:rsid w:val="004E4D97"/>
    <w:rsid w:val="004F4D22"/>
    <w:rsid w:val="004F666C"/>
    <w:rsid w:val="004F7E7B"/>
    <w:rsid w:val="005157A3"/>
    <w:rsid w:val="00553456"/>
    <w:rsid w:val="00562A64"/>
    <w:rsid w:val="00565D7C"/>
    <w:rsid w:val="0056686A"/>
    <w:rsid w:val="005777A7"/>
    <w:rsid w:val="005861B4"/>
    <w:rsid w:val="0059149C"/>
    <w:rsid w:val="005A5A5E"/>
    <w:rsid w:val="005B4676"/>
    <w:rsid w:val="005C3982"/>
    <w:rsid w:val="005E1745"/>
    <w:rsid w:val="005E3700"/>
    <w:rsid w:val="005F0D2F"/>
    <w:rsid w:val="00617E02"/>
    <w:rsid w:val="00622CE6"/>
    <w:rsid w:val="00622EE1"/>
    <w:rsid w:val="00624D77"/>
    <w:rsid w:val="0062723E"/>
    <w:rsid w:val="00635C65"/>
    <w:rsid w:val="00646F71"/>
    <w:rsid w:val="00650856"/>
    <w:rsid w:val="0065236E"/>
    <w:rsid w:val="00660344"/>
    <w:rsid w:val="00673141"/>
    <w:rsid w:val="00681D66"/>
    <w:rsid w:val="006A3602"/>
    <w:rsid w:val="006A63F5"/>
    <w:rsid w:val="006A712D"/>
    <w:rsid w:val="006A71F2"/>
    <w:rsid w:val="006B0ACB"/>
    <w:rsid w:val="006B26E2"/>
    <w:rsid w:val="006B38F1"/>
    <w:rsid w:val="006C3386"/>
    <w:rsid w:val="006E3FBD"/>
    <w:rsid w:val="006E5C5F"/>
    <w:rsid w:val="006F095A"/>
    <w:rsid w:val="006F6D59"/>
    <w:rsid w:val="00726683"/>
    <w:rsid w:val="00746D28"/>
    <w:rsid w:val="00756FA0"/>
    <w:rsid w:val="00761BCB"/>
    <w:rsid w:val="00762D67"/>
    <w:rsid w:val="00764E17"/>
    <w:rsid w:val="00767BDB"/>
    <w:rsid w:val="00780166"/>
    <w:rsid w:val="007A3C23"/>
    <w:rsid w:val="007B37FE"/>
    <w:rsid w:val="007D68F6"/>
    <w:rsid w:val="00803904"/>
    <w:rsid w:val="008056C0"/>
    <w:rsid w:val="00814287"/>
    <w:rsid w:val="008349DE"/>
    <w:rsid w:val="00837A73"/>
    <w:rsid w:val="008475CD"/>
    <w:rsid w:val="00850DC2"/>
    <w:rsid w:val="00862EBB"/>
    <w:rsid w:val="00870204"/>
    <w:rsid w:val="008724FF"/>
    <w:rsid w:val="00874AFE"/>
    <w:rsid w:val="00874F17"/>
    <w:rsid w:val="008A05DB"/>
    <w:rsid w:val="008A1331"/>
    <w:rsid w:val="008C5950"/>
    <w:rsid w:val="008E0737"/>
    <w:rsid w:val="008E662C"/>
    <w:rsid w:val="008F327A"/>
    <w:rsid w:val="008F6C2D"/>
    <w:rsid w:val="009036BC"/>
    <w:rsid w:val="009124F7"/>
    <w:rsid w:val="00915449"/>
    <w:rsid w:val="00920B00"/>
    <w:rsid w:val="00925387"/>
    <w:rsid w:val="00981154"/>
    <w:rsid w:val="00982E61"/>
    <w:rsid w:val="0098678F"/>
    <w:rsid w:val="00987377"/>
    <w:rsid w:val="00987A72"/>
    <w:rsid w:val="00992066"/>
    <w:rsid w:val="009A029C"/>
    <w:rsid w:val="009A20CF"/>
    <w:rsid w:val="009C42F5"/>
    <w:rsid w:val="009E7933"/>
    <w:rsid w:val="009F2440"/>
    <w:rsid w:val="009F3F12"/>
    <w:rsid w:val="009F627C"/>
    <w:rsid w:val="009F701B"/>
    <w:rsid w:val="00A0314F"/>
    <w:rsid w:val="00A0558E"/>
    <w:rsid w:val="00A07EA3"/>
    <w:rsid w:val="00A1233F"/>
    <w:rsid w:val="00A14FB3"/>
    <w:rsid w:val="00A26FF1"/>
    <w:rsid w:val="00A32AF9"/>
    <w:rsid w:val="00A40350"/>
    <w:rsid w:val="00A404A4"/>
    <w:rsid w:val="00A52D7F"/>
    <w:rsid w:val="00A55F1A"/>
    <w:rsid w:val="00A665A0"/>
    <w:rsid w:val="00A94E4D"/>
    <w:rsid w:val="00A97080"/>
    <w:rsid w:val="00AB4A35"/>
    <w:rsid w:val="00AB6BE3"/>
    <w:rsid w:val="00AB7A86"/>
    <w:rsid w:val="00AD05E4"/>
    <w:rsid w:val="00AD4415"/>
    <w:rsid w:val="00AE062D"/>
    <w:rsid w:val="00AF074D"/>
    <w:rsid w:val="00AF2A3E"/>
    <w:rsid w:val="00B107D6"/>
    <w:rsid w:val="00B25223"/>
    <w:rsid w:val="00B25641"/>
    <w:rsid w:val="00B43C5C"/>
    <w:rsid w:val="00B67B59"/>
    <w:rsid w:val="00B67E9A"/>
    <w:rsid w:val="00B71EAF"/>
    <w:rsid w:val="00B87240"/>
    <w:rsid w:val="00B95546"/>
    <w:rsid w:val="00B97AAD"/>
    <w:rsid w:val="00BB3269"/>
    <w:rsid w:val="00BD3AF8"/>
    <w:rsid w:val="00BD6208"/>
    <w:rsid w:val="00BF13FE"/>
    <w:rsid w:val="00BF7876"/>
    <w:rsid w:val="00C12B18"/>
    <w:rsid w:val="00C147F3"/>
    <w:rsid w:val="00C417D9"/>
    <w:rsid w:val="00C44F8E"/>
    <w:rsid w:val="00C5593B"/>
    <w:rsid w:val="00C70041"/>
    <w:rsid w:val="00C946CF"/>
    <w:rsid w:val="00CA0F6D"/>
    <w:rsid w:val="00CA1593"/>
    <w:rsid w:val="00CA413D"/>
    <w:rsid w:val="00CA7343"/>
    <w:rsid w:val="00CB1A52"/>
    <w:rsid w:val="00CC0DC7"/>
    <w:rsid w:val="00CC2F8D"/>
    <w:rsid w:val="00CC5C1D"/>
    <w:rsid w:val="00CD6CD2"/>
    <w:rsid w:val="00CE4CA4"/>
    <w:rsid w:val="00D2370D"/>
    <w:rsid w:val="00D25E34"/>
    <w:rsid w:val="00D37854"/>
    <w:rsid w:val="00D57726"/>
    <w:rsid w:val="00D60954"/>
    <w:rsid w:val="00D62DA8"/>
    <w:rsid w:val="00D73CC0"/>
    <w:rsid w:val="00D81B97"/>
    <w:rsid w:val="00D96186"/>
    <w:rsid w:val="00DB583B"/>
    <w:rsid w:val="00DC1AC4"/>
    <w:rsid w:val="00DC20D2"/>
    <w:rsid w:val="00DD0EB2"/>
    <w:rsid w:val="00DE4843"/>
    <w:rsid w:val="00DF7947"/>
    <w:rsid w:val="00E14C9F"/>
    <w:rsid w:val="00E246A9"/>
    <w:rsid w:val="00E34FF6"/>
    <w:rsid w:val="00E4313C"/>
    <w:rsid w:val="00E74CA5"/>
    <w:rsid w:val="00E81625"/>
    <w:rsid w:val="00E87667"/>
    <w:rsid w:val="00E94E2B"/>
    <w:rsid w:val="00EA45FA"/>
    <w:rsid w:val="00EA5650"/>
    <w:rsid w:val="00EB345F"/>
    <w:rsid w:val="00EB58D2"/>
    <w:rsid w:val="00EC3293"/>
    <w:rsid w:val="00EC4AFF"/>
    <w:rsid w:val="00EC5353"/>
    <w:rsid w:val="00ED012C"/>
    <w:rsid w:val="00ED3D02"/>
    <w:rsid w:val="00ED62EA"/>
    <w:rsid w:val="00EF1EBC"/>
    <w:rsid w:val="00EF38A8"/>
    <w:rsid w:val="00F13E11"/>
    <w:rsid w:val="00F31DF6"/>
    <w:rsid w:val="00F60791"/>
    <w:rsid w:val="00F614DB"/>
    <w:rsid w:val="00F62A2F"/>
    <w:rsid w:val="00F63D52"/>
    <w:rsid w:val="00F64D71"/>
    <w:rsid w:val="00F709C2"/>
    <w:rsid w:val="00F715B0"/>
    <w:rsid w:val="00F71D71"/>
    <w:rsid w:val="00F72BD7"/>
    <w:rsid w:val="00F72D7B"/>
    <w:rsid w:val="00F7587A"/>
    <w:rsid w:val="00F80D48"/>
    <w:rsid w:val="00F848B3"/>
    <w:rsid w:val="00FA4C4D"/>
    <w:rsid w:val="00FB2095"/>
    <w:rsid w:val="00FB7ADC"/>
    <w:rsid w:val="00FE1E96"/>
    <w:rsid w:val="00FE265B"/>
    <w:rsid w:val="00FF1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7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Justified">
    <w:name w:val="Normal Justified"/>
    <w:basedOn w:val="a"/>
    <w:uiPriority w:val="99"/>
    <w:rsid w:val="000F1D83"/>
    <w:pPr>
      <w:jc w:val="both"/>
    </w:pPr>
    <w:rPr>
      <w:lang w:val="uk-UA" w:eastAsia="uk-UA"/>
    </w:rPr>
  </w:style>
  <w:style w:type="paragraph" w:styleId="a3">
    <w:name w:val="Body Text"/>
    <w:basedOn w:val="a"/>
    <w:link w:val="a4"/>
    <w:uiPriority w:val="99"/>
    <w:rsid w:val="005861B4"/>
    <w:pPr>
      <w:jc w:val="both"/>
    </w:pPr>
  </w:style>
  <w:style w:type="character" w:customStyle="1" w:styleId="a4">
    <w:name w:val="Основной текст Знак"/>
    <w:link w:val="a3"/>
    <w:uiPriority w:val="99"/>
    <w:locked/>
    <w:rsid w:val="005861B4"/>
    <w:rPr>
      <w:sz w:val="24"/>
      <w:lang w:val="ru-RU" w:eastAsia="ru-RU"/>
    </w:rPr>
  </w:style>
  <w:style w:type="character" w:styleId="a5">
    <w:name w:val="Hyperlink"/>
    <w:uiPriority w:val="99"/>
    <w:rsid w:val="002C4100"/>
    <w:rPr>
      <w:rFonts w:cs="Times New Roman"/>
      <w:color w:val="0000FF"/>
      <w:u w:val="single"/>
    </w:rPr>
  </w:style>
  <w:style w:type="paragraph" w:customStyle="1" w:styleId="Style2">
    <w:name w:val="Style2"/>
    <w:basedOn w:val="a"/>
    <w:uiPriority w:val="99"/>
    <w:rsid w:val="002E49C2"/>
    <w:pPr>
      <w:widowControl w:val="0"/>
      <w:autoSpaceDE w:val="0"/>
      <w:autoSpaceDN w:val="0"/>
      <w:adjustRightInd w:val="0"/>
      <w:spacing w:line="319" w:lineRule="exact"/>
      <w:jc w:val="center"/>
    </w:pPr>
  </w:style>
  <w:style w:type="paragraph" w:customStyle="1" w:styleId="Style4">
    <w:name w:val="Style4"/>
    <w:basedOn w:val="a"/>
    <w:uiPriority w:val="99"/>
    <w:rsid w:val="002E49C2"/>
    <w:pPr>
      <w:widowControl w:val="0"/>
      <w:autoSpaceDE w:val="0"/>
      <w:autoSpaceDN w:val="0"/>
      <w:adjustRightInd w:val="0"/>
      <w:spacing w:line="322" w:lineRule="exact"/>
    </w:pPr>
  </w:style>
  <w:style w:type="character" w:customStyle="1" w:styleId="FontStyle13">
    <w:name w:val="Font Style13"/>
    <w:uiPriority w:val="99"/>
    <w:rsid w:val="002E49C2"/>
    <w:rPr>
      <w:rFonts w:ascii="Times New Roman" w:hAnsi="Times New Roman"/>
      <w:b/>
      <w:sz w:val="26"/>
    </w:rPr>
  </w:style>
  <w:style w:type="character" w:customStyle="1" w:styleId="FontStyle14">
    <w:name w:val="Font Style14"/>
    <w:uiPriority w:val="99"/>
    <w:rsid w:val="002E49C2"/>
    <w:rPr>
      <w:rFonts w:ascii="Times New Roman" w:hAnsi="Times New Roman"/>
      <w:sz w:val="26"/>
    </w:rPr>
  </w:style>
  <w:style w:type="paragraph" w:styleId="3">
    <w:name w:val="Body Text 3"/>
    <w:basedOn w:val="a"/>
    <w:link w:val="30"/>
    <w:uiPriority w:val="99"/>
    <w:rsid w:val="006F095A"/>
    <w:pPr>
      <w:spacing w:after="120"/>
    </w:pPr>
    <w:rPr>
      <w:sz w:val="16"/>
      <w:szCs w:val="16"/>
    </w:rPr>
  </w:style>
  <w:style w:type="character" w:customStyle="1" w:styleId="30">
    <w:name w:val="Основной текст 3 Знак"/>
    <w:link w:val="3"/>
    <w:uiPriority w:val="99"/>
    <w:semiHidden/>
    <w:rsid w:val="002867B0"/>
    <w:rPr>
      <w:sz w:val="16"/>
      <w:szCs w:val="16"/>
    </w:rPr>
  </w:style>
  <w:style w:type="character" w:customStyle="1" w:styleId="a6">
    <w:name w:val="Основной текст + Полужирный"/>
    <w:uiPriority w:val="99"/>
    <w:rsid w:val="006F095A"/>
    <w:rPr>
      <w:rFonts w:ascii="Times New Roman" w:hAnsi="Times New Roman"/>
      <w:b/>
      <w:spacing w:val="1"/>
      <w:sz w:val="18"/>
    </w:rPr>
  </w:style>
  <w:style w:type="character" w:customStyle="1" w:styleId="1">
    <w:name w:val="Основной текст + Полужирный1"/>
    <w:uiPriority w:val="99"/>
    <w:rsid w:val="006F095A"/>
    <w:rPr>
      <w:rFonts w:ascii="Times New Roman" w:hAnsi="Times New Roman"/>
      <w:b/>
      <w:spacing w:val="1"/>
      <w:sz w:val="18"/>
      <w:u w:val="single"/>
    </w:rPr>
  </w:style>
  <w:style w:type="character" w:customStyle="1" w:styleId="2">
    <w:name w:val="Основной текст (2)_"/>
    <w:link w:val="20"/>
    <w:uiPriority w:val="99"/>
    <w:locked/>
    <w:rsid w:val="006F095A"/>
    <w:rPr>
      <w:b/>
      <w:spacing w:val="1"/>
      <w:sz w:val="18"/>
      <w:lang w:val="ru-RU" w:eastAsia="ru-RU"/>
    </w:rPr>
  </w:style>
  <w:style w:type="paragraph" w:customStyle="1" w:styleId="20">
    <w:name w:val="Основной текст (2)"/>
    <w:basedOn w:val="a"/>
    <w:link w:val="2"/>
    <w:uiPriority w:val="99"/>
    <w:rsid w:val="006F095A"/>
    <w:pPr>
      <w:shd w:val="clear" w:color="auto" w:fill="FFFFFF"/>
      <w:spacing w:before="180" w:line="230" w:lineRule="exact"/>
      <w:jc w:val="both"/>
    </w:pPr>
    <w:rPr>
      <w:b/>
      <w:bCs/>
      <w:spacing w:val="1"/>
      <w:sz w:val="18"/>
      <w:szCs w:val="18"/>
    </w:rPr>
  </w:style>
  <w:style w:type="paragraph" w:styleId="a7">
    <w:name w:val="List Paragraph"/>
    <w:basedOn w:val="a"/>
    <w:uiPriority w:val="99"/>
    <w:qFormat/>
    <w:rsid w:val="006F095A"/>
    <w:pPr>
      <w:spacing w:line="360" w:lineRule="auto"/>
      <w:ind w:left="720" w:firstLine="709"/>
      <w:contextualSpacing/>
      <w:jc w:val="both"/>
    </w:pPr>
    <w:rPr>
      <w:sz w:val="28"/>
      <w:szCs w:val="22"/>
      <w:lang w:val="uk-UA" w:eastAsia="en-US"/>
    </w:rPr>
  </w:style>
  <w:style w:type="table" w:styleId="a8">
    <w:name w:val="Table Grid"/>
    <w:basedOn w:val="a1"/>
    <w:uiPriority w:val="99"/>
    <w:rsid w:val="006F0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99"/>
    <w:rsid w:val="00A404A4"/>
    <w:pPr>
      <w:spacing w:after="200" w:line="276" w:lineRule="auto"/>
      <w:ind w:left="720"/>
    </w:pPr>
    <w:rPr>
      <w:rFonts w:ascii="Calibri" w:hAnsi="Calibri"/>
      <w:sz w:val="22"/>
      <w:szCs w:val="22"/>
      <w:lang w:eastAsia="en-US"/>
    </w:rPr>
  </w:style>
  <w:style w:type="paragraph" w:customStyle="1" w:styleId="11">
    <w:name w:val="Знак Знак1"/>
    <w:basedOn w:val="a"/>
    <w:uiPriority w:val="99"/>
    <w:rsid w:val="00D57726"/>
    <w:rPr>
      <w:rFonts w:ascii="Verdana" w:hAnsi="Verdana" w:cs="Verdana"/>
      <w:sz w:val="20"/>
      <w:szCs w:val="20"/>
      <w:lang w:val="en-US" w:eastAsia="en-US"/>
    </w:rPr>
  </w:style>
  <w:style w:type="paragraph" w:customStyle="1" w:styleId="a9">
    <w:name w:val="Знак Знак Знак Знак Знак"/>
    <w:basedOn w:val="a"/>
    <w:uiPriority w:val="99"/>
    <w:rsid w:val="002E7B33"/>
    <w:rPr>
      <w:rFonts w:ascii="Verdana" w:hAnsi="Verdana"/>
      <w:sz w:val="20"/>
      <w:szCs w:val="20"/>
      <w:lang w:val="en-US" w:eastAsia="en-US"/>
    </w:rPr>
  </w:style>
  <w:style w:type="paragraph" w:customStyle="1" w:styleId="Default">
    <w:name w:val="Default"/>
    <w:uiPriority w:val="99"/>
    <w:rsid w:val="00635C65"/>
    <w:pPr>
      <w:autoSpaceDE w:val="0"/>
      <w:autoSpaceDN w:val="0"/>
      <w:adjustRightInd w:val="0"/>
    </w:pPr>
    <w:rPr>
      <w:color w:val="000000"/>
      <w:sz w:val="24"/>
      <w:szCs w:val="24"/>
    </w:rPr>
  </w:style>
  <w:style w:type="character" w:styleId="aa">
    <w:name w:val="FollowedHyperlink"/>
    <w:uiPriority w:val="99"/>
    <w:semiHidden/>
    <w:rsid w:val="00321BE7"/>
    <w:rPr>
      <w:rFonts w:cs="Times New Roman"/>
      <w:color w:val="954F72"/>
      <w:u w:val="single"/>
    </w:rPr>
  </w:style>
  <w:style w:type="paragraph" w:styleId="ab">
    <w:name w:val="Balloon Text"/>
    <w:basedOn w:val="a"/>
    <w:link w:val="ac"/>
    <w:uiPriority w:val="99"/>
    <w:semiHidden/>
    <w:rsid w:val="00C147F3"/>
    <w:rPr>
      <w:rFonts w:ascii="Tahoma" w:hAnsi="Tahoma" w:cs="Tahoma"/>
      <w:sz w:val="16"/>
      <w:szCs w:val="16"/>
    </w:rPr>
  </w:style>
  <w:style w:type="character" w:customStyle="1" w:styleId="ac">
    <w:name w:val="Текст выноски Знак"/>
    <w:link w:val="ab"/>
    <w:uiPriority w:val="99"/>
    <w:semiHidden/>
    <w:locked/>
    <w:rsid w:val="00C147F3"/>
    <w:rPr>
      <w:rFonts w:ascii="Tahoma" w:hAnsi="Tahoma" w:cs="Tahoma"/>
      <w:sz w:val="16"/>
      <w:szCs w:val="16"/>
    </w:rPr>
  </w:style>
  <w:style w:type="paragraph" w:styleId="ad">
    <w:name w:val="Body Text First Indent"/>
    <w:basedOn w:val="a3"/>
    <w:link w:val="ae"/>
    <w:uiPriority w:val="99"/>
    <w:semiHidden/>
    <w:unhideWhenUsed/>
    <w:rsid w:val="0010210C"/>
    <w:pPr>
      <w:ind w:firstLine="360"/>
      <w:jc w:val="left"/>
    </w:pPr>
  </w:style>
  <w:style w:type="character" w:customStyle="1" w:styleId="ae">
    <w:name w:val="Красная строка Знак"/>
    <w:basedOn w:val="a4"/>
    <w:link w:val="ad"/>
    <w:uiPriority w:val="99"/>
    <w:semiHidden/>
    <w:rsid w:val="0010210C"/>
    <w:rPr>
      <w:sz w:val="24"/>
      <w:szCs w:val="24"/>
      <w:lang w:val="ru-RU" w:eastAsia="ru-RU"/>
    </w:rPr>
  </w:style>
  <w:style w:type="paragraph" w:customStyle="1" w:styleId="TableBodyText">
    <w:name w:val="Table Body Text"/>
    <w:basedOn w:val="a"/>
    <w:rsid w:val="0010210C"/>
    <w:rPr>
      <w:szCs w:val="20"/>
      <w:lang w:val="uk-UA" w:eastAsia="en-US"/>
    </w:rPr>
  </w:style>
  <w:style w:type="paragraph" w:customStyle="1" w:styleId="Equation">
    <w:name w:val="Equation"/>
    <w:basedOn w:val="a"/>
    <w:next w:val="a"/>
    <w:rsid w:val="0010210C"/>
    <w:pPr>
      <w:tabs>
        <w:tab w:val="left" w:pos="8902"/>
      </w:tabs>
      <w:spacing w:after="120"/>
      <w:ind w:left="284"/>
    </w:pPr>
    <w:rPr>
      <w:szCs w:val="20"/>
      <w:lang w:val="uk-UA" w:eastAsia="en-US"/>
    </w:rPr>
  </w:style>
  <w:style w:type="paragraph" w:customStyle="1" w:styleId="TableHeader">
    <w:name w:val="Table Header"/>
    <w:basedOn w:val="a"/>
    <w:rsid w:val="0010210C"/>
    <w:pPr>
      <w:jc w:val="center"/>
    </w:pPr>
    <w:rPr>
      <w:b/>
      <w:szCs w:val="20"/>
      <w:lang w:val="uk-UA" w:eastAsia="en-US"/>
    </w:rPr>
  </w:style>
  <w:style w:type="paragraph" w:styleId="af">
    <w:name w:val="caption"/>
    <w:basedOn w:val="a"/>
    <w:next w:val="a"/>
    <w:qFormat/>
    <w:locked/>
    <w:rsid w:val="0010210C"/>
    <w:pPr>
      <w:spacing w:before="120" w:after="120"/>
    </w:pPr>
    <w:rPr>
      <w:rFonts w:ascii="Arial" w:hAnsi="Arial"/>
      <w:b/>
      <w:sz w:val="22"/>
      <w:szCs w:val="20"/>
      <w:lang w:val="uk-UA" w:eastAsia="en-US"/>
    </w:rPr>
  </w:style>
  <w:style w:type="paragraph" w:customStyle="1" w:styleId="TableValue">
    <w:name w:val="Table Value"/>
    <w:basedOn w:val="TableBodyText"/>
    <w:rsid w:val="0010210C"/>
    <w:pPr>
      <w:jc w:val="center"/>
    </w:pPr>
  </w:style>
  <w:style w:type="paragraph" w:customStyle="1" w:styleId="SpecificationFirst">
    <w:name w:val="Specification First"/>
    <w:basedOn w:val="a"/>
    <w:rsid w:val="0010210C"/>
    <w:pPr>
      <w:tabs>
        <w:tab w:val="left" w:pos="1134"/>
      </w:tabs>
      <w:spacing w:line="360" w:lineRule="auto"/>
      <w:ind w:left="1332" w:hanging="1332"/>
    </w:pPr>
    <w:rPr>
      <w:szCs w:val="20"/>
      <w:lang w:val="uk-UA" w:eastAsia="en-US"/>
    </w:rPr>
  </w:style>
  <w:style w:type="paragraph" w:customStyle="1" w:styleId="SpecificationNext">
    <w:name w:val="Specification Next"/>
    <w:basedOn w:val="a"/>
    <w:rsid w:val="0010210C"/>
    <w:pPr>
      <w:tabs>
        <w:tab w:val="left" w:pos="1134"/>
      </w:tabs>
      <w:spacing w:line="360" w:lineRule="auto"/>
      <w:ind w:left="1333" w:hanging="1049"/>
    </w:pPr>
    <w:rPr>
      <w:szCs w:val="20"/>
      <w:lang w:val="uk-UA" w:eastAsia="en-US"/>
    </w:rPr>
  </w:style>
  <w:style w:type="paragraph" w:styleId="af0">
    <w:name w:val="footnote text"/>
    <w:basedOn w:val="a"/>
    <w:link w:val="af1"/>
    <w:semiHidden/>
    <w:rsid w:val="0010210C"/>
    <w:rPr>
      <w:sz w:val="20"/>
      <w:szCs w:val="20"/>
      <w:lang w:val="uk-UA" w:eastAsia="en-US"/>
    </w:rPr>
  </w:style>
  <w:style w:type="character" w:customStyle="1" w:styleId="af1">
    <w:name w:val="Текст сноски Знак"/>
    <w:basedOn w:val="a0"/>
    <w:link w:val="af0"/>
    <w:semiHidden/>
    <w:rsid w:val="0010210C"/>
    <w:rPr>
      <w:lang w:val="uk-UA" w:eastAsia="en-US"/>
    </w:rPr>
  </w:style>
  <w:style w:type="character" w:styleId="af2">
    <w:name w:val="Placeholder Text"/>
    <w:basedOn w:val="a0"/>
    <w:uiPriority w:val="99"/>
    <w:semiHidden/>
    <w:rsid w:val="00622EE1"/>
    <w:rPr>
      <w:color w:val="808080"/>
    </w:rPr>
  </w:style>
  <w:style w:type="paragraph" w:styleId="af3">
    <w:name w:val="Normal (Web)"/>
    <w:basedOn w:val="a"/>
    <w:uiPriority w:val="99"/>
    <w:unhideWhenUsed/>
    <w:rsid w:val="00F848B3"/>
    <w:pPr>
      <w:spacing w:before="100" w:beforeAutospacing="1" w:after="100" w:afterAutospacing="1"/>
    </w:pPr>
    <w:rPr>
      <w:lang w:val="uk-UA" w:eastAsia="uk-UA"/>
    </w:rPr>
  </w:style>
  <w:style w:type="character" w:customStyle="1" w:styleId="tlid-translation">
    <w:name w:val="tlid-translation"/>
    <w:rsid w:val="00F60791"/>
  </w:style>
  <w:style w:type="character" w:styleId="af4">
    <w:name w:val="Strong"/>
    <w:basedOn w:val="a0"/>
    <w:uiPriority w:val="22"/>
    <w:qFormat/>
    <w:locked/>
    <w:rsid w:val="00553456"/>
    <w:rPr>
      <w:b/>
      <w:bCs/>
    </w:rPr>
  </w:style>
  <w:style w:type="character" w:customStyle="1" w:styleId="katex-mathml">
    <w:name w:val="katex-mathml"/>
    <w:basedOn w:val="a0"/>
    <w:rsid w:val="00DF7947"/>
  </w:style>
  <w:style w:type="character" w:customStyle="1" w:styleId="mord">
    <w:name w:val="mord"/>
    <w:basedOn w:val="a0"/>
    <w:rsid w:val="00DF7947"/>
  </w:style>
  <w:style w:type="character" w:customStyle="1" w:styleId="vlist-s">
    <w:name w:val="vlist-s"/>
    <w:basedOn w:val="a0"/>
    <w:rsid w:val="00DF7947"/>
  </w:style>
</w:styles>
</file>

<file path=word/webSettings.xml><?xml version="1.0" encoding="utf-8"?>
<w:webSettings xmlns:r="http://schemas.openxmlformats.org/officeDocument/2006/relationships" xmlns:w="http://schemas.openxmlformats.org/wordprocessingml/2006/main">
  <w:divs>
    <w:div w:id="33314027">
      <w:bodyDiv w:val="1"/>
      <w:marLeft w:val="0"/>
      <w:marRight w:val="0"/>
      <w:marTop w:val="0"/>
      <w:marBottom w:val="0"/>
      <w:divBdr>
        <w:top w:val="none" w:sz="0" w:space="0" w:color="auto"/>
        <w:left w:val="none" w:sz="0" w:space="0" w:color="auto"/>
        <w:bottom w:val="none" w:sz="0" w:space="0" w:color="auto"/>
        <w:right w:val="none" w:sz="0" w:space="0" w:color="auto"/>
      </w:divBdr>
    </w:div>
    <w:div w:id="247352177">
      <w:bodyDiv w:val="1"/>
      <w:marLeft w:val="0"/>
      <w:marRight w:val="0"/>
      <w:marTop w:val="0"/>
      <w:marBottom w:val="0"/>
      <w:divBdr>
        <w:top w:val="none" w:sz="0" w:space="0" w:color="auto"/>
        <w:left w:val="none" w:sz="0" w:space="0" w:color="auto"/>
        <w:bottom w:val="none" w:sz="0" w:space="0" w:color="auto"/>
        <w:right w:val="none" w:sz="0" w:space="0" w:color="auto"/>
      </w:divBdr>
    </w:div>
    <w:div w:id="269556377">
      <w:marLeft w:val="0"/>
      <w:marRight w:val="0"/>
      <w:marTop w:val="0"/>
      <w:marBottom w:val="0"/>
      <w:divBdr>
        <w:top w:val="none" w:sz="0" w:space="0" w:color="auto"/>
        <w:left w:val="none" w:sz="0" w:space="0" w:color="auto"/>
        <w:bottom w:val="none" w:sz="0" w:space="0" w:color="auto"/>
        <w:right w:val="none" w:sz="0" w:space="0" w:color="auto"/>
      </w:divBdr>
    </w:div>
    <w:div w:id="269556378">
      <w:marLeft w:val="0"/>
      <w:marRight w:val="0"/>
      <w:marTop w:val="0"/>
      <w:marBottom w:val="0"/>
      <w:divBdr>
        <w:top w:val="none" w:sz="0" w:space="0" w:color="auto"/>
        <w:left w:val="none" w:sz="0" w:space="0" w:color="auto"/>
        <w:bottom w:val="none" w:sz="0" w:space="0" w:color="auto"/>
        <w:right w:val="none" w:sz="0" w:space="0" w:color="auto"/>
      </w:divBdr>
    </w:div>
    <w:div w:id="269556379">
      <w:marLeft w:val="0"/>
      <w:marRight w:val="0"/>
      <w:marTop w:val="0"/>
      <w:marBottom w:val="0"/>
      <w:divBdr>
        <w:top w:val="none" w:sz="0" w:space="0" w:color="auto"/>
        <w:left w:val="none" w:sz="0" w:space="0" w:color="auto"/>
        <w:bottom w:val="none" w:sz="0" w:space="0" w:color="auto"/>
        <w:right w:val="none" w:sz="0" w:space="0" w:color="auto"/>
      </w:divBdr>
    </w:div>
    <w:div w:id="269556380">
      <w:marLeft w:val="0"/>
      <w:marRight w:val="0"/>
      <w:marTop w:val="0"/>
      <w:marBottom w:val="0"/>
      <w:divBdr>
        <w:top w:val="none" w:sz="0" w:space="0" w:color="auto"/>
        <w:left w:val="none" w:sz="0" w:space="0" w:color="auto"/>
        <w:bottom w:val="none" w:sz="0" w:space="0" w:color="auto"/>
        <w:right w:val="none" w:sz="0" w:space="0" w:color="auto"/>
      </w:divBdr>
    </w:div>
    <w:div w:id="269556381">
      <w:marLeft w:val="0"/>
      <w:marRight w:val="0"/>
      <w:marTop w:val="0"/>
      <w:marBottom w:val="0"/>
      <w:divBdr>
        <w:top w:val="none" w:sz="0" w:space="0" w:color="auto"/>
        <w:left w:val="none" w:sz="0" w:space="0" w:color="auto"/>
        <w:bottom w:val="none" w:sz="0" w:space="0" w:color="auto"/>
        <w:right w:val="none" w:sz="0" w:space="0" w:color="auto"/>
      </w:divBdr>
    </w:div>
    <w:div w:id="269556382">
      <w:marLeft w:val="0"/>
      <w:marRight w:val="0"/>
      <w:marTop w:val="0"/>
      <w:marBottom w:val="0"/>
      <w:divBdr>
        <w:top w:val="none" w:sz="0" w:space="0" w:color="auto"/>
        <w:left w:val="none" w:sz="0" w:space="0" w:color="auto"/>
        <w:bottom w:val="none" w:sz="0" w:space="0" w:color="auto"/>
        <w:right w:val="none" w:sz="0" w:space="0" w:color="auto"/>
      </w:divBdr>
    </w:div>
    <w:div w:id="269556383">
      <w:marLeft w:val="0"/>
      <w:marRight w:val="0"/>
      <w:marTop w:val="0"/>
      <w:marBottom w:val="0"/>
      <w:divBdr>
        <w:top w:val="none" w:sz="0" w:space="0" w:color="auto"/>
        <w:left w:val="none" w:sz="0" w:space="0" w:color="auto"/>
        <w:bottom w:val="none" w:sz="0" w:space="0" w:color="auto"/>
        <w:right w:val="none" w:sz="0" w:space="0" w:color="auto"/>
      </w:divBdr>
    </w:div>
    <w:div w:id="269556384">
      <w:marLeft w:val="0"/>
      <w:marRight w:val="0"/>
      <w:marTop w:val="0"/>
      <w:marBottom w:val="0"/>
      <w:divBdr>
        <w:top w:val="none" w:sz="0" w:space="0" w:color="auto"/>
        <w:left w:val="none" w:sz="0" w:space="0" w:color="auto"/>
        <w:bottom w:val="none" w:sz="0" w:space="0" w:color="auto"/>
        <w:right w:val="none" w:sz="0" w:space="0" w:color="auto"/>
      </w:divBdr>
    </w:div>
    <w:div w:id="269556385">
      <w:marLeft w:val="0"/>
      <w:marRight w:val="0"/>
      <w:marTop w:val="0"/>
      <w:marBottom w:val="0"/>
      <w:divBdr>
        <w:top w:val="none" w:sz="0" w:space="0" w:color="auto"/>
        <w:left w:val="none" w:sz="0" w:space="0" w:color="auto"/>
        <w:bottom w:val="none" w:sz="0" w:space="0" w:color="auto"/>
        <w:right w:val="none" w:sz="0" w:space="0" w:color="auto"/>
      </w:divBdr>
    </w:div>
    <w:div w:id="337315550">
      <w:bodyDiv w:val="1"/>
      <w:marLeft w:val="0"/>
      <w:marRight w:val="0"/>
      <w:marTop w:val="0"/>
      <w:marBottom w:val="0"/>
      <w:divBdr>
        <w:top w:val="none" w:sz="0" w:space="0" w:color="auto"/>
        <w:left w:val="none" w:sz="0" w:space="0" w:color="auto"/>
        <w:bottom w:val="none" w:sz="0" w:space="0" w:color="auto"/>
        <w:right w:val="none" w:sz="0" w:space="0" w:color="auto"/>
      </w:divBdr>
    </w:div>
    <w:div w:id="427433628">
      <w:bodyDiv w:val="1"/>
      <w:marLeft w:val="0"/>
      <w:marRight w:val="0"/>
      <w:marTop w:val="0"/>
      <w:marBottom w:val="0"/>
      <w:divBdr>
        <w:top w:val="none" w:sz="0" w:space="0" w:color="auto"/>
        <w:left w:val="none" w:sz="0" w:space="0" w:color="auto"/>
        <w:bottom w:val="none" w:sz="0" w:space="0" w:color="auto"/>
        <w:right w:val="none" w:sz="0" w:space="0" w:color="auto"/>
      </w:divBdr>
    </w:div>
    <w:div w:id="577206549">
      <w:bodyDiv w:val="1"/>
      <w:marLeft w:val="0"/>
      <w:marRight w:val="0"/>
      <w:marTop w:val="0"/>
      <w:marBottom w:val="0"/>
      <w:divBdr>
        <w:top w:val="none" w:sz="0" w:space="0" w:color="auto"/>
        <w:left w:val="none" w:sz="0" w:space="0" w:color="auto"/>
        <w:bottom w:val="none" w:sz="0" w:space="0" w:color="auto"/>
        <w:right w:val="none" w:sz="0" w:space="0" w:color="auto"/>
      </w:divBdr>
    </w:div>
    <w:div w:id="604963034">
      <w:bodyDiv w:val="1"/>
      <w:marLeft w:val="0"/>
      <w:marRight w:val="0"/>
      <w:marTop w:val="0"/>
      <w:marBottom w:val="0"/>
      <w:divBdr>
        <w:top w:val="none" w:sz="0" w:space="0" w:color="auto"/>
        <w:left w:val="none" w:sz="0" w:space="0" w:color="auto"/>
        <w:bottom w:val="none" w:sz="0" w:space="0" w:color="auto"/>
        <w:right w:val="none" w:sz="0" w:space="0" w:color="auto"/>
      </w:divBdr>
    </w:div>
    <w:div w:id="759987505">
      <w:bodyDiv w:val="1"/>
      <w:marLeft w:val="0"/>
      <w:marRight w:val="0"/>
      <w:marTop w:val="0"/>
      <w:marBottom w:val="0"/>
      <w:divBdr>
        <w:top w:val="none" w:sz="0" w:space="0" w:color="auto"/>
        <w:left w:val="none" w:sz="0" w:space="0" w:color="auto"/>
        <w:bottom w:val="none" w:sz="0" w:space="0" w:color="auto"/>
        <w:right w:val="none" w:sz="0" w:space="0" w:color="auto"/>
      </w:divBdr>
    </w:div>
    <w:div w:id="760760711">
      <w:bodyDiv w:val="1"/>
      <w:marLeft w:val="0"/>
      <w:marRight w:val="0"/>
      <w:marTop w:val="0"/>
      <w:marBottom w:val="0"/>
      <w:divBdr>
        <w:top w:val="none" w:sz="0" w:space="0" w:color="auto"/>
        <w:left w:val="none" w:sz="0" w:space="0" w:color="auto"/>
        <w:bottom w:val="none" w:sz="0" w:space="0" w:color="auto"/>
        <w:right w:val="none" w:sz="0" w:space="0" w:color="auto"/>
      </w:divBdr>
    </w:div>
    <w:div w:id="1357853253">
      <w:bodyDiv w:val="1"/>
      <w:marLeft w:val="0"/>
      <w:marRight w:val="0"/>
      <w:marTop w:val="0"/>
      <w:marBottom w:val="0"/>
      <w:divBdr>
        <w:top w:val="none" w:sz="0" w:space="0" w:color="auto"/>
        <w:left w:val="none" w:sz="0" w:space="0" w:color="auto"/>
        <w:bottom w:val="none" w:sz="0" w:space="0" w:color="auto"/>
        <w:right w:val="none" w:sz="0" w:space="0" w:color="auto"/>
      </w:divBdr>
      <w:divsChild>
        <w:div w:id="209877972">
          <w:marLeft w:val="0"/>
          <w:marRight w:val="0"/>
          <w:marTop w:val="0"/>
          <w:marBottom w:val="0"/>
          <w:divBdr>
            <w:top w:val="none" w:sz="0" w:space="0" w:color="auto"/>
            <w:left w:val="none" w:sz="0" w:space="0" w:color="auto"/>
            <w:bottom w:val="none" w:sz="0" w:space="0" w:color="auto"/>
            <w:right w:val="none" w:sz="0" w:space="0" w:color="auto"/>
          </w:divBdr>
        </w:div>
        <w:div w:id="335037065">
          <w:marLeft w:val="0"/>
          <w:marRight w:val="0"/>
          <w:marTop w:val="0"/>
          <w:marBottom w:val="0"/>
          <w:divBdr>
            <w:top w:val="none" w:sz="0" w:space="0" w:color="auto"/>
            <w:left w:val="none" w:sz="0" w:space="0" w:color="auto"/>
            <w:bottom w:val="none" w:sz="0" w:space="0" w:color="auto"/>
            <w:right w:val="none" w:sz="0" w:space="0" w:color="auto"/>
          </w:divBdr>
        </w:div>
        <w:div w:id="712847155">
          <w:marLeft w:val="0"/>
          <w:marRight w:val="0"/>
          <w:marTop w:val="0"/>
          <w:marBottom w:val="0"/>
          <w:divBdr>
            <w:top w:val="none" w:sz="0" w:space="0" w:color="auto"/>
            <w:left w:val="none" w:sz="0" w:space="0" w:color="auto"/>
            <w:bottom w:val="none" w:sz="0" w:space="0" w:color="auto"/>
            <w:right w:val="none" w:sz="0" w:space="0" w:color="auto"/>
          </w:divBdr>
        </w:div>
      </w:divsChild>
    </w:div>
    <w:div w:id="1413429815">
      <w:bodyDiv w:val="1"/>
      <w:marLeft w:val="0"/>
      <w:marRight w:val="0"/>
      <w:marTop w:val="0"/>
      <w:marBottom w:val="0"/>
      <w:divBdr>
        <w:top w:val="none" w:sz="0" w:space="0" w:color="auto"/>
        <w:left w:val="none" w:sz="0" w:space="0" w:color="auto"/>
        <w:bottom w:val="none" w:sz="0" w:space="0" w:color="auto"/>
        <w:right w:val="none" w:sz="0" w:space="0" w:color="auto"/>
      </w:divBdr>
    </w:div>
    <w:div w:id="1564676082">
      <w:bodyDiv w:val="1"/>
      <w:marLeft w:val="0"/>
      <w:marRight w:val="0"/>
      <w:marTop w:val="0"/>
      <w:marBottom w:val="0"/>
      <w:divBdr>
        <w:top w:val="none" w:sz="0" w:space="0" w:color="auto"/>
        <w:left w:val="none" w:sz="0" w:space="0" w:color="auto"/>
        <w:bottom w:val="none" w:sz="0" w:space="0" w:color="auto"/>
        <w:right w:val="none" w:sz="0" w:space="0" w:color="auto"/>
      </w:divBdr>
    </w:div>
    <w:div w:id="2044286593">
      <w:bodyDiv w:val="1"/>
      <w:marLeft w:val="0"/>
      <w:marRight w:val="0"/>
      <w:marTop w:val="0"/>
      <w:marBottom w:val="0"/>
      <w:divBdr>
        <w:top w:val="none" w:sz="0" w:space="0" w:color="auto"/>
        <w:left w:val="none" w:sz="0" w:space="0" w:color="auto"/>
        <w:bottom w:val="none" w:sz="0" w:space="0" w:color="auto"/>
        <w:right w:val="none" w:sz="0" w:space="0" w:color="auto"/>
      </w:divBdr>
    </w:div>
    <w:div w:id="20468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768</Words>
  <Characters>4380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Проблеми екології та енергозбереження</vt:lpstr>
      <vt:lpstr>Проблеми екології та енергозбереження</vt:lpstr>
    </vt:vector>
  </TitlesOfParts>
  <Company>home</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Problemy związane z ochroną środowiska i oszczędnością energii</dc:title>
  <dc:creator>admin</dc:creator>
  <cp:lastModifiedBy>Тетяна Шелешей</cp:lastModifiedBy>
  <cp:revision>2</cp:revision>
  <dcterms:created xsi:type="dcterms:W3CDTF">2025-05-13T13:50:00Z</dcterms:created>
  <dcterms:modified xsi:type="dcterms:W3CDTF">2025-10-12T12:42:00Z</dcterms:modified>
</cp:coreProperties>
</file>