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28" w:rsidRPr="007D1E30" w:rsidRDefault="00F22528" w:rsidP="00F22528">
      <w:pPr>
        <w:jc w:val="right"/>
        <w:rPr>
          <w:b/>
          <w:sz w:val="28"/>
          <w:szCs w:val="28"/>
          <w:lang w:val="uk-UA"/>
        </w:rPr>
      </w:pPr>
      <w:bookmarkStart w:id="0" w:name="_Toc157027349"/>
      <w:proofErr w:type="spellStart"/>
      <w:r w:rsidRPr="007D1E30">
        <w:rPr>
          <w:b/>
          <w:sz w:val="28"/>
          <w:szCs w:val="28"/>
          <w:lang w:val="uk-UA"/>
        </w:rPr>
        <w:t>Щитов</w:t>
      </w:r>
      <w:proofErr w:type="spellEnd"/>
      <w:r w:rsidRPr="007D1E30">
        <w:rPr>
          <w:b/>
          <w:sz w:val="28"/>
          <w:szCs w:val="28"/>
          <w:lang w:val="uk-UA"/>
        </w:rPr>
        <w:t xml:space="preserve"> Д. М. </w:t>
      </w:r>
    </w:p>
    <w:p w:rsidR="00F22528" w:rsidRPr="007D1E30" w:rsidRDefault="00DC485A" w:rsidP="00F22528">
      <w:pPr>
        <w:jc w:val="right"/>
        <w:rPr>
          <w:sz w:val="28"/>
          <w:szCs w:val="28"/>
          <w:lang w:val="uk-UA"/>
        </w:rPr>
      </w:pPr>
      <w:r w:rsidRPr="007D1E30">
        <w:rPr>
          <w:sz w:val="28"/>
          <w:szCs w:val="28"/>
          <w:lang w:val="uk-UA"/>
        </w:rPr>
        <w:t>д</w:t>
      </w:r>
      <w:r w:rsidR="00F22528" w:rsidRPr="007D1E30">
        <w:rPr>
          <w:sz w:val="28"/>
          <w:szCs w:val="28"/>
          <w:lang w:val="uk-UA"/>
        </w:rPr>
        <w:t xml:space="preserve">окторант, </w:t>
      </w:r>
    </w:p>
    <w:p w:rsidR="00F22528" w:rsidRPr="007D1E30" w:rsidRDefault="00F22528" w:rsidP="00F22528">
      <w:pPr>
        <w:jc w:val="right"/>
        <w:rPr>
          <w:i/>
          <w:sz w:val="28"/>
          <w:szCs w:val="28"/>
          <w:lang w:val="uk-UA"/>
        </w:rPr>
      </w:pPr>
      <w:r w:rsidRPr="007D1E30">
        <w:rPr>
          <w:i/>
          <w:sz w:val="28"/>
          <w:szCs w:val="28"/>
          <w:lang w:val="uk-UA"/>
        </w:rPr>
        <w:t>Університет митної справи та фінансів</w:t>
      </w:r>
      <w:r w:rsidR="007D1E30" w:rsidRPr="007D1E30">
        <w:rPr>
          <w:i/>
          <w:sz w:val="28"/>
          <w:szCs w:val="28"/>
          <w:lang w:val="uk-UA"/>
        </w:rPr>
        <w:t xml:space="preserve">, </w:t>
      </w:r>
      <w:r w:rsidR="007D1E30" w:rsidRPr="007D1E30">
        <w:rPr>
          <w:i/>
          <w:sz w:val="28"/>
          <w:szCs w:val="28"/>
          <w:lang w:val="uk-UA"/>
        </w:rPr>
        <w:t>м. Дніпро, Україна</w:t>
      </w:r>
    </w:p>
    <w:p w:rsidR="00F22528" w:rsidRPr="007D1E30" w:rsidRDefault="00F22528" w:rsidP="00F22528">
      <w:pPr>
        <w:jc w:val="right"/>
        <w:rPr>
          <w:b/>
          <w:sz w:val="28"/>
          <w:szCs w:val="28"/>
          <w:lang w:val="uk-UA"/>
        </w:rPr>
      </w:pPr>
      <w:proofErr w:type="spellStart"/>
      <w:r w:rsidRPr="007D1E30">
        <w:rPr>
          <w:b/>
          <w:sz w:val="28"/>
          <w:szCs w:val="28"/>
          <w:lang w:val="uk-UA"/>
        </w:rPr>
        <w:t>Мормуль</w:t>
      </w:r>
      <w:proofErr w:type="spellEnd"/>
      <w:r w:rsidRPr="007D1E30">
        <w:rPr>
          <w:b/>
          <w:sz w:val="28"/>
          <w:szCs w:val="28"/>
          <w:lang w:val="uk-UA"/>
        </w:rPr>
        <w:t xml:space="preserve"> М. Ф.</w:t>
      </w:r>
    </w:p>
    <w:p w:rsidR="009A4063" w:rsidRPr="007D1E30" w:rsidRDefault="00F22528" w:rsidP="00F22528">
      <w:pPr>
        <w:jc w:val="right"/>
        <w:rPr>
          <w:sz w:val="28"/>
          <w:szCs w:val="28"/>
          <w:lang w:val="uk-UA"/>
        </w:rPr>
      </w:pPr>
      <w:r w:rsidRPr="007D1E30">
        <w:rPr>
          <w:sz w:val="28"/>
          <w:szCs w:val="28"/>
          <w:lang w:val="uk-UA"/>
        </w:rPr>
        <w:t xml:space="preserve">доцент кафедри комп’ютерних наук та інженерії програмного забезпечення, </w:t>
      </w:r>
    </w:p>
    <w:p w:rsidR="00F22528" w:rsidRPr="007D1E30" w:rsidRDefault="00F22528" w:rsidP="00F22528">
      <w:pPr>
        <w:jc w:val="right"/>
        <w:rPr>
          <w:i/>
          <w:sz w:val="28"/>
          <w:szCs w:val="28"/>
          <w:lang w:val="uk-UA"/>
        </w:rPr>
      </w:pPr>
      <w:r w:rsidRPr="007D1E30">
        <w:rPr>
          <w:i/>
          <w:sz w:val="28"/>
          <w:szCs w:val="28"/>
          <w:lang w:val="uk-UA"/>
        </w:rPr>
        <w:t>Університет митної справи та фінансів</w:t>
      </w:r>
      <w:r w:rsidR="007D1E30" w:rsidRPr="007D1E30">
        <w:rPr>
          <w:i/>
          <w:sz w:val="28"/>
          <w:szCs w:val="28"/>
          <w:lang w:val="uk-UA"/>
        </w:rPr>
        <w:t xml:space="preserve">, </w:t>
      </w:r>
      <w:r w:rsidR="007D1E30" w:rsidRPr="007D1E30">
        <w:rPr>
          <w:i/>
          <w:sz w:val="28"/>
          <w:szCs w:val="28"/>
          <w:lang w:val="uk-UA"/>
        </w:rPr>
        <w:t>м. Дніпро, Україна</w:t>
      </w:r>
      <w:r w:rsidRPr="007D1E30">
        <w:rPr>
          <w:i/>
          <w:sz w:val="28"/>
          <w:szCs w:val="28"/>
          <w:lang w:val="uk-UA"/>
        </w:rPr>
        <w:t xml:space="preserve"> </w:t>
      </w:r>
    </w:p>
    <w:p w:rsidR="00F22528" w:rsidRPr="007D1E30" w:rsidRDefault="00F22528" w:rsidP="00F22528">
      <w:pPr>
        <w:jc w:val="right"/>
        <w:rPr>
          <w:b/>
          <w:sz w:val="28"/>
          <w:szCs w:val="28"/>
          <w:lang w:val="uk-UA"/>
        </w:rPr>
      </w:pPr>
      <w:proofErr w:type="spellStart"/>
      <w:r w:rsidRPr="007D1E30">
        <w:rPr>
          <w:b/>
          <w:sz w:val="28"/>
          <w:szCs w:val="28"/>
          <w:lang w:val="uk-UA"/>
        </w:rPr>
        <w:t>Щитов</w:t>
      </w:r>
      <w:proofErr w:type="spellEnd"/>
      <w:r w:rsidRPr="007D1E30">
        <w:rPr>
          <w:b/>
          <w:sz w:val="28"/>
          <w:szCs w:val="28"/>
          <w:lang w:val="uk-UA"/>
        </w:rPr>
        <w:t xml:space="preserve"> О. М.</w:t>
      </w:r>
    </w:p>
    <w:p w:rsidR="009A4063" w:rsidRPr="007D1E30" w:rsidRDefault="00F22528" w:rsidP="00F22528">
      <w:pPr>
        <w:jc w:val="right"/>
        <w:rPr>
          <w:sz w:val="28"/>
          <w:szCs w:val="28"/>
          <w:lang w:val="uk-UA"/>
        </w:rPr>
      </w:pPr>
      <w:r w:rsidRPr="007D1E30">
        <w:rPr>
          <w:sz w:val="28"/>
          <w:szCs w:val="28"/>
          <w:lang w:val="uk-UA"/>
        </w:rPr>
        <w:t xml:space="preserve">викладач, </w:t>
      </w:r>
    </w:p>
    <w:p w:rsidR="00F22528" w:rsidRPr="007D1E30" w:rsidRDefault="00F22528" w:rsidP="00F22528">
      <w:pPr>
        <w:jc w:val="right"/>
        <w:rPr>
          <w:i/>
          <w:sz w:val="28"/>
          <w:szCs w:val="28"/>
          <w:lang w:val="uk-UA"/>
        </w:rPr>
      </w:pPr>
      <w:r w:rsidRPr="007D1E30">
        <w:rPr>
          <w:i/>
          <w:sz w:val="28"/>
          <w:szCs w:val="28"/>
          <w:lang w:val="uk-UA"/>
        </w:rPr>
        <w:t>НВК-Ліцей № 100</w:t>
      </w:r>
      <w:r w:rsidR="007D1E30" w:rsidRPr="007D1E30">
        <w:rPr>
          <w:i/>
          <w:sz w:val="28"/>
          <w:szCs w:val="28"/>
          <w:lang w:val="uk-UA"/>
        </w:rPr>
        <w:t>, м. Дніпро, Україна</w:t>
      </w:r>
    </w:p>
    <w:p w:rsidR="00F22528" w:rsidRPr="00BE451B" w:rsidRDefault="00F22528" w:rsidP="00F22528">
      <w:pPr>
        <w:jc w:val="center"/>
        <w:rPr>
          <w:lang w:val="uk-UA"/>
        </w:rPr>
      </w:pPr>
    </w:p>
    <w:p w:rsidR="005C5C77" w:rsidRPr="007D1E30" w:rsidRDefault="00573ADC" w:rsidP="005C5C77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 w:themeColor="text1"/>
          <w:lang w:val="uk-UA"/>
        </w:rPr>
      </w:pPr>
      <w:r w:rsidRPr="007D1E30">
        <w:rPr>
          <w:rFonts w:ascii="Times New Roman" w:hAnsi="Times New Roman" w:cs="Times New Roman"/>
          <w:i w:val="0"/>
          <w:lang w:val="uk-UA"/>
        </w:rPr>
        <w:t>РЕГРЕС</w:t>
      </w:r>
      <w:r w:rsidR="00BE451B" w:rsidRPr="007D1E30">
        <w:rPr>
          <w:rFonts w:ascii="Times New Roman" w:hAnsi="Times New Roman" w:cs="Times New Roman"/>
          <w:i w:val="0"/>
          <w:lang w:val="uk-UA"/>
        </w:rPr>
        <w:t xml:space="preserve">ІЙНИЙ АНАЛІЗ </w:t>
      </w:r>
      <w:r w:rsidR="00D147A1" w:rsidRPr="007D1E30">
        <w:rPr>
          <w:rFonts w:ascii="Times New Roman" w:hAnsi="Times New Roman" w:cs="Times New Roman"/>
          <w:i w:val="0"/>
          <w:lang w:val="uk-UA"/>
        </w:rPr>
        <w:t>АУТСОРСИНГУ У МИРНІ</w:t>
      </w:r>
      <w:r w:rsidR="00D147A1" w:rsidRPr="007D1E30">
        <w:rPr>
          <w:rFonts w:ascii="Times New Roman" w:hAnsi="Times New Roman" w:cs="Times New Roman"/>
          <w:i w:val="0"/>
          <w:color w:val="000000" w:themeColor="text1"/>
          <w:lang w:val="uk-UA"/>
        </w:rPr>
        <w:t xml:space="preserve"> ТА ВОЄННІ ЧАСИ</w:t>
      </w:r>
      <w:bookmarkEnd w:id="0"/>
    </w:p>
    <w:p w:rsidR="004440A0" w:rsidRPr="007D1E30" w:rsidRDefault="004440A0" w:rsidP="00BE451B">
      <w:pPr>
        <w:rPr>
          <w:sz w:val="28"/>
          <w:szCs w:val="28"/>
          <w:lang w:val="uk-UA"/>
        </w:rPr>
      </w:pPr>
    </w:p>
    <w:p w:rsidR="00395C5F" w:rsidRPr="00395C5F" w:rsidRDefault="00395C5F" w:rsidP="00395C5F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95C5F">
        <w:rPr>
          <w:rFonts w:eastAsiaTheme="minorHAnsi"/>
          <w:sz w:val="28"/>
          <w:szCs w:val="28"/>
          <w:lang w:val="uk-UA" w:eastAsia="en-US"/>
        </w:rPr>
        <w:t xml:space="preserve">Малий та середній бізнес у сфері 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аутсорсингу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 xml:space="preserve"> IT-послуг відіграє важливу роль у посиленні експортного потенціалу економіки України. 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Аутсорсинг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 xml:space="preserve"> IT включає передачу зовнішнім виконавцям різних функцій, таких як розробка програмного забезпечення, управління інформаційними системами, забезпечення безпеки даних і надання інтернет-послуг (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web-хостинг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 xml:space="preserve">). Основними перевагами 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аутсорсингу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 xml:space="preserve"> є зниження витрат, оптимізація внутрішніх процесів, доступ до новітніх технологій і кваліфікованого персоналу, що особливо важливо в умовах економічних викликів. Завдяки глобалізації міжнародний 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аутсорсинг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 xml:space="preserve"> став дуже популярним, дозволяючи компаніям ефективно використовувати ресурси по всьому світу. Україна зайняла міцне місце на міжнародному ринку 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аутсорсингу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 xml:space="preserve"> IT-послуг завдяки великій кількості талановитих фахівців та конкурентним умовам праці. Це сприяє не лише зростанню експорту послуг, але й стимулює інноваційний розвиток і підвищення конкурентоздатності економіки країни.</w:t>
      </w:r>
    </w:p>
    <w:p w:rsidR="00395C5F" w:rsidRPr="00395C5F" w:rsidRDefault="00395C5F" w:rsidP="00395C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95C5F">
        <w:rPr>
          <w:rFonts w:eastAsiaTheme="minorHAnsi"/>
          <w:sz w:val="28"/>
          <w:szCs w:val="28"/>
          <w:lang w:val="uk-UA" w:eastAsia="en-US"/>
        </w:rPr>
        <w:t>В IT-індустрії України ключові ролі відіграють системна інтеграція, IT-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аутсорсинг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 xml:space="preserve"> та розробка програмного забезпечення. Офшорний сегмент приваблює замовників зі США, Європейського Союзу та інших країн завдяки IT-проектам. Головними перевагами 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офшорингу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 xml:space="preserve"> в Україні є культурна схожість із західними країнами, високий рівень кваліфікації спеціалістів, відносно низька вартість праці, мінімальні 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мовні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 xml:space="preserve"> бар’єри та розвинена інфраструктура.</w:t>
      </w:r>
    </w:p>
    <w:p w:rsidR="00395C5F" w:rsidRPr="00395C5F" w:rsidRDefault="00395C5F" w:rsidP="00395C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95C5F">
        <w:rPr>
          <w:rFonts w:eastAsiaTheme="minorHAnsi"/>
          <w:sz w:val="28"/>
          <w:szCs w:val="28"/>
          <w:lang w:val="uk-UA" w:eastAsia="en-US"/>
        </w:rPr>
        <w:t xml:space="preserve">Проте існують певні проблеми, що заважають подальшому розвитку </w:t>
      </w:r>
      <w:proofErr w:type="spellStart"/>
      <w:r w:rsidRPr="00395C5F">
        <w:rPr>
          <w:rFonts w:eastAsiaTheme="minorHAnsi"/>
          <w:sz w:val="28"/>
          <w:szCs w:val="28"/>
          <w:lang w:val="uk-UA" w:eastAsia="en-US"/>
        </w:rPr>
        <w:t>аутсорсингу</w:t>
      </w:r>
      <w:proofErr w:type="spellEnd"/>
      <w:r w:rsidRPr="00395C5F">
        <w:rPr>
          <w:rFonts w:eastAsiaTheme="minorHAnsi"/>
          <w:sz w:val="28"/>
          <w:szCs w:val="28"/>
          <w:lang w:val="uk-UA" w:eastAsia="en-US"/>
        </w:rPr>
        <w:t>. Серед них недостатня державна підтримка, відтік фахівців за кордон і недоліки освітньої системи. Тому важливо провести глибокий аналіз цієї галузі, її умов та перспектив розвитку, знайти способи усунення перешкод, сформулювати пропозиції для покращення інфраструктури та здійснити конкретні заход</w:t>
      </w:r>
      <w:r>
        <w:rPr>
          <w:rFonts w:eastAsiaTheme="minorHAnsi"/>
          <w:sz w:val="28"/>
          <w:szCs w:val="28"/>
          <w:lang w:val="uk-UA" w:eastAsia="en-US"/>
        </w:rPr>
        <w:t>и для стимулювання її розвитку.</w:t>
      </w:r>
    </w:p>
    <w:p w:rsidR="00395C5F" w:rsidRDefault="005C5C77" w:rsidP="00D147A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D1607">
        <w:rPr>
          <w:color w:val="0D0D0D"/>
          <w:sz w:val="28"/>
          <w:szCs w:val="28"/>
          <w:shd w:val="clear" w:color="auto" w:fill="FFFFFF"/>
          <w:lang w:val="uk-UA"/>
        </w:rPr>
        <w:t>Для усунення проблеми відтоку ІТ-фахівців в Україні слід зосередити увагу на ключових елементах, які наразі недостатньо розвинені:</w:t>
      </w:r>
      <w:r w:rsidR="00DE634A" w:rsidRPr="00FD1607">
        <w:rPr>
          <w:rFonts w:eastAsia="Calibri"/>
          <w:sz w:val="28"/>
          <w:szCs w:val="28"/>
          <w:lang w:val="uk-UA"/>
        </w:rPr>
        <w:t xml:space="preserve"> </w:t>
      </w:r>
    </w:p>
    <w:p w:rsidR="00395C5F" w:rsidRDefault="00DE634A" w:rsidP="00D147A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D1607">
        <w:rPr>
          <w:rFonts w:eastAsia="Calibri"/>
          <w:sz w:val="28"/>
          <w:szCs w:val="28"/>
          <w:lang w:val="uk-UA"/>
        </w:rPr>
        <w:t xml:space="preserve">1) </w:t>
      </w:r>
      <w:r w:rsidR="005C5C77" w:rsidRPr="00FD1607">
        <w:rPr>
          <w:rFonts w:eastAsia="Calibri"/>
          <w:sz w:val="28"/>
          <w:szCs w:val="28"/>
          <w:lang w:val="uk-UA"/>
        </w:rPr>
        <w:t>створення внутрішнього попиту на ІТ-товари та послуги;</w:t>
      </w:r>
      <w:r w:rsidRPr="00FD1607">
        <w:rPr>
          <w:rFonts w:eastAsia="Calibri"/>
          <w:sz w:val="28"/>
          <w:szCs w:val="28"/>
          <w:lang w:val="uk-UA"/>
        </w:rPr>
        <w:t xml:space="preserve"> </w:t>
      </w:r>
    </w:p>
    <w:p w:rsidR="00395C5F" w:rsidRDefault="00DE634A" w:rsidP="00D147A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D1607">
        <w:rPr>
          <w:rFonts w:eastAsia="Calibri"/>
          <w:sz w:val="28"/>
          <w:szCs w:val="28"/>
          <w:lang w:val="uk-UA"/>
        </w:rPr>
        <w:t xml:space="preserve">2) </w:t>
      </w:r>
      <w:r w:rsidR="005C5C77" w:rsidRPr="00FD1607">
        <w:rPr>
          <w:rFonts w:eastAsia="Calibri"/>
          <w:sz w:val="28"/>
          <w:szCs w:val="28"/>
          <w:lang w:val="uk-UA"/>
        </w:rPr>
        <w:t>розвиток інноваційної інфраструктури (базової і високотехнологічної);</w:t>
      </w:r>
      <w:r w:rsidRPr="00FD1607">
        <w:rPr>
          <w:rFonts w:eastAsia="Calibri"/>
          <w:sz w:val="28"/>
          <w:szCs w:val="28"/>
          <w:lang w:val="uk-UA"/>
        </w:rPr>
        <w:t xml:space="preserve"> </w:t>
      </w:r>
    </w:p>
    <w:p w:rsidR="00395C5F" w:rsidRDefault="00DE634A" w:rsidP="00D147A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D1607">
        <w:rPr>
          <w:rFonts w:eastAsia="Calibri"/>
          <w:sz w:val="28"/>
          <w:szCs w:val="28"/>
          <w:lang w:val="uk-UA"/>
        </w:rPr>
        <w:t xml:space="preserve">3) </w:t>
      </w:r>
      <w:r w:rsidR="005C5C77" w:rsidRPr="00FD1607">
        <w:rPr>
          <w:rFonts w:eastAsia="Calibri"/>
          <w:sz w:val="28"/>
          <w:szCs w:val="28"/>
          <w:lang w:val="uk-UA"/>
        </w:rPr>
        <w:t>створення стимулюючих умов для детінізації фінансового капіталу в високоефективні галузі (кредити, венчурний капітал);</w:t>
      </w:r>
      <w:r w:rsidRPr="00FD1607">
        <w:rPr>
          <w:rFonts w:eastAsia="Calibri"/>
          <w:sz w:val="28"/>
          <w:szCs w:val="28"/>
          <w:lang w:val="uk-UA"/>
        </w:rPr>
        <w:t xml:space="preserve"> </w:t>
      </w:r>
    </w:p>
    <w:p w:rsidR="00395C5F" w:rsidRDefault="00DE634A" w:rsidP="00D147A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D1607">
        <w:rPr>
          <w:rFonts w:eastAsia="Calibri"/>
          <w:sz w:val="28"/>
          <w:szCs w:val="28"/>
          <w:lang w:val="uk-UA"/>
        </w:rPr>
        <w:t xml:space="preserve">4) </w:t>
      </w:r>
      <w:r w:rsidR="005C5C77" w:rsidRPr="00FD1607">
        <w:rPr>
          <w:rFonts w:eastAsia="Calibri"/>
          <w:sz w:val="28"/>
          <w:szCs w:val="28"/>
          <w:lang w:val="uk-UA"/>
        </w:rPr>
        <w:t>поліпшення бізнес-клімат</w:t>
      </w:r>
      <w:r w:rsidRPr="00FD1607">
        <w:rPr>
          <w:rFonts w:eastAsia="Calibri"/>
          <w:sz w:val="28"/>
          <w:szCs w:val="28"/>
          <w:lang w:val="uk-UA"/>
        </w:rPr>
        <w:t xml:space="preserve">у; </w:t>
      </w:r>
    </w:p>
    <w:p w:rsidR="00CB3C4C" w:rsidRPr="00D147A1" w:rsidRDefault="00DE634A" w:rsidP="00D147A1">
      <w:pPr>
        <w:ind w:firstLine="567"/>
        <w:jc w:val="both"/>
        <w:rPr>
          <w:rFonts w:eastAsia="TimesNewRomanPSMT"/>
          <w:sz w:val="28"/>
          <w:szCs w:val="28"/>
          <w:lang w:val="uk-UA"/>
        </w:rPr>
      </w:pPr>
      <w:r w:rsidRPr="00FD1607">
        <w:rPr>
          <w:rFonts w:eastAsia="Calibri"/>
          <w:sz w:val="28"/>
          <w:szCs w:val="28"/>
          <w:lang w:val="uk-UA"/>
        </w:rPr>
        <w:lastRenderedPageBreak/>
        <w:t>5) ф</w:t>
      </w:r>
      <w:r w:rsidR="005C5C77" w:rsidRPr="00FD1607">
        <w:rPr>
          <w:color w:val="000000" w:themeColor="text1"/>
          <w:sz w:val="28"/>
          <w:szCs w:val="28"/>
          <w:shd w:val="clear" w:color="auto" w:fill="FFFFFF"/>
          <w:lang w:val="uk-UA"/>
        </w:rPr>
        <w:t>інансова підтримка та модернізація освітньої системи, зокрема в сфері ІТ та суміжних</w:t>
      </w:r>
      <w:r w:rsidRPr="00FD160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галузей</w:t>
      </w:r>
      <w:r w:rsidR="0060255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="005C5C77" w:rsidRPr="00FD1607">
        <w:rPr>
          <w:rFonts w:eastAsia="Calibri"/>
          <w:color w:val="000000" w:themeColor="text1"/>
          <w:sz w:val="28"/>
          <w:szCs w:val="28"/>
          <w:lang w:val="uk-UA"/>
        </w:rPr>
        <w:t xml:space="preserve">характер залежності між кількістю наданих послуг </w:t>
      </w:r>
      <w:r w:rsidR="005C5C77" w:rsidRPr="00FD1607">
        <w:rPr>
          <w:rFonts w:eastAsia="Calibri"/>
          <w:color w:val="000000" w:themeColor="text1"/>
          <w:sz w:val="28"/>
          <w:szCs w:val="28"/>
        </w:rPr>
        <w:t>IT</w:t>
      </w:r>
      <w:r w:rsidR="005C5C77" w:rsidRPr="00FD1607">
        <w:rPr>
          <w:rFonts w:eastAsia="Calibri"/>
          <w:color w:val="000000" w:themeColor="text1"/>
          <w:sz w:val="28"/>
          <w:szCs w:val="28"/>
          <w:lang w:val="uk-UA"/>
        </w:rPr>
        <w:t>-</w:t>
      </w:r>
      <w:proofErr w:type="spellStart"/>
      <w:r w:rsidR="005C5C77" w:rsidRPr="00FD1607">
        <w:rPr>
          <w:rFonts w:eastAsia="Calibri"/>
          <w:color w:val="000000" w:themeColor="text1"/>
          <w:sz w:val="28"/>
          <w:szCs w:val="28"/>
          <w:lang w:val="uk-UA"/>
        </w:rPr>
        <w:t>аутсорсингу</w:t>
      </w:r>
      <w:proofErr w:type="spellEnd"/>
      <w:r w:rsidR="005C5C77" w:rsidRPr="00FD1607">
        <w:rPr>
          <w:rFonts w:eastAsia="Calibri"/>
          <w:color w:val="000000" w:themeColor="text1"/>
          <w:sz w:val="28"/>
          <w:szCs w:val="28"/>
          <w:lang w:val="uk-UA"/>
        </w:rPr>
        <w:t xml:space="preserve"> і обсягом витрат на</w:t>
      </w:r>
      <w:r w:rsidR="00C005B4" w:rsidRPr="00FD1607">
        <w:rPr>
          <w:rFonts w:eastAsia="Calibri"/>
          <w:color w:val="000000" w:themeColor="text1"/>
          <w:sz w:val="28"/>
          <w:szCs w:val="28"/>
          <w:lang w:val="uk-UA"/>
        </w:rPr>
        <w:t xml:space="preserve"> освіту </w:t>
      </w:r>
      <w:r w:rsidR="00602556">
        <w:rPr>
          <w:rFonts w:eastAsia="Calibri"/>
          <w:color w:val="000000" w:themeColor="text1"/>
          <w:sz w:val="28"/>
          <w:szCs w:val="28"/>
          <w:lang w:val="uk-UA"/>
        </w:rPr>
        <w:t xml:space="preserve">визначено </w:t>
      </w:r>
      <w:r w:rsidR="00C005B4" w:rsidRPr="00FD1607">
        <w:rPr>
          <w:rFonts w:eastAsia="Calibri"/>
          <w:color w:val="000000" w:themeColor="text1"/>
          <w:sz w:val="28"/>
          <w:szCs w:val="28"/>
          <w:lang w:val="uk-UA"/>
        </w:rPr>
        <w:t xml:space="preserve">за допомогою </w:t>
      </w:r>
      <w:r w:rsidRPr="00FD1607">
        <w:rPr>
          <w:rFonts w:eastAsia="Calibri"/>
          <w:color w:val="000000" w:themeColor="text1"/>
          <w:sz w:val="28"/>
          <w:szCs w:val="28"/>
          <w:lang w:val="uk-UA"/>
        </w:rPr>
        <w:t>регресійного аналізу</w:t>
      </w:r>
      <w:r w:rsidR="00602556">
        <w:rPr>
          <w:rFonts w:eastAsia="Calibri"/>
          <w:color w:val="000000" w:themeColor="text1"/>
          <w:sz w:val="28"/>
          <w:szCs w:val="28"/>
          <w:lang w:val="uk-UA"/>
        </w:rPr>
        <w:t xml:space="preserve"> у </w:t>
      </w:r>
      <w:r w:rsidR="006B579B" w:rsidRPr="00FD1607">
        <w:rPr>
          <w:rFonts w:eastAsia="Calibri"/>
          <w:color w:val="000000" w:themeColor="text1"/>
          <w:sz w:val="28"/>
          <w:szCs w:val="28"/>
          <w:lang w:val="uk-UA"/>
        </w:rPr>
        <w:t>табл. 1</w:t>
      </w:r>
      <w:r w:rsidR="005C5C77" w:rsidRPr="00FD1607">
        <w:rPr>
          <w:rFonts w:eastAsia="Calibri"/>
          <w:color w:val="000000" w:themeColor="text1"/>
          <w:sz w:val="28"/>
          <w:szCs w:val="28"/>
          <w:lang w:val="uk-UA"/>
        </w:rPr>
        <w:t>).</w:t>
      </w:r>
      <w:r w:rsidR="006D3598" w:rsidRPr="00602556">
        <w:rPr>
          <w:rFonts w:eastAsia="TimesNewRomanPSMT"/>
          <w:sz w:val="28"/>
          <w:szCs w:val="28"/>
          <w:lang w:val="uk-UA"/>
        </w:rPr>
        <w:t xml:space="preserve"> </w:t>
      </w:r>
    </w:p>
    <w:p w:rsidR="005C5C77" w:rsidRPr="006905B3" w:rsidRDefault="005C5C77" w:rsidP="00DE634A">
      <w:pPr>
        <w:ind w:firstLine="709"/>
        <w:jc w:val="both"/>
        <w:rPr>
          <w:rFonts w:eastAsia="Calibri"/>
          <w:sz w:val="4"/>
          <w:szCs w:val="4"/>
          <w:lang w:val="uk-UA"/>
        </w:rPr>
      </w:pPr>
      <w:r w:rsidRPr="006905B3">
        <w:rPr>
          <w:sz w:val="4"/>
          <w:szCs w:val="4"/>
          <w:lang w:val="uk-UA"/>
        </w:rPr>
        <w:t xml:space="preserve">      </w:t>
      </w:r>
    </w:p>
    <w:p w:rsidR="005C5C77" w:rsidRPr="00395C5F" w:rsidRDefault="004440A0" w:rsidP="005C5C77">
      <w:pPr>
        <w:contextualSpacing/>
        <w:jc w:val="center"/>
        <w:rPr>
          <w:sz w:val="28"/>
          <w:szCs w:val="28"/>
          <w:lang w:val="uk-UA"/>
        </w:rPr>
      </w:pPr>
      <w:r w:rsidRPr="00395C5F">
        <w:rPr>
          <w:sz w:val="28"/>
          <w:szCs w:val="28"/>
          <w:lang w:val="uk-UA"/>
        </w:rPr>
        <w:t>Таблиця 1</w:t>
      </w:r>
      <w:r w:rsidR="005C5C77" w:rsidRPr="00FD1607">
        <w:rPr>
          <w:sz w:val="28"/>
          <w:szCs w:val="28"/>
          <w:lang w:val="uk-UA"/>
        </w:rPr>
        <w:t xml:space="preserve">. </w:t>
      </w:r>
      <w:r w:rsidR="00573ADC" w:rsidRPr="00395C5F">
        <w:rPr>
          <w:sz w:val="28"/>
          <w:szCs w:val="28"/>
          <w:lang w:val="uk-UA"/>
        </w:rPr>
        <w:t>Вихідні дані для регрес</w:t>
      </w:r>
      <w:r w:rsidR="005C5C77" w:rsidRPr="00395C5F">
        <w:rPr>
          <w:sz w:val="28"/>
          <w:szCs w:val="28"/>
          <w:lang w:val="uk-UA"/>
        </w:rPr>
        <w:t>ійного аналізу</w:t>
      </w:r>
      <w:r w:rsidR="00FD1607">
        <w:rPr>
          <w:sz w:val="28"/>
          <w:szCs w:val="28"/>
          <w:lang w:val="uk-UA"/>
        </w:rPr>
        <w:t xml:space="preserve"> </w:t>
      </w:r>
      <w:r w:rsidR="00FD1607" w:rsidRPr="00395C5F">
        <w:rPr>
          <w:sz w:val="28"/>
          <w:szCs w:val="28"/>
          <w:lang w:val="uk-UA"/>
        </w:rPr>
        <w:t>[</w:t>
      </w:r>
      <w:r w:rsidR="00FD1607" w:rsidRPr="00FD1607">
        <w:rPr>
          <w:sz w:val="28"/>
          <w:szCs w:val="28"/>
        </w:rPr>
        <w:fldChar w:fldCharType="begin"/>
      </w:r>
      <w:r w:rsidR="00FD1607" w:rsidRPr="00395C5F">
        <w:rPr>
          <w:sz w:val="28"/>
          <w:szCs w:val="28"/>
          <w:lang w:val="uk-UA"/>
        </w:rPr>
        <w:instrText xml:space="preserve"> </w:instrText>
      </w:r>
      <w:r w:rsidR="00FD1607" w:rsidRPr="00FD1607">
        <w:rPr>
          <w:sz w:val="28"/>
          <w:szCs w:val="28"/>
        </w:rPr>
        <w:instrText>REF</w:instrText>
      </w:r>
      <w:r w:rsidR="00FD1607" w:rsidRPr="00395C5F">
        <w:rPr>
          <w:sz w:val="28"/>
          <w:szCs w:val="28"/>
          <w:lang w:val="uk-UA"/>
        </w:rPr>
        <w:instrText xml:space="preserve"> _</w:instrText>
      </w:r>
      <w:r w:rsidR="00FD1607" w:rsidRPr="00FD1607">
        <w:rPr>
          <w:sz w:val="28"/>
          <w:szCs w:val="28"/>
        </w:rPr>
        <w:instrText>Ref</w:instrText>
      </w:r>
      <w:r w:rsidR="00FD1607" w:rsidRPr="00395C5F">
        <w:rPr>
          <w:sz w:val="28"/>
          <w:szCs w:val="28"/>
          <w:lang w:val="uk-UA"/>
        </w:rPr>
        <w:instrText>163569715 \</w:instrText>
      </w:r>
      <w:r w:rsidR="00FD1607" w:rsidRPr="00FD1607">
        <w:rPr>
          <w:sz w:val="28"/>
          <w:szCs w:val="28"/>
        </w:rPr>
        <w:instrText>r</w:instrText>
      </w:r>
      <w:r w:rsidR="00FD1607" w:rsidRPr="00395C5F">
        <w:rPr>
          <w:sz w:val="28"/>
          <w:szCs w:val="28"/>
          <w:lang w:val="uk-UA"/>
        </w:rPr>
        <w:instrText xml:space="preserve"> \</w:instrText>
      </w:r>
      <w:r w:rsidR="00FD1607" w:rsidRPr="00FD1607">
        <w:rPr>
          <w:sz w:val="28"/>
          <w:szCs w:val="28"/>
        </w:rPr>
        <w:instrText>h</w:instrText>
      </w:r>
      <w:r w:rsidR="00FD1607" w:rsidRPr="00395C5F">
        <w:rPr>
          <w:sz w:val="28"/>
          <w:szCs w:val="28"/>
          <w:lang w:val="uk-UA"/>
        </w:rPr>
        <w:instrText xml:space="preserve">  \* </w:instrText>
      </w:r>
      <w:r w:rsidR="00FD1607">
        <w:rPr>
          <w:sz w:val="28"/>
          <w:szCs w:val="28"/>
        </w:rPr>
        <w:instrText>MERGEFORMAT</w:instrText>
      </w:r>
      <w:r w:rsidR="00FD1607" w:rsidRPr="00395C5F">
        <w:rPr>
          <w:sz w:val="28"/>
          <w:szCs w:val="28"/>
          <w:lang w:val="uk-UA"/>
        </w:rPr>
        <w:instrText xml:space="preserve"> </w:instrText>
      </w:r>
      <w:r w:rsidR="00FD1607" w:rsidRPr="00FD1607">
        <w:rPr>
          <w:sz w:val="28"/>
          <w:szCs w:val="28"/>
        </w:rPr>
      </w:r>
      <w:r w:rsidR="00FD1607" w:rsidRPr="00FD1607">
        <w:rPr>
          <w:sz w:val="28"/>
          <w:szCs w:val="28"/>
        </w:rPr>
        <w:fldChar w:fldCharType="separate"/>
      </w:r>
      <w:r w:rsidR="00FD1607" w:rsidRPr="00395C5F">
        <w:rPr>
          <w:sz w:val="28"/>
          <w:szCs w:val="28"/>
          <w:lang w:val="uk-UA"/>
        </w:rPr>
        <w:t>1</w:t>
      </w:r>
      <w:r w:rsidR="00FD1607" w:rsidRPr="00FD1607">
        <w:rPr>
          <w:sz w:val="28"/>
          <w:szCs w:val="28"/>
        </w:rPr>
        <w:fldChar w:fldCharType="end"/>
      </w:r>
      <w:r w:rsidR="00FD1607" w:rsidRPr="00395C5F">
        <w:rPr>
          <w:sz w:val="28"/>
          <w:szCs w:val="28"/>
          <w:lang w:val="uk-UA"/>
        </w:rPr>
        <w:t>], [</w:t>
      </w:r>
      <w:r w:rsidR="00FD1607" w:rsidRPr="00FD1607">
        <w:rPr>
          <w:sz w:val="28"/>
          <w:szCs w:val="28"/>
        </w:rPr>
        <w:fldChar w:fldCharType="begin"/>
      </w:r>
      <w:r w:rsidR="00FD1607" w:rsidRPr="00395C5F">
        <w:rPr>
          <w:sz w:val="28"/>
          <w:szCs w:val="28"/>
          <w:lang w:val="uk-UA"/>
        </w:rPr>
        <w:instrText xml:space="preserve"> </w:instrText>
      </w:r>
      <w:r w:rsidR="00FD1607" w:rsidRPr="00FD1607">
        <w:rPr>
          <w:sz w:val="28"/>
          <w:szCs w:val="28"/>
        </w:rPr>
        <w:instrText>REF</w:instrText>
      </w:r>
      <w:r w:rsidR="00FD1607" w:rsidRPr="00395C5F">
        <w:rPr>
          <w:sz w:val="28"/>
          <w:szCs w:val="28"/>
          <w:lang w:val="uk-UA"/>
        </w:rPr>
        <w:instrText xml:space="preserve"> _</w:instrText>
      </w:r>
      <w:r w:rsidR="00FD1607" w:rsidRPr="00FD1607">
        <w:rPr>
          <w:sz w:val="28"/>
          <w:szCs w:val="28"/>
        </w:rPr>
        <w:instrText>Ref</w:instrText>
      </w:r>
      <w:r w:rsidR="00FD1607" w:rsidRPr="00395C5F">
        <w:rPr>
          <w:sz w:val="28"/>
          <w:szCs w:val="28"/>
          <w:lang w:val="uk-UA"/>
        </w:rPr>
        <w:instrText>163657113 \</w:instrText>
      </w:r>
      <w:r w:rsidR="00FD1607" w:rsidRPr="00FD1607">
        <w:rPr>
          <w:sz w:val="28"/>
          <w:szCs w:val="28"/>
        </w:rPr>
        <w:instrText>r</w:instrText>
      </w:r>
      <w:r w:rsidR="00FD1607" w:rsidRPr="00395C5F">
        <w:rPr>
          <w:sz w:val="28"/>
          <w:szCs w:val="28"/>
          <w:lang w:val="uk-UA"/>
        </w:rPr>
        <w:instrText xml:space="preserve"> \</w:instrText>
      </w:r>
      <w:r w:rsidR="00FD1607" w:rsidRPr="00FD1607">
        <w:rPr>
          <w:sz w:val="28"/>
          <w:szCs w:val="28"/>
        </w:rPr>
        <w:instrText>h</w:instrText>
      </w:r>
      <w:r w:rsidR="00FD1607" w:rsidRPr="00395C5F">
        <w:rPr>
          <w:sz w:val="28"/>
          <w:szCs w:val="28"/>
          <w:lang w:val="uk-UA"/>
        </w:rPr>
        <w:instrText xml:space="preserve">  \* </w:instrText>
      </w:r>
      <w:r w:rsidR="00FD1607">
        <w:rPr>
          <w:sz w:val="28"/>
          <w:szCs w:val="28"/>
        </w:rPr>
        <w:instrText>MERGEFORMAT</w:instrText>
      </w:r>
      <w:r w:rsidR="00FD1607" w:rsidRPr="00395C5F">
        <w:rPr>
          <w:sz w:val="28"/>
          <w:szCs w:val="28"/>
          <w:lang w:val="uk-UA"/>
        </w:rPr>
        <w:instrText xml:space="preserve"> </w:instrText>
      </w:r>
      <w:r w:rsidR="00FD1607" w:rsidRPr="00FD1607">
        <w:rPr>
          <w:sz w:val="28"/>
          <w:szCs w:val="28"/>
        </w:rPr>
      </w:r>
      <w:r w:rsidR="00FD1607" w:rsidRPr="00FD1607">
        <w:rPr>
          <w:sz w:val="28"/>
          <w:szCs w:val="28"/>
        </w:rPr>
        <w:fldChar w:fldCharType="separate"/>
      </w:r>
      <w:r w:rsidR="00FD1607" w:rsidRPr="00395C5F">
        <w:rPr>
          <w:sz w:val="28"/>
          <w:szCs w:val="28"/>
          <w:lang w:val="uk-UA"/>
        </w:rPr>
        <w:t>3</w:t>
      </w:r>
      <w:r w:rsidR="00FD1607" w:rsidRPr="00FD1607">
        <w:rPr>
          <w:sz w:val="28"/>
          <w:szCs w:val="28"/>
        </w:rPr>
        <w:fldChar w:fldCharType="end"/>
      </w:r>
      <w:r w:rsidR="00FD1607" w:rsidRPr="00395C5F">
        <w:rPr>
          <w:sz w:val="28"/>
          <w:szCs w:val="28"/>
          <w:lang w:val="uk-UA"/>
        </w:rPr>
        <w:t>].</w:t>
      </w:r>
    </w:p>
    <w:p w:rsidR="00C63165" w:rsidRPr="00890D9D" w:rsidRDefault="00C63165" w:rsidP="005C5C77">
      <w:pPr>
        <w:contextualSpacing/>
        <w:jc w:val="center"/>
        <w:rPr>
          <w:sz w:val="8"/>
          <w:szCs w:val="8"/>
          <w:lang w:val="uk-UA"/>
        </w:rPr>
      </w:pPr>
    </w:p>
    <w:p w:rsidR="006B579B" w:rsidRPr="00395C5F" w:rsidRDefault="006B579B" w:rsidP="005C5C77">
      <w:pPr>
        <w:contextualSpacing/>
        <w:jc w:val="center"/>
        <w:rPr>
          <w:sz w:val="10"/>
          <w:szCs w:val="10"/>
          <w:lang w:val="uk-UA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043"/>
        <w:gridCol w:w="1784"/>
        <w:gridCol w:w="2118"/>
        <w:gridCol w:w="2219"/>
      </w:tblGrid>
      <w:tr w:rsidR="005C5C77" w:rsidRPr="005C5C77" w:rsidTr="006B579B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C5C77" w:rsidRPr="005C5C77" w:rsidRDefault="005C5C77" w:rsidP="005C5C77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C5C77">
              <w:rPr>
                <w:color w:val="000000"/>
              </w:rPr>
              <w:t>Рік</w:t>
            </w:r>
            <w:proofErr w:type="spellEnd"/>
          </w:p>
        </w:tc>
        <w:tc>
          <w:tcPr>
            <w:tcW w:w="2133" w:type="dxa"/>
            <w:shd w:val="clear" w:color="auto" w:fill="auto"/>
            <w:vAlign w:val="center"/>
          </w:tcPr>
          <w:p w:rsidR="005C5C77" w:rsidRPr="005C5C77" w:rsidRDefault="005C5C77" w:rsidP="005C5C77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C5C77">
              <w:rPr>
                <w:color w:val="000000"/>
              </w:rPr>
              <w:t>Обсяг</w:t>
            </w:r>
            <w:proofErr w:type="spellEnd"/>
            <w:r w:rsidRPr="005C5C77">
              <w:rPr>
                <w:color w:val="000000"/>
              </w:rPr>
              <w:t xml:space="preserve"> </w:t>
            </w:r>
            <w:proofErr w:type="spellStart"/>
            <w:r w:rsidRPr="005C5C77">
              <w:rPr>
                <w:color w:val="000000"/>
              </w:rPr>
              <w:t>державних</w:t>
            </w:r>
            <w:proofErr w:type="spellEnd"/>
            <w:r w:rsidRPr="005C5C77">
              <w:rPr>
                <w:color w:val="000000"/>
              </w:rPr>
              <w:t xml:space="preserve"> </w:t>
            </w:r>
            <w:proofErr w:type="spellStart"/>
            <w:r w:rsidRPr="005C5C77">
              <w:rPr>
                <w:color w:val="000000"/>
              </w:rPr>
              <w:t>витрат</w:t>
            </w:r>
            <w:proofErr w:type="spellEnd"/>
            <w:r w:rsidRPr="005C5C77">
              <w:rPr>
                <w:color w:val="000000"/>
              </w:rPr>
              <w:t xml:space="preserve"> на </w:t>
            </w:r>
            <w:proofErr w:type="spellStart"/>
            <w:r w:rsidRPr="005C5C77">
              <w:rPr>
                <w:color w:val="000000"/>
              </w:rPr>
              <w:t>освіту</w:t>
            </w:r>
            <w:proofErr w:type="spellEnd"/>
            <w:r w:rsidRPr="005C5C77">
              <w:rPr>
                <w:color w:val="000000"/>
              </w:rPr>
              <w:t>, млн грн. (</w:t>
            </w:r>
            <w:r w:rsidRPr="005C5C77">
              <w:rPr>
                <w:i/>
                <w:color w:val="000000"/>
              </w:rPr>
              <w:t>x</w:t>
            </w:r>
            <w:r w:rsidRPr="005C5C77">
              <w:rPr>
                <w:color w:val="00000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C5C77" w:rsidRPr="005C5C77" w:rsidRDefault="005C5C77" w:rsidP="006B579B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5C5C77">
              <w:rPr>
                <w:color w:val="000000"/>
              </w:rPr>
              <w:t>Обсяг</w:t>
            </w:r>
            <w:proofErr w:type="spellEnd"/>
            <w:r w:rsidRPr="005C5C77">
              <w:rPr>
                <w:color w:val="000000"/>
              </w:rPr>
              <w:t xml:space="preserve"> </w:t>
            </w:r>
            <w:proofErr w:type="spellStart"/>
            <w:r w:rsidRPr="005C5C77">
              <w:rPr>
                <w:color w:val="000000"/>
              </w:rPr>
              <w:t>наданих</w:t>
            </w:r>
            <w:proofErr w:type="spellEnd"/>
            <w:r w:rsidRPr="005C5C77">
              <w:rPr>
                <w:color w:val="000000"/>
              </w:rPr>
              <w:t xml:space="preserve"> IT-</w:t>
            </w:r>
            <w:proofErr w:type="spellStart"/>
            <w:r w:rsidRPr="005C5C77">
              <w:rPr>
                <w:color w:val="000000"/>
              </w:rPr>
              <w:t>послуг</w:t>
            </w:r>
            <w:proofErr w:type="spellEnd"/>
            <w:r w:rsidRPr="005C5C77">
              <w:rPr>
                <w:color w:val="000000"/>
              </w:rPr>
              <w:t>, млн грн.</w:t>
            </w:r>
            <w:r w:rsidR="006B579B" w:rsidRPr="006B579B">
              <w:rPr>
                <w:color w:val="000000"/>
              </w:rPr>
              <w:t xml:space="preserve"> </w:t>
            </w:r>
            <w:r w:rsidRPr="005C5C77">
              <w:rPr>
                <w:color w:val="000000"/>
              </w:rPr>
              <w:t>(</w:t>
            </w:r>
            <w:r w:rsidRPr="005C5C77">
              <w:rPr>
                <w:i/>
                <w:color w:val="000000"/>
              </w:rPr>
              <w:t>y</w:t>
            </w:r>
            <w:r w:rsidRPr="005C5C77">
              <w:rPr>
                <w:color w:val="000000"/>
              </w:rPr>
              <w:t>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C5C77" w:rsidRPr="005C5C77" w:rsidRDefault="005C5C77" w:rsidP="005C5C77">
            <w:pPr>
              <w:contextualSpacing/>
              <w:jc w:val="center"/>
              <w:rPr>
                <w:color w:val="000000"/>
              </w:rPr>
            </w:pPr>
            <w:r w:rsidRPr="005C5C77">
              <w:rPr>
                <w:i/>
                <w:color w:val="000000"/>
              </w:rPr>
              <w:t>x</w:t>
            </w:r>
            <w:r w:rsidRPr="005C5C77">
              <w:rPr>
                <w:color w:val="000000"/>
                <w:vertAlign w:val="superscript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C5C77" w:rsidRPr="005C5C77" w:rsidRDefault="005C5C77" w:rsidP="005C5C77">
            <w:pPr>
              <w:contextualSpacing/>
              <w:jc w:val="center"/>
              <w:rPr>
                <w:i/>
                <w:color w:val="000000"/>
              </w:rPr>
            </w:pPr>
            <w:proofErr w:type="spellStart"/>
            <w:r w:rsidRPr="005C5C77">
              <w:rPr>
                <w:i/>
                <w:color w:val="000000"/>
              </w:rPr>
              <w:t>xy</w:t>
            </w:r>
            <w:proofErr w:type="spellEnd"/>
          </w:p>
        </w:tc>
      </w:tr>
      <w:tr w:rsidR="00607B6B" w:rsidTr="006B579B">
        <w:trPr>
          <w:jc w:val="center"/>
        </w:trPr>
        <w:tc>
          <w:tcPr>
            <w:tcW w:w="98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bookmarkStart w:id="1" w:name="_Hlk155989213"/>
            <w:r>
              <w:rPr>
                <w:color w:val="000000"/>
              </w:rPr>
              <w:t>2015</w:t>
            </w:r>
          </w:p>
        </w:tc>
        <w:tc>
          <w:tcPr>
            <w:tcW w:w="2133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114193,5</w:t>
            </w:r>
          </w:p>
        </w:tc>
        <w:tc>
          <w:tcPr>
            <w:tcW w:w="183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21184,9</w:t>
            </w:r>
          </w:p>
        </w:tc>
        <w:tc>
          <w:tcPr>
            <w:tcW w:w="2124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13040155442,25</w:t>
            </w:r>
          </w:p>
        </w:tc>
        <w:tc>
          <w:tcPr>
            <w:tcW w:w="2222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2419177878,15</w:t>
            </w:r>
          </w:p>
        </w:tc>
      </w:tr>
      <w:tr w:rsidR="00607B6B" w:rsidTr="006B579B">
        <w:trPr>
          <w:jc w:val="center"/>
        </w:trPr>
        <w:tc>
          <w:tcPr>
            <w:tcW w:w="98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133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129437,7</w:t>
            </w:r>
          </w:p>
        </w:tc>
        <w:tc>
          <w:tcPr>
            <w:tcW w:w="183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49800</w:t>
            </w:r>
          </w:p>
        </w:tc>
        <w:tc>
          <w:tcPr>
            <w:tcW w:w="2124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16754118181,29</w:t>
            </w:r>
          </w:p>
        </w:tc>
        <w:tc>
          <w:tcPr>
            <w:tcW w:w="2222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6445997460</w:t>
            </w:r>
          </w:p>
        </w:tc>
      </w:tr>
      <w:tr w:rsidR="00607B6B" w:rsidTr="006B579B">
        <w:trPr>
          <w:jc w:val="center"/>
        </w:trPr>
        <w:tc>
          <w:tcPr>
            <w:tcW w:w="98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133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177915,8</w:t>
            </w:r>
          </w:p>
        </w:tc>
        <w:tc>
          <w:tcPr>
            <w:tcW w:w="183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95760</w:t>
            </w:r>
          </w:p>
        </w:tc>
        <w:tc>
          <w:tcPr>
            <w:tcW w:w="2124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31654031889,64</w:t>
            </w:r>
          </w:p>
        </w:tc>
        <w:tc>
          <w:tcPr>
            <w:tcW w:w="2222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17037217008</w:t>
            </w:r>
          </w:p>
        </w:tc>
      </w:tr>
      <w:tr w:rsidR="00607B6B" w:rsidTr="006B579B">
        <w:trPr>
          <w:jc w:val="center"/>
        </w:trPr>
        <w:tc>
          <w:tcPr>
            <w:tcW w:w="98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133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210032,3</w:t>
            </w:r>
          </w:p>
        </w:tc>
        <w:tc>
          <w:tcPr>
            <w:tcW w:w="183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108800</w:t>
            </w:r>
          </w:p>
        </w:tc>
        <w:tc>
          <w:tcPr>
            <w:tcW w:w="2124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44113567043,29</w:t>
            </w:r>
          </w:p>
        </w:tc>
        <w:tc>
          <w:tcPr>
            <w:tcW w:w="2222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22851514240</w:t>
            </w:r>
          </w:p>
        </w:tc>
      </w:tr>
      <w:tr w:rsidR="00607B6B" w:rsidTr="006B579B">
        <w:trPr>
          <w:jc w:val="center"/>
        </w:trPr>
        <w:tc>
          <w:tcPr>
            <w:tcW w:w="98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133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228779,8</w:t>
            </w:r>
          </w:p>
        </w:tc>
        <w:tc>
          <w:tcPr>
            <w:tcW w:w="1838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107794,5</w:t>
            </w:r>
          </w:p>
        </w:tc>
        <w:tc>
          <w:tcPr>
            <w:tcW w:w="2124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52340196888,04</w:t>
            </w:r>
          </w:p>
        </w:tc>
        <w:tc>
          <w:tcPr>
            <w:tcW w:w="2222" w:type="dxa"/>
            <w:shd w:val="clear" w:color="auto" w:fill="auto"/>
          </w:tcPr>
          <w:p w:rsidR="00607B6B" w:rsidRDefault="00607B6B" w:rsidP="003C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24661204151,1</w:t>
            </w:r>
          </w:p>
        </w:tc>
      </w:tr>
      <w:tr w:rsidR="005C5C77" w:rsidRPr="005C5C77" w:rsidTr="006B579B">
        <w:trPr>
          <w:jc w:val="center"/>
        </w:trPr>
        <w:tc>
          <w:tcPr>
            <w:tcW w:w="98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2020</w:t>
            </w:r>
          </w:p>
        </w:tc>
        <w:tc>
          <w:tcPr>
            <w:tcW w:w="2133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136400</w:t>
            </w:r>
          </w:p>
        </w:tc>
        <w:tc>
          <w:tcPr>
            <w:tcW w:w="183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141780</w:t>
            </w:r>
          </w:p>
        </w:tc>
        <w:tc>
          <w:tcPr>
            <w:tcW w:w="2124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180604960000</w:t>
            </w:r>
          </w:p>
        </w:tc>
        <w:tc>
          <w:tcPr>
            <w:tcW w:w="2222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78103594800</w:t>
            </w:r>
          </w:p>
        </w:tc>
      </w:tr>
      <w:tr w:rsidR="005C5C77" w:rsidRPr="005C5C77" w:rsidTr="006B579B">
        <w:trPr>
          <w:jc w:val="center"/>
        </w:trPr>
        <w:tc>
          <w:tcPr>
            <w:tcW w:w="98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2021</w:t>
            </w:r>
          </w:p>
        </w:tc>
        <w:tc>
          <w:tcPr>
            <w:tcW w:w="2133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168900</w:t>
            </w:r>
          </w:p>
        </w:tc>
        <w:tc>
          <w:tcPr>
            <w:tcW w:w="183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572607</w:t>
            </w:r>
          </w:p>
        </w:tc>
        <w:tc>
          <w:tcPr>
            <w:tcW w:w="2124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28527210000</w:t>
            </w:r>
          </w:p>
        </w:tc>
        <w:tc>
          <w:tcPr>
            <w:tcW w:w="2222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96713322300</w:t>
            </w:r>
          </w:p>
        </w:tc>
      </w:tr>
      <w:tr w:rsidR="005C5C77" w:rsidRPr="005C5C77" w:rsidTr="006B579B">
        <w:trPr>
          <w:jc w:val="center"/>
        </w:trPr>
        <w:tc>
          <w:tcPr>
            <w:tcW w:w="98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2022</w:t>
            </w:r>
          </w:p>
        </w:tc>
        <w:tc>
          <w:tcPr>
            <w:tcW w:w="2133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185600</w:t>
            </w:r>
          </w:p>
        </w:tc>
        <w:tc>
          <w:tcPr>
            <w:tcW w:w="183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2628000</w:t>
            </w:r>
          </w:p>
        </w:tc>
        <w:tc>
          <w:tcPr>
            <w:tcW w:w="2124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34447360000</w:t>
            </w:r>
          </w:p>
        </w:tc>
        <w:tc>
          <w:tcPr>
            <w:tcW w:w="2222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487756800000</w:t>
            </w:r>
          </w:p>
        </w:tc>
      </w:tr>
      <w:tr w:rsidR="005C5C77" w:rsidRPr="005C5C77" w:rsidTr="006B579B">
        <w:trPr>
          <w:jc w:val="center"/>
        </w:trPr>
        <w:tc>
          <w:tcPr>
            <w:tcW w:w="98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2023</w:t>
            </w:r>
          </w:p>
        </w:tc>
        <w:tc>
          <w:tcPr>
            <w:tcW w:w="2133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156000</w:t>
            </w:r>
          </w:p>
        </w:tc>
        <w:tc>
          <w:tcPr>
            <w:tcW w:w="183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253930</w:t>
            </w:r>
          </w:p>
        </w:tc>
        <w:tc>
          <w:tcPr>
            <w:tcW w:w="2124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24336000000</w:t>
            </w:r>
          </w:p>
        </w:tc>
        <w:tc>
          <w:tcPr>
            <w:tcW w:w="2222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39613080000</w:t>
            </w:r>
          </w:p>
        </w:tc>
      </w:tr>
      <w:tr w:rsidR="005C5C77" w:rsidRPr="005C5C77" w:rsidTr="006B579B">
        <w:trPr>
          <w:jc w:val="center"/>
        </w:trPr>
        <w:tc>
          <w:tcPr>
            <w:tcW w:w="98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proofErr w:type="spellStart"/>
            <w:r w:rsidRPr="005C5C77">
              <w:rPr>
                <w:color w:val="000000"/>
              </w:rPr>
              <w:t>Середнє</w:t>
            </w:r>
            <w:proofErr w:type="spellEnd"/>
            <w:r w:rsidRPr="005C5C77">
              <w:rPr>
                <w:color w:val="000000"/>
              </w:rPr>
              <w:t xml:space="preserve"> </w:t>
            </w:r>
            <w:proofErr w:type="spellStart"/>
            <w:r w:rsidRPr="005C5C77">
              <w:rPr>
                <w:color w:val="000000"/>
              </w:rPr>
              <w:t>значення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167473,2(3)</w:t>
            </w:r>
          </w:p>
        </w:tc>
        <w:tc>
          <w:tcPr>
            <w:tcW w:w="183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442184,0(4)</w:t>
            </w:r>
          </w:p>
        </w:tc>
        <w:tc>
          <w:tcPr>
            <w:tcW w:w="2124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47313066604,9844</w:t>
            </w:r>
          </w:p>
        </w:tc>
        <w:tc>
          <w:tcPr>
            <w:tcW w:w="2222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86177989759,69444</w:t>
            </w:r>
          </w:p>
        </w:tc>
      </w:tr>
      <w:bookmarkEnd w:id="1"/>
      <w:tr w:rsidR="005C5C77" w:rsidRPr="005C5C77" w:rsidTr="006B579B">
        <w:trPr>
          <w:jc w:val="center"/>
        </w:trPr>
        <w:tc>
          <w:tcPr>
            <w:tcW w:w="98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Сума</w:t>
            </w:r>
          </w:p>
        </w:tc>
        <w:tc>
          <w:tcPr>
            <w:tcW w:w="2133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1507259,1</w:t>
            </w:r>
          </w:p>
        </w:tc>
        <w:tc>
          <w:tcPr>
            <w:tcW w:w="1838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3979656,4</w:t>
            </w:r>
          </w:p>
        </w:tc>
        <w:tc>
          <w:tcPr>
            <w:tcW w:w="2124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425817599444,86</w:t>
            </w:r>
          </w:p>
        </w:tc>
        <w:tc>
          <w:tcPr>
            <w:tcW w:w="2222" w:type="dxa"/>
            <w:shd w:val="clear" w:color="auto" w:fill="auto"/>
          </w:tcPr>
          <w:p w:rsidR="005C5C77" w:rsidRPr="005C5C77" w:rsidRDefault="005C5C77" w:rsidP="005C5C77">
            <w:pPr>
              <w:jc w:val="center"/>
              <w:rPr>
                <w:color w:val="000000"/>
              </w:rPr>
            </w:pPr>
            <w:r w:rsidRPr="005C5C77">
              <w:rPr>
                <w:color w:val="000000"/>
              </w:rPr>
              <w:t>775601907837,25</w:t>
            </w:r>
          </w:p>
        </w:tc>
      </w:tr>
    </w:tbl>
    <w:p w:rsidR="006D3598" w:rsidRPr="00D147A1" w:rsidRDefault="006D3598" w:rsidP="007C49DC">
      <w:pPr>
        <w:ind w:firstLine="567"/>
        <w:jc w:val="both"/>
        <w:rPr>
          <w:rFonts w:eastAsia="Calibri"/>
          <w:sz w:val="10"/>
          <w:szCs w:val="10"/>
        </w:rPr>
      </w:pPr>
    </w:p>
    <w:p w:rsidR="00C63165" w:rsidRPr="00890D9D" w:rsidRDefault="00C63165" w:rsidP="007C49DC">
      <w:pPr>
        <w:ind w:firstLine="567"/>
        <w:jc w:val="both"/>
        <w:rPr>
          <w:rFonts w:eastAsia="Calibri"/>
          <w:sz w:val="8"/>
          <w:szCs w:val="8"/>
        </w:rPr>
      </w:pPr>
    </w:p>
    <w:p w:rsidR="005C5C77" w:rsidRPr="00FD1607" w:rsidRDefault="00FD1607" w:rsidP="007C49DC">
      <w:pPr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FD1607">
        <w:rPr>
          <w:rFonts w:eastAsia="Calibri"/>
          <w:sz w:val="28"/>
          <w:szCs w:val="28"/>
        </w:rPr>
        <w:t>Математична</w:t>
      </w:r>
      <w:proofErr w:type="spellEnd"/>
      <w:r w:rsidRPr="00FD1607">
        <w:rPr>
          <w:rFonts w:eastAsia="Calibri"/>
          <w:sz w:val="28"/>
          <w:szCs w:val="28"/>
        </w:rPr>
        <w:t xml:space="preserve"> модель </w:t>
      </w:r>
      <w:proofErr w:type="spellStart"/>
      <w:r w:rsidRPr="00FD1607">
        <w:rPr>
          <w:rFonts w:eastAsia="Calibri"/>
          <w:sz w:val="28"/>
          <w:szCs w:val="28"/>
        </w:rPr>
        <w:t>прямолінійної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proofErr w:type="spellStart"/>
      <w:r w:rsidRPr="00FD1607">
        <w:rPr>
          <w:rFonts w:eastAsia="Calibri"/>
          <w:sz w:val="28"/>
          <w:szCs w:val="28"/>
        </w:rPr>
        <w:t>залежності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proofErr w:type="spellStart"/>
      <w:r w:rsidRPr="00FD1607">
        <w:rPr>
          <w:rFonts w:eastAsia="Calibri"/>
          <w:sz w:val="28"/>
          <w:szCs w:val="28"/>
        </w:rPr>
        <w:t>між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r w:rsidRPr="00FD1607">
        <w:rPr>
          <w:rFonts w:eastAsia="Calibri"/>
          <w:sz w:val="28"/>
          <w:szCs w:val="28"/>
          <w:lang w:val="uk-UA"/>
        </w:rPr>
        <w:t>цими</w:t>
      </w:r>
      <w:r w:rsidRPr="00FD1607">
        <w:rPr>
          <w:rFonts w:eastAsia="Calibri"/>
          <w:sz w:val="28"/>
          <w:szCs w:val="28"/>
        </w:rPr>
        <w:t xml:space="preserve"> </w:t>
      </w:r>
      <w:proofErr w:type="spellStart"/>
      <w:r w:rsidRPr="00FD1607">
        <w:rPr>
          <w:rFonts w:eastAsia="Calibri"/>
          <w:sz w:val="28"/>
          <w:szCs w:val="28"/>
        </w:rPr>
        <w:t>показниками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proofErr w:type="spellStart"/>
      <w:r w:rsidRPr="00FD1607">
        <w:rPr>
          <w:rFonts w:eastAsia="Calibri"/>
          <w:sz w:val="28"/>
          <w:szCs w:val="28"/>
        </w:rPr>
        <w:t>має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proofErr w:type="spellStart"/>
      <w:r w:rsidRPr="00FD1607">
        <w:rPr>
          <w:rFonts w:eastAsia="Calibri"/>
          <w:sz w:val="28"/>
          <w:szCs w:val="28"/>
        </w:rPr>
        <w:t>вигляд</w:t>
      </w:r>
      <w:proofErr w:type="spellEnd"/>
      <w:r w:rsidRPr="00FD1607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FD1607">
        <w:rPr>
          <w:i/>
          <w:sz w:val="28"/>
          <w:szCs w:val="28"/>
        </w:rPr>
        <w:t xml:space="preserve">y </w:t>
      </w:r>
      <w:r w:rsidRPr="00FD1607">
        <w:rPr>
          <w:sz w:val="28"/>
          <w:szCs w:val="28"/>
        </w:rPr>
        <w:t xml:space="preserve">= </w:t>
      </w:r>
      <w:r w:rsidRPr="00FD1607">
        <w:rPr>
          <w:i/>
          <w:sz w:val="28"/>
          <w:szCs w:val="28"/>
        </w:rPr>
        <w:t xml:space="preserve">a </w:t>
      </w:r>
      <w:r w:rsidRPr="00FD1607">
        <w:rPr>
          <w:sz w:val="28"/>
          <w:szCs w:val="28"/>
        </w:rPr>
        <w:t xml:space="preserve">+ </w:t>
      </w:r>
      <w:proofErr w:type="spellStart"/>
      <w:r w:rsidRPr="00FD1607">
        <w:rPr>
          <w:i/>
          <w:sz w:val="28"/>
          <w:szCs w:val="28"/>
        </w:rPr>
        <w:t>bx</w:t>
      </w:r>
      <w:proofErr w:type="spellEnd"/>
      <w:r w:rsidRPr="00FD1607">
        <w:rPr>
          <w:rFonts w:eastAsia="TimesNewRomanPSMT"/>
          <w:sz w:val="28"/>
          <w:szCs w:val="28"/>
        </w:rPr>
        <w:t xml:space="preserve"> </w:t>
      </w:r>
      <w:r w:rsidR="00D147A1">
        <w:rPr>
          <w:rFonts w:eastAsia="TimesNewRomanPSMT"/>
          <w:sz w:val="28"/>
          <w:szCs w:val="28"/>
          <w:lang w:val="uk-UA"/>
        </w:rPr>
        <w:t>(</w:t>
      </w:r>
      <w:r w:rsidRPr="00FD1607">
        <w:rPr>
          <w:rFonts w:eastAsia="TimesNewRomanPSMT"/>
          <w:i/>
          <w:sz w:val="28"/>
          <w:szCs w:val="28"/>
        </w:rPr>
        <w:t>a</w:t>
      </w:r>
      <w:r w:rsidRPr="00FD1607">
        <w:rPr>
          <w:rFonts w:eastAsia="TimesNewRomanPSMT"/>
          <w:sz w:val="28"/>
          <w:szCs w:val="28"/>
        </w:rPr>
        <w:t xml:space="preserve"> – </w:t>
      </w:r>
      <w:proofErr w:type="spellStart"/>
      <w:r w:rsidRPr="00FD1607">
        <w:rPr>
          <w:rFonts w:eastAsia="Calibri"/>
          <w:sz w:val="28"/>
          <w:szCs w:val="28"/>
        </w:rPr>
        <w:t>вільний</w:t>
      </w:r>
      <w:proofErr w:type="spellEnd"/>
      <w:r w:rsidRPr="00FD1607">
        <w:rPr>
          <w:rFonts w:eastAsia="Calibri"/>
          <w:sz w:val="28"/>
          <w:szCs w:val="28"/>
        </w:rPr>
        <w:t xml:space="preserve"> член </w:t>
      </w:r>
      <w:proofErr w:type="spellStart"/>
      <w:r w:rsidRPr="00FD1607">
        <w:rPr>
          <w:rFonts w:eastAsia="Calibri"/>
          <w:sz w:val="28"/>
          <w:szCs w:val="28"/>
        </w:rPr>
        <w:t>рівняння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proofErr w:type="spellStart"/>
      <w:r w:rsidRPr="00FD1607">
        <w:rPr>
          <w:rFonts w:eastAsia="Calibri"/>
          <w:sz w:val="28"/>
          <w:szCs w:val="28"/>
        </w:rPr>
        <w:t>регресії</w:t>
      </w:r>
      <w:proofErr w:type="spellEnd"/>
      <w:r w:rsidRPr="00FD1607">
        <w:rPr>
          <w:rFonts w:eastAsia="TimesNewRomanPSMT"/>
          <w:sz w:val="28"/>
          <w:szCs w:val="28"/>
        </w:rPr>
        <w:t xml:space="preserve">, </w:t>
      </w:r>
      <w:r w:rsidRPr="00FD1607">
        <w:rPr>
          <w:rFonts w:eastAsia="TimesNewRomanPSMT"/>
          <w:i/>
          <w:sz w:val="28"/>
          <w:szCs w:val="28"/>
        </w:rPr>
        <w:t>b</w:t>
      </w:r>
      <w:r w:rsidRPr="00FD1607">
        <w:rPr>
          <w:rFonts w:eastAsia="TimesNewRomanPSMT"/>
          <w:sz w:val="28"/>
          <w:szCs w:val="28"/>
        </w:rPr>
        <w:t xml:space="preserve"> – </w:t>
      </w:r>
      <w:proofErr w:type="spellStart"/>
      <w:r w:rsidRPr="00FD1607">
        <w:rPr>
          <w:rFonts w:eastAsia="TimesNewRomanPSMT"/>
          <w:sz w:val="28"/>
          <w:szCs w:val="28"/>
        </w:rPr>
        <w:t>коефіцієнт</w:t>
      </w:r>
      <w:proofErr w:type="spellEnd"/>
      <w:r w:rsidRPr="00FD1607">
        <w:rPr>
          <w:rFonts w:eastAsia="TimesNewRomanPSMT"/>
          <w:sz w:val="28"/>
          <w:szCs w:val="28"/>
        </w:rPr>
        <w:t xml:space="preserve"> </w:t>
      </w:r>
      <w:proofErr w:type="spellStart"/>
      <w:r w:rsidRPr="00FD1607">
        <w:rPr>
          <w:rFonts w:eastAsia="Calibri"/>
          <w:sz w:val="28"/>
          <w:szCs w:val="28"/>
        </w:rPr>
        <w:t>рівняння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proofErr w:type="spellStart"/>
      <w:r w:rsidRPr="00FD1607">
        <w:rPr>
          <w:rFonts w:eastAsia="TimesNewRomanPSMT"/>
          <w:sz w:val="28"/>
          <w:szCs w:val="28"/>
        </w:rPr>
        <w:t>регресії</w:t>
      </w:r>
      <w:proofErr w:type="spellEnd"/>
      <w:r w:rsidR="00D147A1">
        <w:rPr>
          <w:rFonts w:eastAsia="TimesNewRomanPSMT"/>
          <w:sz w:val="28"/>
          <w:szCs w:val="28"/>
          <w:lang w:val="uk-UA"/>
        </w:rPr>
        <w:t>)</w:t>
      </w:r>
      <w:r w:rsidR="00D147A1">
        <w:rPr>
          <w:rFonts w:eastAsia="TimesNewRomanPSMT"/>
          <w:sz w:val="28"/>
          <w:szCs w:val="28"/>
        </w:rPr>
        <w:t>,</w:t>
      </w:r>
      <w:r w:rsidR="00D147A1">
        <w:rPr>
          <w:rFonts w:eastAsia="TimesNewRomanPSMT"/>
          <w:sz w:val="28"/>
          <w:szCs w:val="28"/>
          <w:lang w:val="uk-UA"/>
        </w:rPr>
        <w:t xml:space="preserve"> </w:t>
      </w:r>
      <w:r w:rsidR="00D147A1">
        <w:rPr>
          <w:rFonts w:eastAsia="TimesNewRomanPSMT"/>
          <w:sz w:val="28"/>
          <w:szCs w:val="28"/>
        </w:rPr>
        <w:t>а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</w:rPr>
        <w:t>р</w:t>
      </w:r>
      <w:r w:rsidRPr="00FD1607">
        <w:rPr>
          <w:rFonts w:eastAsia="Calibri"/>
          <w:sz w:val="28"/>
          <w:szCs w:val="28"/>
        </w:rPr>
        <w:t>івняння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proofErr w:type="spellStart"/>
      <w:r w:rsidRPr="00FD1607">
        <w:rPr>
          <w:rFonts w:eastAsia="Calibri"/>
          <w:sz w:val="28"/>
          <w:szCs w:val="28"/>
        </w:rPr>
        <w:t>регресійної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proofErr w:type="spellStart"/>
      <w:r w:rsidRPr="00FD1607">
        <w:rPr>
          <w:rFonts w:eastAsia="Calibri"/>
          <w:sz w:val="28"/>
          <w:szCs w:val="28"/>
        </w:rPr>
        <w:t>залежності</w:t>
      </w:r>
      <w:proofErr w:type="spellEnd"/>
      <w:r w:rsidRPr="00FD1607">
        <w:rPr>
          <w:rFonts w:eastAsia="Calibri"/>
          <w:sz w:val="28"/>
          <w:szCs w:val="28"/>
        </w:rPr>
        <w:t>:</w:t>
      </w:r>
      <w:r w:rsidRPr="00FD1607">
        <w:rPr>
          <w:rFonts w:eastAsia="Calibri"/>
          <w:sz w:val="28"/>
          <w:szCs w:val="28"/>
          <w:lang w:val="uk-UA"/>
        </w:rPr>
        <w:t xml:space="preserve"> </w:t>
      </w:r>
      <w:r w:rsidRPr="00FD1607">
        <w:rPr>
          <w:i/>
          <w:sz w:val="28"/>
          <w:szCs w:val="28"/>
        </w:rPr>
        <w:t xml:space="preserve">y </w:t>
      </w:r>
      <w:r w:rsidRPr="00FD1607">
        <w:rPr>
          <w:sz w:val="28"/>
          <w:szCs w:val="28"/>
        </w:rPr>
        <w:t xml:space="preserve">= </w:t>
      </w:r>
      <w:r w:rsidRPr="00FD1607">
        <w:rPr>
          <w:rFonts w:eastAsia="Calibri"/>
          <w:sz w:val="28"/>
          <w:szCs w:val="28"/>
        </w:rPr>
        <w:t>223,01 + 0,0573</w:t>
      </w:r>
      <w:r w:rsidRPr="00FD1607">
        <w:rPr>
          <w:i/>
          <w:sz w:val="28"/>
          <w:szCs w:val="28"/>
        </w:rPr>
        <w:t>x.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="005C5C77" w:rsidRPr="00FD1607">
        <w:rPr>
          <w:rFonts w:eastAsia="Calibri"/>
          <w:sz w:val="28"/>
          <w:szCs w:val="28"/>
        </w:rPr>
        <w:t>Паралельне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</w:t>
      </w:r>
      <w:proofErr w:type="spellStart"/>
      <w:r w:rsidR="005C5C77" w:rsidRPr="00FD1607">
        <w:rPr>
          <w:rFonts w:eastAsia="Calibri"/>
          <w:sz w:val="28"/>
          <w:szCs w:val="28"/>
        </w:rPr>
        <w:t>зіставлення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</w:t>
      </w:r>
      <w:proofErr w:type="spellStart"/>
      <w:r w:rsidR="005C5C77" w:rsidRPr="00FD1607">
        <w:rPr>
          <w:rFonts w:eastAsia="Calibri"/>
          <w:sz w:val="28"/>
          <w:szCs w:val="28"/>
        </w:rPr>
        <w:t>рядів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</w:t>
      </w:r>
      <w:proofErr w:type="spellStart"/>
      <w:r w:rsidR="005C5C77" w:rsidRPr="00FD1607">
        <w:rPr>
          <w:rFonts w:eastAsia="Calibri"/>
          <w:sz w:val="28"/>
          <w:szCs w:val="28"/>
        </w:rPr>
        <w:t>значень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</w:t>
      </w:r>
      <w:proofErr w:type="spellStart"/>
      <w:r w:rsidR="005C5C77" w:rsidRPr="00FD1607">
        <w:rPr>
          <w:rFonts w:eastAsia="Calibri"/>
          <w:sz w:val="28"/>
          <w:szCs w:val="28"/>
        </w:rPr>
        <w:t>обсягу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</w:t>
      </w:r>
      <w:proofErr w:type="spellStart"/>
      <w:r w:rsidR="005C5C77" w:rsidRPr="00FD1607">
        <w:rPr>
          <w:rFonts w:eastAsia="Calibri"/>
          <w:sz w:val="28"/>
          <w:szCs w:val="28"/>
        </w:rPr>
        <w:t>державних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</w:t>
      </w:r>
      <w:proofErr w:type="spellStart"/>
      <w:r w:rsidR="005C5C77" w:rsidRPr="00FD1607">
        <w:rPr>
          <w:rFonts w:eastAsia="Calibri"/>
          <w:sz w:val="28"/>
          <w:szCs w:val="28"/>
        </w:rPr>
        <w:t>витрат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на </w:t>
      </w:r>
      <w:proofErr w:type="spellStart"/>
      <w:r w:rsidR="005C5C77" w:rsidRPr="00FD1607">
        <w:rPr>
          <w:rFonts w:eastAsia="Calibri"/>
          <w:sz w:val="28"/>
          <w:szCs w:val="28"/>
        </w:rPr>
        <w:t>освіту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та </w:t>
      </w:r>
      <w:proofErr w:type="spellStart"/>
      <w:r w:rsidR="00DE634A" w:rsidRPr="00FD1607">
        <w:rPr>
          <w:rFonts w:eastAsia="Calibri"/>
          <w:sz w:val="28"/>
          <w:szCs w:val="28"/>
        </w:rPr>
        <w:t>обсягу</w:t>
      </w:r>
      <w:proofErr w:type="spellEnd"/>
      <w:r w:rsidR="00DE634A" w:rsidRPr="00FD1607">
        <w:rPr>
          <w:rFonts w:eastAsia="Calibri"/>
          <w:sz w:val="28"/>
          <w:szCs w:val="28"/>
        </w:rPr>
        <w:t xml:space="preserve"> </w:t>
      </w:r>
      <w:proofErr w:type="spellStart"/>
      <w:r w:rsidR="00DE634A" w:rsidRPr="00FD1607">
        <w:rPr>
          <w:rFonts w:eastAsia="Calibri"/>
          <w:sz w:val="28"/>
          <w:szCs w:val="28"/>
        </w:rPr>
        <w:t>наданих</w:t>
      </w:r>
      <w:proofErr w:type="spellEnd"/>
      <w:r w:rsidR="00DE634A" w:rsidRPr="00FD1607">
        <w:rPr>
          <w:rFonts w:eastAsia="Calibri"/>
          <w:sz w:val="28"/>
          <w:szCs w:val="28"/>
        </w:rPr>
        <w:t xml:space="preserve"> IT</w:t>
      </w:r>
      <w:r w:rsidR="00B751C6" w:rsidRPr="00FD1607">
        <w:rPr>
          <w:rFonts w:eastAsia="Calibri"/>
          <w:sz w:val="28"/>
          <w:szCs w:val="28"/>
        </w:rPr>
        <w:t>-</w:t>
      </w:r>
      <w:proofErr w:type="spellStart"/>
      <w:r w:rsidR="00B751C6" w:rsidRPr="00FD1607">
        <w:rPr>
          <w:rFonts w:eastAsia="Calibri"/>
          <w:sz w:val="28"/>
          <w:szCs w:val="28"/>
        </w:rPr>
        <w:t>послуг</w:t>
      </w:r>
      <w:proofErr w:type="spellEnd"/>
      <w:r w:rsidR="00B751C6" w:rsidRPr="00FD1607">
        <w:rPr>
          <w:rFonts w:eastAsia="Calibri"/>
          <w:sz w:val="28"/>
          <w:szCs w:val="28"/>
        </w:rPr>
        <w:t xml:space="preserve"> за 2015</w:t>
      </w:r>
      <w:r w:rsidR="005C5C77" w:rsidRPr="00FD1607">
        <w:rPr>
          <w:rFonts w:eastAsia="Calibri"/>
          <w:sz w:val="28"/>
          <w:szCs w:val="28"/>
        </w:rPr>
        <w:t xml:space="preserve">-2023 </w:t>
      </w:r>
      <w:proofErr w:type="spellStart"/>
      <w:r w:rsidR="005C5C77" w:rsidRPr="00FD1607">
        <w:rPr>
          <w:rFonts w:eastAsia="Calibri"/>
          <w:sz w:val="28"/>
          <w:szCs w:val="28"/>
        </w:rPr>
        <w:t>рр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. </w:t>
      </w:r>
      <w:proofErr w:type="spellStart"/>
      <w:r w:rsidR="005C5C77" w:rsidRPr="00FD1607">
        <w:rPr>
          <w:rFonts w:eastAsia="Calibri"/>
          <w:sz w:val="28"/>
          <w:szCs w:val="28"/>
        </w:rPr>
        <w:t>зазначено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на </w:t>
      </w:r>
      <w:proofErr w:type="spellStart"/>
      <w:r w:rsidR="005C5C77" w:rsidRPr="00FD1607">
        <w:rPr>
          <w:rFonts w:eastAsia="Calibri"/>
          <w:sz w:val="28"/>
          <w:szCs w:val="28"/>
        </w:rPr>
        <w:t>графіку</w:t>
      </w:r>
      <w:proofErr w:type="spellEnd"/>
      <w:r w:rsidR="005C5C77" w:rsidRPr="00FD1607">
        <w:rPr>
          <w:rFonts w:eastAsia="Calibri"/>
          <w:sz w:val="28"/>
          <w:szCs w:val="28"/>
        </w:rPr>
        <w:t xml:space="preserve"> </w:t>
      </w:r>
      <w:r w:rsidR="00DE634A" w:rsidRPr="00FD1607">
        <w:rPr>
          <w:rFonts w:eastAsia="Calibri"/>
          <w:sz w:val="28"/>
          <w:szCs w:val="28"/>
        </w:rPr>
        <w:t>«</w:t>
      </w:r>
      <w:proofErr w:type="spellStart"/>
      <w:r w:rsidR="006B579B" w:rsidRPr="00FD1607">
        <w:rPr>
          <w:rFonts w:eastAsia="Calibri"/>
          <w:sz w:val="28"/>
          <w:szCs w:val="28"/>
        </w:rPr>
        <w:t>кореляційного</w:t>
      </w:r>
      <w:proofErr w:type="spellEnd"/>
      <w:r w:rsidR="006B579B" w:rsidRPr="00FD1607">
        <w:rPr>
          <w:rFonts w:eastAsia="Calibri"/>
          <w:sz w:val="28"/>
          <w:szCs w:val="28"/>
        </w:rPr>
        <w:t xml:space="preserve"> поля» (рис. 1</w:t>
      </w:r>
      <w:r w:rsidR="005C5C77" w:rsidRPr="00FD1607">
        <w:rPr>
          <w:rFonts w:eastAsia="Calibri"/>
          <w:sz w:val="28"/>
          <w:szCs w:val="28"/>
        </w:rPr>
        <w:t xml:space="preserve">). </w:t>
      </w:r>
    </w:p>
    <w:p w:rsidR="005C5C77" w:rsidRPr="00FD1607" w:rsidRDefault="005C5C77" w:rsidP="00FD16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D1607">
        <w:rPr>
          <w:i/>
          <w:sz w:val="28"/>
          <w:szCs w:val="28"/>
        </w:rPr>
        <w:tab/>
      </w:r>
      <w:r w:rsidRPr="00FD1607">
        <w:rPr>
          <w:i/>
          <w:sz w:val="28"/>
          <w:szCs w:val="28"/>
        </w:rPr>
        <w:tab/>
      </w:r>
      <w:r w:rsidRPr="00FD1607">
        <w:rPr>
          <w:i/>
          <w:sz w:val="28"/>
          <w:szCs w:val="28"/>
        </w:rPr>
        <w:tab/>
      </w:r>
      <w:r w:rsidR="008F4516" w:rsidRPr="008F4516">
        <w:rPr>
          <w:rFonts w:eastAsia="Calibri"/>
        </w:rPr>
        <w:t xml:space="preserve"> </w:t>
      </w:r>
    </w:p>
    <w:p w:rsidR="00CB3C4C" w:rsidRPr="00C73415" w:rsidRDefault="00E9018D" w:rsidP="00DC485A">
      <w:pPr>
        <w:spacing w:after="160"/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1DB73A9F" wp14:editId="1950B809">
            <wp:extent cx="4114800" cy="26955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5C77" w:rsidRPr="00FD1607" w:rsidRDefault="005C5C77" w:rsidP="00C76A71">
      <w:pPr>
        <w:spacing w:after="160"/>
        <w:jc w:val="center"/>
        <w:rPr>
          <w:rFonts w:eastAsia="Calibri"/>
          <w:sz w:val="28"/>
          <w:szCs w:val="28"/>
          <w:lang w:val="uk-UA"/>
        </w:rPr>
      </w:pPr>
      <w:proofErr w:type="spellStart"/>
      <w:r w:rsidRPr="00FD1607">
        <w:rPr>
          <w:rFonts w:eastAsia="Calibri"/>
          <w:sz w:val="28"/>
          <w:szCs w:val="28"/>
        </w:rPr>
        <w:t>Рисуно</w:t>
      </w:r>
      <w:proofErr w:type="spellEnd"/>
      <w:r w:rsidRPr="00FD1607">
        <w:rPr>
          <w:rFonts w:eastAsia="Calibri"/>
          <w:sz w:val="28"/>
          <w:szCs w:val="28"/>
          <w:lang w:val="uk-UA"/>
        </w:rPr>
        <w:t>к</w:t>
      </w:r>
      <w:r w:rsidR="00DE634A" w:rsidRPr="00FD1607">
        <w:rPr>
          <w:rFonts w:eastAsia="Calibri"/>
          <w:sz w:val="28"/>
          <w:szCs w:val="28"/>
        </w:rPr>
        <w:t xml:space="preserve"> </w:t>
      </w:r>
      <w:r w:rsidR="00DE634A" w:rsidRPr="00FD1607">
        <w:rPr>
          <w:rFonts w:eastAsia="Calibri"/>
          <w:sz w:val="28"/>
          <w:szCs w:val="28"/>
          <w:lang w:val="uk-UA"/>
        </w:rPr>
        <w:t>1</w:t>
      </w:r>
      <w:r w:rsidRPr="00FD1607">
        <w:rPr>
          <w:rFonts w:eastAsia="Calibri"/>
          <w:sz w:val="28"/>
          <w:szCs w:val="28"/>
        </w:rPr>
        <w:t xml:space="preserve"> –</w:t>
      </w:r>
      <w:r w:rsidR="00C76A71" w:rsidRPr="00FD1607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DE634A" w:rsidRPr="00FD1607">
        <w:rPr>
          <w:rFonts w:eastAsia="Calibri"/>
          <w:sz w:val="28"/>
          <w:szCs w:val="28"/>
        </w:rPr>
        <w:t>Г</w:t>
      </w:r>
      <w:r w:rsidRPr="00FD1607">
        <w:rPr>
          <w:rFonts w:eastAsia="Calibri"/>
          <w:sz w:val="28"/>
          <w:szCs w:val="28"/>
        </w:rPr>
        <w:t>рафік</w:t>
      </w:r>
      <w:proofErr w:type="spellEnd"/>
      <w:r w:rsidRPr="00FD1607">
        <w:rPr>
          <w:rFonts w:eastAsia="Calibri"/>
          <w:sz w:val="28"/>
          <w:szCs w:val="28"/>
        </w:rPr>
        <w:t xml:space="preserve"> </w:t>
      </w:r>
      <w:r w:rsidR="00C76A71" w:rsidRPr="00FD1607">
        <w:rPr>
          <w:rFonts w:eastAsia="Calibri"/>
          <w:sz w:val="28"/>
          <w:szCs w:val="28"/>
          <w:lang w:val="uk-UA"/>
        </w:rPr>
        <w:t xml:space="preserve">залежності </w:t>
      </w:r>
      <w:proofErr w:type="spellStart"/>
      <w:r w:rsidR="00C76A71" w:rsidRPr="00FD1607">
        <w:rPr>
          <w:rFonts w:eastAsia="Calibri"/>
          <w:sz w:val="28"/>
          <w:szCs w:val="28"/>
        </w:rPr>
        <w:t>обсягу</w:t>
      </w:r>
      <w:proofErr w:type="spellEnd"/>
      <w:r w:rsidR="00C76A71" w:rsidRPr="00FD1607">
        <w:rPr>
          <w:rFonts w:eastAsia="Calibri"/>
          <w:sz w:val="28"/>
          <w:szCs w:val="28"/>
        </w:rPr>
        <w:t xml:space="preserve"> IT-</w:t>
      </w:r>
      <w:proofErr w:type="spellStart"/>
      <w:r w:rsidR="00C76A71" w:rsidRPr="00FD1607">
        <w:rPr>
          <w:rFonts w:eastAsia="Calibri"/>
          <w:sz w:val="28"/>
          <w:szCs w:val="28"/>
        </w:rPr>
        <w:t>послуг</w:t>
      </w:r>
      <w:proofErr w:type="spellEnd"/>
      <w:r w:rsidR="00C76A71" w:rsidRPr="00FD1607">
        <w:rPr>
          <w:rFonts w:eastAsia="Calibri"/>
          <w:sz w:val="28"/>
          <w:szCs w:val="28"/>
        </w:rPr>
        <w:t xml:space="preserve"> </w:t>
      </w:r>
      <w:r w:rsidR="00C76A71" w:rsidRPr="00FD1607">
        <w:rPr>
          <w:rFonts w:eastAsia="Calibri"/>
          <w:sz w:val="28"/>
          <w:szCs w:val="28"/>
          <w:lang w:val="uk-UA"/>
        </w:rPr>
        <w:t xml:space="preserve">від </w:t>
      </w:r>
      <w:proofErr w:type="spellStart"/>
      <w:r w:rsidRPr="00FD1607">
        <w:rPr>
          <w:rFonts w:eastAsia="Calibri"/>
          <w:sz w:val="28"/>
          <w:szCs w:val="28"/>
        </w:rPr>
        <w:t>об</w:t>
      </w:r>
      <w:r w:rsidR="00C76A71" w:rsidRPr="00FD1607">
        <w:rPr>
          <w:rFonts w:eastAsia="Calibri"/>
          <w:sz w:val="28"/>
          <w:szCs w:val="28"/>
        </w:rPr>
        <w:t>сягу</w:t>
      </w:r>
      <w:proofErr w:type="spellEnd"/>
      <w:r w:rsidR="00C76A71" w:rsidRPr="00FD1607">
        <w:rPr>
          <w:rFonts w:eastAsia="Calibri"/>
          <w:sz w:val="28"/>
          <w:szCs w:val="28"/>
        </w:rPr>
        <w:t xml:space="preserve"> </w:t>
      </w:r>
      <w:proofErr w:type="spellStart"/>
      <w:r w:rsidR="00C76A71" w:rsidRPr="00FD1607">
        <w:rPr>
          <w:rFonts w:eastAsia="Calibri"/>
          <w:sz w:val="28"/>
          <w:szCs w:val="28"/>
        </w:rPr>
        <w:t>витрат</w:t>
      </w:r>
      <w:proofErr w:type="spellEnd"/>
      <w:r w:rsidR="00C76A71" w:rsidRPr="00FD1607">
        <w:rPr>
          <w:rFonts w:eastAsia="Calibri"/>
          <w:sz w:val="28"/>
          <w:szCs w:val="28"/>
        </w:rPr>
        <w:t xml:space="preserve"> на </w:t>
      </w:r>
      <w:proofErr w:type="spellStart"/>
      <w:r w:rsidR="00C76A71" w:rsidRPr="00FD1607">
        <w:rPr>
          <w:rFonts w:eastAsia="Calibri"/>
          <w:sz w:val="28"/>
          <w:szCs w:val="28"/>
        </w:rPr>
        <w:t>освіту</w:t>
      </w:r>
      <w:proofErr w:type="spellEnd"/>
    </w:p>
    <w:p w:rsidR="00890D9D" w:rsidRPr="00E96714" w:rsidRDefault="00890D9D" w:rsidP="00890D9D">
      <w:pPr>
        <w:ind w:firstLine="709"/>
        <w:jc w:val="both"/>
        <w:rPr>
          <w:sz w:val="28"/>
          <w:szCs w:val="28"/>
          <w:lang w:val="uk-UA"/>
        </w:rPr>
      </w:pPr>
      <w:r w:rsidRPr="00E96714">
        <w:rPr>
          <w:sz w:val="28"/>
          <w:szCs w:val="28"/>
          <w:lang w:val="uk-UA"/>
        </w:rPr>
        <w:t xml:space="preserve">Підтвердження прямої залежності між витратами на освіту та обсягом наданих ІТ-послуг </w:t>
      </w:r>
      <w:r>
        <w:rPr>
          <w:sz w:val="28"/>
          <w:szCs w:val="28"/>
          <w:lang w:val="uk-UA"/>
        </w:rPr>
        <w:t xml:space="preserve">з невеликим додатнім коефіцієнтом ліній регресії </w:t>
      </w:r>
      <w:r w:rsidRPr="00E96714">
        <w:rPr>
          <w:sz w:val="28"/>
          <w:szCs w:val="28"/>
          <w:lang w:val="uk-UA"/>
        </w:rPr>
        <w:t>вказує на те, що і</w:t>
      </w:r>
      <w:r>
        <w:rPr>
          <w:sz w:val="28"/>
          <w:szCs w:val="28"/>
          <w:lang w:val="uk-UA"/>
        </w:rPr>
        <w:t xml:space="preserve">нвестиції в освіту можуть </w:t>
      </w:r>
      <w:r w:rsidRPr="00E967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частково </w:t>
      </w:r>
      <w:r w:rsidRPr="00E96714">
        <w:rPr>
          <w:sz w:val="28"/>
          <w:szCs w:val="28"/>
          <w:lang w:val="uk-UA"/>
        </w:rPr>
        <w:t xml:space="preserve">сприяти зростанню ІТ-галузі. В цьому контексті збільшення витрат на освіту за рахунок залучення приватного капіталу </w:t>
      </w:r>
      <w:r w:rsidRPr="00E96714">
        <w:rPr>
          <w:sz w:val="28"/>
          <w:szCs w:val="28"/>
          <w:lang w:val="uk-UA"/>
        </w:rPr>
        <w:lastRenderedPageBreak/>
        <w:t xml:space="preserve">та створення сприятливого інвестиційного середовища може стати ефективним інструментом для підвищення якості освіти, зокрема в ІТ-сфері і звідціля – до </w:t>
      </w:r>
      <w:r>
        <w:rPr>
          <w:sz w:val="28"/>
          <w:szCs w:val="28"/>
          <w:lang w:val="uk-UA"/>
        </w:rPr>
        <w:t>зростання обсягу надання ІТ-послуг.</w:t>
      </w:r>
    </w:p>
    <w:p w:rsidR="00395C5F" w:rsidRPr="00395C5F" w:rsidRDefault="00890D9D" w:rsidP="00395C5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C785B">
        <w:rPr>
          <w:rFonts w:eastAsia="Calibri"/>
          <w:sz w:val="28"/>
          <w:szCs w:val="28"/>
          <w:lang w:val="uk-UA"/>
        </w:rPr>
        <w:t>З</w:t>
      </w:r>
      <w:r w:rsidR="00395C5F" w:rsidRPr="00FC785B">
        <w:rPr>
          <w:rFonts w:eastAsia="Calibri"/>
          <w:sz w:val="28"/>
          <w:szCs w:val="28"/>
          <w:lang w:val="uk-UA"/>
        </w:rPr>
        <w:t xml:space="preserve">астосування регресійного аналізу </w:t>
      </w:r>
      <w:r w:rsidR="00395C5F" w:rsidRPr="00FC785B">
        <w:rPr>
          <w:color w:val="0D0D0D"/>
          <w:sz w:val="28"/>
          <w:szCs w:val="28"/>
          <w:shd w:val="clear" w:color="auto" w:fill="FFFFFF"/>
          <w:lang w:val="uk-UA"/>
        </w:rPr>
        <w:t xml:space="preserve">дозволяє 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також </w:t>
      </w:r>
      <w:r w:rsidR="00395C5F" w:rsidRPr="00FC785B">
        <w:rPr>
          <w:color w:val="0D0D0D"/>
          <w:sz w:val="28"/>
          <w:szCs w:val="28"/>
          <w:shd w:val="clear" w:color="auto" w:fill="FFFFFF"/>
          <w:lang w:val="uk-UA"/>
        </w:rPr>
        <w:t>робити обґрунтовані прогнози або оцінки майбутніх показників на основі існуючих даних</w:t>
      </w:r>
      <w:r w:rsidR="00395C5F" w:rsidRPr="00E65A4B">
        <w:rPr>
          <w:color w:val="0D0D0D"/>
          <w:sz w:val="28"/>
          <w:szCs w:val="28"/>
          <w:shd w:val="clear" w:color="auto" w:fill="FFFFFF"/>
          <w:lang w:val="uk-UA"/>
        </w:rPr>
        <w:t>.</w:t>
      </w:r>
      <w:r w:rsidR="00395C5F">
        <w:rPr>
          <w:rFonts w:eastAsia="Calibri"/>
          <w:sz w:val="28"/>
          <w:szCs w:val="28"/>
          <w:lang w:val="uk-UA"/>
        </w:rPr>
        <w:t xml:space="preserve"> </w:t>
      </w:r>
      <w:r w:rsidR="00395C5F" w:rsidRPr="00E65A4B">
        <w:rPr>
          <w:rFonts w:eastAsia="Calibri"/>
          <w:sz w:val="28"/>
          <w:szCs w:val="28"/>
        </w:rPr>
        <w:t xml:space="preserve">Для </w:t>
      </w:r>
      <w:proofErr w:type="spellStart"/>
      <w:r w:rsidR="00395C5F" w:rsidRPr="00E65A4B">
        <w:rPr>
          <w:rFonts w:eastAsia="Calibri"/>
          <w:sz w:val="28"/>
          <w:szCs w:val="28"/>
        </w:rPr>
        <w:t>цього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 треба </w:t>
      </w:r>
      <w:proofErr w:type="spellStart"/>
      <w:r w:rsidR="00395C5F" w:rsidRPr="00E65A4B">
        <w:rPr>
          <w:rFonts w:eastAsia="Calibri"/>
          <w:sz w:val="28"/>
          <w:szCs w:val="28"/>
        </w:rPr>
        <w:t>підставити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 в </w:t>
      </w:r>
      <w:proofErr w:type="spellStart"/>
      <w:r w:rsidR="00395C5F" w:rsidRPr="00E65A4B">
        <w:rPr>
          <w:rFonts w:eastAsia="Calibri"/>
          <w:sz w:val="28"/>
          <w:szCs w:val="28"/>
        </w:rPr>
        <w:t>отримане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 </w:t>
      </w:r>
      <w:proofErr w:type="spellStart"/>
      <w:r w:rsidR="00395C5F" w:rsidRPr="00E65A4B">
        <w:rPr>
          <w:rFonts w:eastAsia="Calibri"/>
          <w:sz w:val="28"/>
          <w:szCs w:val="28"/>
        </w:rPr>
        <w:t>рівняння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 </w:t>
      </w:r>
      <w:proofErr w:type="spellStart"/>
      <w:r w:rsidR="00395C5F" w:rsidRPr="00E65A4B">
        <w:rPr>
          <w:rFonts w:eastAsia="Calibri"/>
          <w:sz w:val="28"/>
          <w:szCs w:val="28"/>
        </w:rPr>
        <w:t>регресії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 </w:t>
      </w:r>
      <w:proofErr w:type="spellStart"/>
      <w:r w:rsidR="00395C5F" w:rsidRPr="00E65A4B">
        <w:rPr>
          <w:rFonts w:eastAsia="Calibri"/>
          <w:sz w:val="28"/>
          <w:szCs w:val="28"/>
        </w:rPr>
        <w:t>проектне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 </w:t>
      </w:r>
      <w:proofErr w:type="spellStart"/>
      <w:r w:rsidR="00395C5F" w:rsidRPr="00E65A4B">
        <w:rPr>
          <w:rFonts w:eastAsia="Calibri"/>
          <w:sz w:val="28"/>
          <w:szCs w:val="28"/>
        </w:rPr>
        <w:t>значення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 </w:t>
      </w:r>
      <w:proofErr w:type="spellStart"/>
      <w:r w:rsidR="00395C5F" w:rsidRPr="00E65A4B">
        <w:rPr>
          <w:rFonts w:eastAsia="Calibri"/>
          <w:sz w:val="28"/>
          <w:szCs w:val="28"/>
        </w:rPr>
        <w:t>чинника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. </w:t>
      </w:r>
      <w:proofErr w:type="spellStart"/>
      <w:r w:rsidR="00395C5F" w:rsidRPr="00E65A4B">
        <w:rPr>
          <w:rFonts w:eastAsia="Calibri"/>
          <w:sz w:val="28"/>
          <w:szCs w:val="28"/>
        </w:rPr>
        <w:t>Зокрема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, </w:t>
      </w:r>
      <w:proofErr w:type="spellStart"/>
      <w:r w:rsidR="00395C5F" w:rsidRPr="00E65A4B">
        <w:rPr>
          <w:rFonts w:eastAsia="Calibri"/>
          <w:sz w:val="28"/>
          <w:szCs w:val="28"/>
        </w:rPr>
        <w:t>якщо</w:t>
      </w:r>
      <w:proofErr w:type="spellEnd"/>
      <w:r w:rsidR="00395C5F" w:rsidRPr="00E65A4B">
        <w:rPr>
          <w:rFonts w:eastAsia="Calibri"/>
          <w:sz w:val="28"/>
          <w:szCs w:val="28"/>
        </w:rPr>
        <w:t xml:space="preserve"> </w:t>
      </w:r>
      <w:proofErr w:type="spellStart"/>
      <w:r w:rsidR="00395C5F" w:rsidRPr="00E65A4B">
        <w:rPr>
          <w:rFonts w:eastAsia="Calibri"/>
          <w:sz w:val="28"/>
          <w:szCs w:val="28"/>
        </w:rPr>
        <w:t>збільшити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обсяги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фінансування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освіти</w:t>
      </w:r>
      <w:proofErr w:type="spellEnd"/>
      <w:r w:rsidR="00395C5F">
        <w:rPr>
          <w:rFonts w:eastAsia="Calibri"/>
          <w:sz w:val="28"/>
          <w:szCs w:val="28"/>
        </w:rPr>
        <w:t xml:space="preserve"> на 100 млн </w:t>
      </w:r>
      <w:proofErr w:type="spellStart"/>
      <w:r w:rsidR="00395C5F">
        <w:rPr>
          <w:rFonts w:eastAsia="Calibri"/>
          <w:sz w:val="28"/>
          <w:szCs w:val="28"/>
        </w:rPr>
        <w:t>грн</w:t>
      </w:r>
      <w:proofErr w:type="spellEnd"/>
      <w:r w:rsidR="00395C5F">
        <w:rPr>
          <w:rFonts w:eastAsia="Calibri"/>
          <w:sz w:val="28"/>
          <w:szCs w:val="28"/>
          <w:lang w:val="uk-UA"/>
        </w:rPr>
        <w:t>.</w:t>
      </w:r>
      <w:r w:rsidR="00395C5F">
        <w:rPr>
          <w:rFonts w:eastAsia="Calibri"/>
          <w:sz w:val="28"/>
          <w:szCs w:val="28"/>
        </w:rPr>
        <w:t xml:space="preserve">, то </w:t>
      </w:r>
      <w:proofErr w:type="spellStart"/>
      <w:r w:rsidR="00395C5F">
        <w:rPr>
          <w:rFonts w:eastAsia="Calibri"/>
          <w:sz w:val="28"/>
          <w:szCs w:val="28"/>
        </w:rPr>
        <w:t>можна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прогнозувати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зростання</w:t>
      </w:r>
      <w:proofErr w:type="spellEnd"/>
      <w:r w:rsidR="00395C5F">
        <w:rPr>
          <w:rFonts w:eastAsia="Calibri"/>
          <w:sz w:val="28"/>
          <w:szCs w:val="28"/>
        </w:rPr>
        <w:t xml:space="preserve"> ринку IT-аутсорсингу на 5,73 млн </w:t>
      </w:r>
      <w:proofErr w:type="spellStart"/>
      <w:r w:rsidR="00395C5F">
        <w:rPr>
          <w:rFonts w:eastAsia="Calibri"/>
          <w:sz w:val="28"/>
          <w:szCs w:val="28"/>
        </w:rPr>
        <w:t>грн</w:t>
      </w:r>
      <w:proofErr w:type="spellEnd"/>
      <w:r w:rsidR="00395C5F">
        <w:rPr>
          <w:color w:val="000000"/>
          <w:sz w:val="28"/>
          <w:szCs w:val="28"/>
          <w:lang w:val="uk-UA"/>
        </w:rPr>
        <w:t>.</w:t>
      </w:r>
      <w:r w:rsidR="00395C5F">
        <w:rPr>
          <w:rFonts w:eastAsia="Calibri"/>
          <w:sz w:val="28"/>
          <w:szCs w:val="28"/>
        </w:rPr>
        <w:t xml:space="preserve"> Таким чином, </w:t>
      </w:r>
      <w:proofErr w:type="spellStart"/>
      <w:r w:rsidR="00395C5F">
        <w:rPr>
          <w:rFonts w:eastAsia="Calibri"/>
          <w:sz w:val="28"/>
          <w:szCs w:val="28"/>
        </w:rPr>
        <w:t>щорічно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збільшуючи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витрати</w:t>
      </w:r>
      <w:proofErr w:type="spellEnd"/>
      <w:r w:rsidR="00395C5F">
        <w:rPr>
          <w:rFonts w:eastAsia="Calibri"/>
          <w:sz w:val="28"/>
          <w:szCs w:val="28"/>
        </w:rPr>
        <w:t xml:space="preserve"> на </w:t>
      </w:r>
      <w:proofErr w:type="spellStart"/>
      <w:r w:rsidR="00395C5F">
        <w:rPr>
          <w:rFonts w:eastAsia="Calibri"/>
          <w:sz w:val="28"/>
          <w:szCs w:val="28"/>
        </w:rPr>
        <w:t>освіту</w:t>
      </w:r>
      <w:proofErr w:type="spellEnd"/>
      <w:r w:rsidR="00395C5F">
        <w:rPr>
          <w:rFonts w:eastAsia="Calibri"/>
          <w:sz w:val="28"/>
          <w:szCs w:val="28"/>
        </w:rPr>
        <w:t xml:space="preserve">, </w:t>
      </w:r>
      <w:proofErr w:type="spellStart"/>
      <w:r w:rsidR="00395C5F">
        <w:rPr>
          <w:rFonts w:eastAsia="Calibri"/>
          <w:sz w:val="28"/>
          <w:szCs w:val="28"/>
        </w:rPr>
        <w:t>підвищуючи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тим</w:t>
      </w:r>
      <w:proofErr w:type="spellEnd"/>
      <w:r w:rsidR="00395C5F">
        <w:rPr>
          <w:rFonts w:eastAsia="Calibri"/>
          <w:sz w:val="28"/>
          <w:szCs w:val="28"/>
        </w:rPr>
        <w:t xml:space="preserve"> самим </w:t>
      </w:r>
      <w:proofErr w:type="spellStart"/>
      <w:r w:rsidR="00395C5F">
        <w:rPr>
          <w:rFonts w:eastAsia="Calibri"/>
          <w:sz w:val="28"/>
          <w:szCs w:val="28"/>
        </w:rPr>
        <w:t>її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ефективність</w:t>
      </w:r>
      <w:proofErr w:type="spellEnd"/>
      <w:r w:rsidR="00395C5F">
        <w:rPr>
          <w:rFonts w:eastAsia="Calibri"/>
          <w:sz w:val="28"/>
          <w:szCs w:val="28"/>
        </w:rPr>
        <w:t xml:space="preserve"> і </w:t>
      </w:r>
      <w:proofErr w:type="spellStart"/>
      <w:r w:rsidR="00395C5F">
        <w:rPr>
          <w:rFonts w:eastAsia="Calibri"/>
          <w:sz w:val="28"/>
          <w:szCs w:val="28"/>
        </w:rPr>
        <w:t>кількість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випускників</w:t>
      </w:r>
      <w:proofErr w:type="spellEnd"/>
      <w:r w:rsidR="00395C5F">
        <w:rPr>
          <w:rFonts w:eastAsia="Calibri"/>
          <w:sz w:val="28"/>
          <w:szCs w:val="28"/>
        </w:rPr>
        <w:t xml:space="preserve">, </w:t>
      </w:r>
      <w:proofErr w:type="spellStart"/>
      <w:r w:rsidR="00395C5F">
        <w:rPr>
          <w:rFonts w:eastAsia="Calibri"/>
          <w:sz w:val="28"/>
          <w:szCs w:val="28"/>
        </w:rPr>
        <w:t>можна</w:t>
      </w:r>
      <w:proofErr w:type="spellEnd"/>
      <w:r w:rsidR="00395C5F">
        <w:rPr>
          <w:rFonts w:eastAsia="Calibri"/>
          <w:sz w:val="28"/>
          <w:szCs w:val="28"/>
        </w:rPr>
        <w:t xml:space="preserve"> </w:t>
      </w:r>
      <w:proofErr w:type="spellStart"/>
      <w:r w:rsidR="00395C5F">
        <w:rPr>
          <w:rFonts w:eastAsia="Calibri"/>
          <w:sz w:val="28"/>
          <w:szCs w:val="28"/>
        </w:rPr>
        <w:t>частково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вплинути</w:t>
      </w:r>
      <w:proofErr w:type="spellEnd"/>
      <w:r>
        <w:rPr>
          <w:rFonts w:eastAsia="Calibri"/>
          <w:sz w:val="28"/>
          <w:szCs w:val="28"/>
        </w:rPr>
        <w:t xml:space="preserve"> на </w:t>
      </w:r>
      <w:proofErr w:type="spellStart"/>
      <w:r>
        <w:rPr>
          <w:rFonts w:eastAsia="Calibri"/>
          <w:sz w:val="28"/>
          <w:szCs w:val="28"/>
        </w:rPr>
        <w:t>розвиток</w:t>
      </w:r>
      <w:proofErr w:type="spellEnd"/>
      <w:r>
        <w:rPr>
          <w:rFonts w:eastAsia="Calibri"/>
          <w:sz w:val="28"/>
          <w:szCs w:val="28"/>
        </w:rPr>
        <w:t xml:space="preserve"> IT-</w:t>
      </w:r>
      <w:proofErr w:type="spellStart"/>
      <w:r>
        <w:rPr>
          <w:rFonts w:eastAsia="Calibri"/>
          <w:sz w:val="28"/>
          <w:szCs w:val="28"/>
        </w:rPr>
        <w:t>галузі</w:t>
      </w:r>
      <w:proofErr w:type="spellEnd"/>
      <w:r w:rsidR="007D1E30" w:rsidRPr="007D1E30">
        <w:rPr>
          <w:rFonts w:eastAsia="Calibri"/>
          <w:sz w:val="28"/>
          <w:szCs w:val="28"/>
        </w:rPr>
        <w:t xml:space="preserve"> [</w:t>
      </w:r>
      <w:r w:rsidR="007D1E30">
        <w:rPr>
          <w:rFonts w:eastAsia="Calibri"/>
          <w:sz w:val="28"/>
          <w:szCs w:val="28"/>
        </w:rPr>
        <w:fldChar w:fldCharType="begin"/>
      </w:r>
      <w:r w:rsidR="007D1E30">
        <w:rPr>
          <w:rFonts w:eastAsia="Calibri"/>
          <w:sz w:val="28"/>
          <w:szCs w:val="28"/>
        </w:rPr>
        <w:instrText xml:space="preserve"> REF _Ref163569228 \r \h </w:instrText>
      </w:r>
      <w:r w:rsidR="007D1E30">
        <w:rPr>
          <w:rFonts w:eastAsia="Calibri"/>
          <w:sz w:val="28"/>
          <w:szCs w:val="28"/>
        </w:rPr>
      </w:r>
      <w:r w:rsidR="007D1E30">
        <w:rPr>
          <w:rFonts w:eastAsia="Calibri"/>
          <w:sz w:val="28"/>
          <w:szCs w:val="28"/>
        </w:rPr>
        <w:fldChar w:fldCharType="separate"/>
      </w:r>
      <w:r w:rsidR="007D1E30">
        <w:rPr>
          <w:rFonts w:eastAsia="Calibri"/>
          <w:sz w:val="28"/>
          <w:szCs w:val="28"/>
        </w:rPr>
        <w:t>2</w:t>
      </w:r>
      <w:r w:rsidR="007D1E30">
        <w:rPr>
          <w:rFonts w:eastAsia="Calibri"/>
          <w:sz w:val="28"/>
          <w:szCs w:val="28"/>
        </w:rPr>
        <w:fldChar w:fldCharType="end"/>
      </w:r>
      <w:bookmarkStart w:id="2" w:name="_GoBack"/>
      <w:bookmarkEnd w:id="2"/>
      <w:r w:rsidR="007D1E30" w:rsidRPr="007D1E30">
        <w:rPr>
          <w:rFonts w:eastAsia="Calibri"/>
          <w:sz w:val="28"/>
          <w:szCs w:val="28"/>
        </w:rPr>
        <w:t>]</w:t>
      </w:r>
      <w:r w:rsidR="00395C5F">
        <w:rPr>
          <w:rFonts w:eastAsia="Calibri"/>
          <w:sz w:val="28"/>
          <w:szCs w:val="28"/>
        </w:rPr>
        <w:t>.</w:t>
      </w:r>
    </w:p>
    <w:p w:rsidR="00F22528" w:rsidRPr="009A4063" w:rsidRDefault="00395C5F" w:rsidP="009A4063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val="uk-UA"/>
        </w:rPr>
        <w:t>Отже, як</w:t>
      </w:r>
      <w:r w:rsidR="00D147A1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ми переконалися</w:t>
      </w:r>
      <w:r w:rsidR="00D147A1">
        <w:rPr>
          <w:rFonts w:eastAsia="Calibri"/>
          <w:sz w:val="28"/>
          <w:szCs w:val="28"/>
          <w:lang w:val="uk-UA"/>
        </w:rPr>
        <w:t xml:space="preserve">, </w:t>
      </w:r>
      <w:r w:rsidR="00D147A1">
        <w:rPr>
          <w:color w:val="000000" w:themeColor="text1"/>
          <w:sz w:val="28"/>
          <w:szCs w:val="28"/>
          <w:lang w:val="uk-UA"/>
        </w:rPr>
        <w:t>п</w:t>
      </w:r>
      <w:r w:rsidR="00D147A1" w:rsidRPr="00D147A1">
        <w:rPr>
          <w:color w:val="000000" w:themeColor="text1"/>
          <w:sz w:val="28"/>
          <w:szCs w:val="28"/>
          <w:lang w:val="uk-UA"/>
        </w:rPr>
        <w:t xml:space="preserve">опри воєнні дії, у 2022 році українська ІТ-індустрія збільшила продажі 2021 року на 400 млн </w:t>
      </w:r>
      <w:proofErr w:type="spellStart"/>
      <w:r w:rsidR="00D147A1" w:rsidRPr="00D147A1">
        <w:rPr>
          <w:color w:val="000000" w:themeColor="text1"/>
          <w:sz w:val="28"/>
          <w:szCs w:val="28"/>
          <w:lang w:val="uk-UA"/>
        </w:rPr>
        <w:t>дол</w:t>
      </w:r>
      <w:proofErr w:type="spellEnd"/>
      <w:r w:rsidR="00D147A1" w:rsidRPr="00D147A1">
        <w:rPr>
          <w:color w:val="000000" w:themeColor="text1"/>
          <w:sz w:val="28"/>
          <w:szCs w:val="28"/>
          <w:lang w:val="uk-UA"/>
        </w:rPr>
        <w:t xml:space="preserve">. </w:t>
      </w:r>
      <w:r w:rsidR="00D147A1">
        <w:rPr>
          <w:color w:val="000000" w:themeColor="text1"/>
          <w:sz w:val="28"/>
          <w:szCs w:val="28"/>
        </w:rPr>
        <w:t xml:space="preserve">США </w:t>
      </w:r>
      <w:proofErr w:type="spellStart"/>
      <w:r w:rsidR="00D147A1">
        <w:rPr>
          <w:color w:val="000000" w:themeColor="text1"/>
          <w:sz w:val="28"/>
          <w:szCs w:val="28"/>
        </w:rPr>
        <w:t>або</w:t>
      </w:r>
      <w:proofErr w:type="spellEnd"/>
      <w:r w:rsidR="00D147A1">
        <w:rPr>
          <w:color w:val="000000" w:themeColor="text1"/>
          <w:sz w:val="28"/>
          <w:szCs w:val="28"/>
        </w:rPr>
        <w:t xml:space="preserve"> на 5,8 % і</w:t>
      </w:r>
      <w:r w:rsidR="00D147A1" w:rsidRPr="00FD1607">
        <w:rPr>
          <w:color w:val="000000" w:themeColor="text1"/>
          <w:sz w:val="28"/>
          <w:szCs w:val="28"/>
        </w:rPr>
        <w:t xml:space="preserve"> «</w:t>
      </w:r>
      <w:proofErr w:type="spellStart"/>
      <w:r w:rsidR="00D147A1" w:rsidRPr="00FD1607">
        <w:rPr>
          <w:color w:val="000000" w:themeColor="text1"/>
          <w:sz w:val="28"/>
          <w:szCs w:val="28"/>
        </w:rPr>
        <w:t>закрила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» </w:t>
      </w:r>
      <w:proofErr w:type="spellStart"/>
      <w:r w:rsidR="00D147A1" w:rsidRPr="00FD1607">
        <w:rPr>
          <w:color w:val="000000" w:themeColor="text1"/>
          <w:sz w:val="28"/>
          <w:szCs w:val="28"/>
        </w:rPr>
        <w:t>рік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з </w:t>
      </w:r>
      <w:proofErr w:type="spellStart"/>
      <w:r w:rsidR="00D147A1" w:rsidRPr="00FD1607">
        <w:rPr>
          <w:color w:val="000000" w:themeColor="text1"/>
          <w:sz w:val="28"/>
          <w:szCs w:val="28"/>
        </w:rPr>
        <w:t>показником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</w:t>
      </w:r>
      <w:proofErr w:type="spellStart"/>
      <w:r w:rsidR="00D147A1" w:rsidRPr="00FD1607">
        <w:rPr>
          <w:color w:val="000000" w:themeColor="text1"/>
          <w:sz w:val="28"/>
          <w:szCs w:val="28"/>
        </w:rPr>
        <w:t>експорту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7,34 млрд дол. США. У 2022-2023 роках ІТ стала </w:t>
      </w:r>
      <w:proofErr w:type="spellStart"/>
      <w:r w:rsidR="00D147A1" w:rsidRPr="00FD1607">
        <w:rPr>
          <w:color w:val="000000" w:themeColor="text1"/>
          <w:sz w:val="28"/>
          <w:szCs w:val="28"/>
        </w:rPr>
        <w:t>єдиною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сферою, яка </w:t>
      </w:r>
      <w:proofErr w:type="spellStart"/>
      <w:r w:rsidR="00D147A1" w:rsidRPr="00FD1607">
        <w:rPr>
          <w:color w:val="000000" w:themeColor="text1"/>
          <w:sz w:val="28"/>
          <w:szCs w:val="28"/>
        </w:rPr>
        <w:t>зберегла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</w:t>
      </w:r>
      <w:proofErr w:type="spellStart"/>
      <w:r w:rsidR="00D147A1" w:rsidRPr="00FD1607">
        <w:rPr>
          <w:color w:val="000000" w:themeColor="text1"/>
          <w:sz w:val="28"/>
          <w:szCs w:val="28"/>
        </w:rPr>
        <w:t>позитивну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</w:t>
      </w:r>
      <w:proofErr w:type="spellStart"/>
      <w:r w:rsidR="00D147A1" w:rsidRPr="00FD1607">
        <w:rPr>
          <w:color w:val="000000" w:themeColor="text1"/>
          <w:sz w:val="28"/>
          <w:szCs w:val="28"/>
        </w:rPr>
        <w:t>динаміку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(</w:t>
      </w:r>
      <w:proofErr w:type="spellStart"/>
      <w:r w:rsidR="00D147A1" w:rsidRPr="00FD1607">
        <w:rPr>
          <w:color w:val="000000" w:themeColor="text1"/>
          <w:sz w:val="28"/>
          <w:szCs w:val="28"/>
        </w:rPr>
        <w:t>падіння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</w:t>
      </w:r>
      <w:proofErr w:type="spellStart"/>
      <w:r w:rsidR="00D147A1" w:rsidRPr="00FD1607">
        <w:rPr>
          <w:color w:val="000000" w:themeColor="text1"/>
          <w:sz w:val="28"/>
          <w:szCs w:val="28"/>
        </w:rPr>
        <w:t>загального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</w:t>
      </w:r>
      <w:proofErr w:type="spellStart"/>
      <w:r w:rsidR="00D147A1" w:rsidRPr="00FD1607">
        <w:rPr>
          <w:color w:val="000000" w:themeColor="text1"/>
          <w:sz w:val="28"/>
          <w:szCs w:val="28"/>
        </w:rPr>
        <w:t>експорту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</w:t>
      </w:r>
      <w:proofErr w:type="spellStart"/>
      <w:r w:rsidR="00D147A1" w:rsidRPr="00FD1607">
        <w:rPr>
          <w:color w:val="000000" w:themeColor="text1"/>
          <w:sz w:val="28"/>
          <w:szCs w:val="28"/>
        </w:rPr>
        <w:t>склало</w:t>
      </w:r>
      <w:proofErr w:type="spellEnd"/>
      <w:r w:rsidR="00D147A1" w:rsidRPr="00FD1607">
        <w:rPr>
          <w:color w:val="000000" w:themeColor="text1"/>
          <w:sz w:val="28"/>
          <w:szCs w:val="28"/>
        </w:rPr>
        <w:t xml:space="preserve"> 35</w:t>
      </w:r>
      <w:r w:rsidR="00D147A1" w:rsidRPr="00FD1607">
        <w:rPr>
          <w:color w:val="000000" w:themeColor="text1"/>
          <w:sz w:val="28"/>
          <w:szCs w:val="28"/>
          <w:lang w:val="uk-UA"/>
        </w:rPr>
        <w:t xml:space="preserve"> </w:t>
      </w:r>
      <w:r w:rsidR="00D147A1" w:rsidRPr="00FD1607">
        <w:rPr>
          <w:color w:val="000000" w:themeColor="text1"/>
          <w:sz w:val="28"/>
          <w:szCs w:val="28"/>
        </w:rPr>
        <w:t xml:space="preserve">%).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Висока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мобільність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українських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ІТ-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фахівців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здатність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працювати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дистанційно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дозволили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галузі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не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лише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втримати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, але й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збільшити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рівень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зайнятості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продуктивності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Це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свідчить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про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стійкість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адаптивність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українського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ІТ-сектора до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екстремальних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умов, як одного з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ключових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драйверів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економічного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розвитку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країни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у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важкі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D147A1" w:rsidRPr="00FD1607">
        <w:rPr>
          <w:color w:val="0D0D0D"/>
          <w:sz w:val="28"/>
          <w:szCs w:val="28"/>
          <w:shd w:val="clear" w:color="auto" w:fill="FFFFFF"/>
        </w:rPr>
        <w:t>часи</w:t>
      </w:r>
      <w:proofErr w:type="spellEnd"/>
      <w:r w:rsidR="00D147A1" w:rsidRPr="00FD1607">
        <w:rPr>
          <w:color w:val="0D0D0D"/>
          <w:sz w:val="28"/>
          <w:szCs w:val="28"/>
          <w:shd w:val="clear" w:color="auto" w:fill="FFFFFF"/>
        </w:rPr>
        <w:t xml:space="preserve"> [</w:t>
      </w:r>
      <w:r w:rsidR="00D147A1" w:rsidRPr="00FD1607">
        <w:rPr>
          <w:color w:val="0D0D0D"/>
          <w:sz w:val="28"/>
          <w:szCs w:val="28"/>
          <w:shd w:val="clear" w:color="auto" w:fill="FFFFFF"/>
        </w:rPr>
        <w:fldChar w:fldCharType="begin"/>
      </w:r>
      <w:r w:rsidR="00D147A1" w:rsidRPr="00FD1607">
        <w:rPr>
          <w:color w:val="0D0D0D"/>
          <w:sz w:val="28"/>
          <w:szCs w:val="28"/>
          <w:shd w:val="clear" w:color="auto" w:fill="FFFFFF"/>
        </w:rPr>
        <w:instrText xml:space="preserve"> REF _Ref163569715 \r \h  \* MERGEFORMAT </w:instrText>
      </w:r>
      <w:r w:rsidR="00D147A1" w:rsidRPr="00FD1607">
        <w:rPr>
          <w:color w:val="0D0D0D"/>
          <w:sz w:val="28"/>
          <w:szCs w:val="28"/>
          <w:shd w:val="clear" w:color="auto" w:fill="FFFFFF"/>
        </w:rPr>
      </w:r>
      <w:r w:rsidR="00D147A1" w:rsidRPr="00FD1607">
        <w:rPr>
          <w:color w:val="0D0D0D"/>
          <w:sz w:val="28"/>
          <w:szCs w:val="28"/>
          <w:shd w:val="clear" w:color="auto" w:fill="FFFFFF"/>
        </w:rPr>
        <w:fldChar w:fldCharType="separate"/>
      </w:r>
      <w:r w:rsidR="007D1E30">
        <w:rPr>
          <w:color w:val="0D0D0D"/>
          <w:sz w:val="28"/>
          <w:szCs w:val="28"/>
          <w:shd w:val="clear" w:color="auto" w:fill="FFFFFF"/>
        </w:rPr>
        <w:t>1</w:t>
      </w:r>
      <w:r w:rsidR="00D147A1" w:rsidRPr="00FD1607">
        <w:rPr>
          <w:color w:val="0D0D0D"/>
          <w:sz w:val="28"/>
          <w:szCs w:val="28"/>
          <w:shd w:val="clear" w:color="auto" w:fill="FFFFFF"/>
        </w:rPr>
        <w:fldChar w:fldCharType="end"/>
      </w:r>
      <w:r w:rsidR="00D147A1" w:rsidRPr="00FD1607">
        <w:rPr>
          <w:color w:val="0D0D0D"/>
          <w:sz w:val="28"/>
          <w:szCs w:val="28"/>
          <w:shd w:val="clear" w:color="auto" w:fill="FFFFFF"/>
        </w:rPr>
        <w:t>]</w:t>
      </w:r>
      <w:r w:rsidR="00D147A1" w:rsidRPr="00FD1607">
        <w:rPr>
          <w:sz w:val="28"/>
          <w:szCs w:val="28"/>
        </w:rPr>
        <w:t>.</w:t>
      </w:r>
      <w:r w:rsidR="00D147A1" w:rsidRPr="00FD160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40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З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начне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зростання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обсягу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ІТ-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послуг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у 2022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році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пояснюється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тим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що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ІТ-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фахівці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отримали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багато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державних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приватних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замовлень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на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адаптацію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штучного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інтелекту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до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воєнних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умов,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створення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дистанційно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керованих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дронів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розробку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програмного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забезпечення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для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військових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операцій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планування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обробки</w:t>
      </w:r>
      <w:proofErr w:type="spellEnd"/>
      <w:r w:rsidRPr="00395C5F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395C5F">
        <w:rPr>
          <w:color w:val="0D0D0D"/>
          <w:sz w:val="28"/>
          <w:szCs w:val="28"/>
          <w:shd w:val="clear" w:color="auto" w:fill="FFFFFF"/>
        </w:rPr>
        <w:t>розвідданих</w:t>
      </w:r>
      <w:proofErr w:type="spellEnd"/>
      <w:r w:rsidRPr="00395C5F">
        <w:rPr>
          <w:rFonts w:eastAsia="Calibri"/>
          <w:sz w:val="28"/>
          <w:szCs w:val="28"/>
          <w:lang w:val="uk-UA"/>
        </w:rPr>
        <w:t xml:space="preserve">, </w:t>
      </w:r>
      <w:r w:rsidR="00F22528" w:rsidRPr="00395C5F">
        <w:rPr>
          <w:rFonts w:eastAsia="Calibri"/>
          <w:sz w:val="28"/>
          <w:szCs w:val="28"/>
          <w:lang w:val="uk-UA"/>
        </w:rPr>
        <w:t>тощо.</w:t>
      </w:r>
      <w:r>
        <w:rPr>
          <w:rFonts w:eastAsia="Calibri"/>
          <w:sz w:val="28"/>
          <w:szCs w:val="28"/>
          <w:lang w:val="uk-UA"/>
        </w:rPr>
        <w:t xml:space="preserve"> </w:t>
      </w:r>
    </w:p>
    <w:p w:rsidR="00395C5F" w:rsidRPr="00395C5F" w:rsidRDefault="00395C5F" w:rsidP="00395C5F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FD1607">
        <w:rPr>
          <w:rFonts w:eastAsia="TimesNewRomanPSMT"/>
          <w:sz w:val="28"/>
          <w:szCs w:val="28"/>
          <w:lang w:val="uk-UA"/>
        </w:rPr>
        <w:t xml:space="preserve">Для підвищення внутрішнього попиту на </w:t>
      </w:r>
      <w:proofErr w:type="spellStart"/>
      <w:r w:rsidRPr="00FD1607">
        <w:rPr>
          <w:rFonts w:eastAsia="TimesNewRomanPSMT"/>
          <w:sz w:val="28"/>
          <w:szCs w:val="28"/>
          <w:lang w:val="uk-UA"/>
        </w:rPr>
        <w:t>аутсорсинг</w:t>
      </w:r>
      <w:proofErr w:type="spellEnd"/>
      <w:r w:rsidRPr="00FD1607">
        <w:rPr>
          <w:rFonts w:eastAsia="TimesNewRomanPSMT"/>
          <w:sz w:val="28"/>
          <w:szCs w:val="28"/>
          <w:lang w:val="uk-UA"/>
        </w:rPr>
        <w:t xml:space="preserve"> </w:t>
      </w:r>
      <w:r w:rsidRPr="00FD1607">
        <w:rPr>
          <w:rFonts w:eastAsia="TimesNewRomanPSMT"/>
          <w:sz w:val="28"/>
          <w:szCs w:val="28"/>
        </w:rPr>
        <w:t>IT</w:t>
      </w:r>
      <w:r w:rsidRPr="00FD1607">
        <w:rPr>
          <w:rFonts w:eastAsia="TimesNewRomanPSMT"/>
          <w:sz w:val="28"/>
          <w:szCs w:val="28"/>
          <w:lang w:val="uk-UA"/>
        </w:rPr>
        <w:t xml:space="preserve">-послуг в Україні та розвитку </w:t>
      </w:r>
      <w:r w:rsidRPr="00FD1607">
        <w:rPr>
          <w:rFonts w:eastAsia="TimesNewRomanPSMT"/>
          <w:sz w:val="28"/>
          <w:szCs w:val="28"/>
        </w:rPr>
        <w:t>IT</w:t>
      </w:r>
      <w:r w:rsidRPr="00FD1607">
        <w:rPr>
          <w:rFonts w:eastAsia="TimesNewRomanPSMT"/>
          <w:sz w:val="28"/>
          <w:szCs w:val="28"/>
          <w:lang w:val="uk-UA"/>
        </w:rPr>
        <w:t xml:space="preserve">-сектору країни запропоновано алгоритм переходу підприємств на </w:t>
      </w:r>
      <w:proofErr w:type="spellStart"/>
      <w:r w:rsidRPr="00FD1607">
        <w:rPr>
          <w:rFonts w:eastAsia="TimesNewRomanPSMT"/>
          <w:sz w:val="28"/>
          <w:szCs w:val="28"/>
          <w:lang w:val="uk-UA"/>
        </w:rPr>
        <w:t>аутсорсинг</w:t>
      </w:r>
      <w:proofErr w:type="spellEnd"/>
      <w:r w:rsidRPr="00FD1607">
        <w:rPr>
          <w:rFonts w:eastAsia="TimesNewRomanPSMT"/>
          <w:sz w:val="28"/>
          <w:szCs w:val="28"/>
          <w:lang w:val="uk-UA"/>
        </w:rPr>
        <w:t xml:space="preserve">, включаючи планування, аналіз, управління ризиками, вибір постачальників, моніторинг і оцінку ефективності </w:t>
      </w:r>
      <w:proofErr w:type="spellStart"/>
      <w:r w:rsidRPr="00FD1607">
        <w:rPr>
          <w:rFonts w:eastAsia="TimesNewRomanPSMT"/>
          <w:sz w:val="28"/>
          <w:szCs w:val="28"/>
          <w:lang w:val="uk-UA"/>
        </w:rPr>
        <w:t>аутсорсингових</w:t>
      </w:r>
      <w:proofErr w:type="spellEnd"/>
      <w:r w:rsidRPr="00FD1607">
        <w:rPr>
          <w:rFonts w:eastAsia="TimesNewRomanPSMT"/>
          <w:sz w:val="28"/>
          <w:szCs w:val="28"/>
          <w:lang w:val="uk-UA"/>
        </w:rPr>
        <w:t xml:space="preserve"> послуг</w:t>
      </w:r>
      <w:r>
        <w:rPr>
          <w:rFonts w:eastAsia="TimesNewRomanPSMT"/>
          <w:sz w:val="28"/>
          <w:szCs w:val="28"/>
          <w:lang w:val="uk-UA"/>
        </w:rPr>
        <w:t>, тощо</w:t>
      </w:r>
      <w:r w:rsidRPr="00FD1607">
        <w:rPr>
          <w:rFonts w:eastAsia="TimesNewRomanPSMT"/>
          <w:sz w:val="28"/>
          <w:szCs w:val="28"/>
          <w:lang w:val="uk-UA"/>
        </w:rPr>
        <w:t>.</w:t>
      </w:r>
    </w:p>
    <w:p w:rsidR="00602556" w:rsidRPr="00FD1607" w:rsidRDefault="00890D9D" w:rsidP="00395C5F">
      <w:pPr>
        <w:ind w:firstLine="567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</w:t>
      </w:r>
      <w:r w:rsidR="00F240C1">
        <w:rPr>
          <w:rFonts w:eastAsia="TimesNewRomanPSMT"/>
          <w:sz w:val="28"/>
          <w:szCs w:val="28"/>
          <w:lang w:val="uk-UA"/>
        </w:rPr>
        <w:t>лід</w:t>
      </w:r>
      <w:r w:rsidR="00602556" w:rsidRPr="00FD1607">
        <w:rPr>
          <w:rFonts w:eastAsia="TimesNewRomanPSMT"/>
          <w:sz w:val="28"/>
          <w:szCs w:val="28"/>
          <w:lang w:val="uk-UA"/>
        </w:rPr>
        <w:t xml:space="preserve"> </w:t>
      </w:r>
      <w:r w:rsidR="00395C5F">
        <w:rPr>
          <w:rFonts w:eastAsia="TimesNewRomanPSMT"/>
          <w:sz w:val="28"/>
          <w:szCs w:val="28"/>
          <w:lang w:val="uk-UA"/>
        </w:rPr>
        <w:t xml:space="preserve">також </w:t>
      </w:r>
      <w:r w:rsidR="00602556" w:rsidRPr="00FD1607">
        <w:rPr>
          <w:rFonts w:eastAsia="TimesNewRomanPSMT"/>
          <w:sz w:val="28"/>
          <w:szCs w:val="28"/>
          <w:lang w:val="uk-UA"/>
        </w:rPr>
        <w:t>адаптувати та впр</w:t>
      </w:r>
      <w:r w:rsidR="00F240C1">
        <w:rPr>
          <w:rFonts w:eastAsia="TimesNewRomanPSMT"/>
          <w:sz w:val="28"/>
          <w:szCs w:val="28"/>
          <w:lang w:val="uk-UA"/>
        </w:rPr>
        <w:t>овадити кращі практики країн ЄС</w:t>
      </w:r>
      <w:r w:rsidR="00602556" w:rsidRPr="00FD1607">
        <w:rPr>
          <w:rFonts w:eastAsia="TimesNewRomanPSMT"/>
          <w:sz w:val="28"/>
          <w:szCs w:val="28"/>
          <w:lang w:val="uk-UA"/>
        </w:rPr>
        <w:t xml:space="preserve"> у сферах регулювання, підтримки інновацій та інвестицій у ІТ-галузь. Це включає створення сприятливих умов для розвитку </w:t>
      </w:r>
      <w:proofErr w:type="spellStart"/>
      <w:r w:rsidR="00602556" w:rsidRPr="00FD1607">
        <w:rPr>
          <w:rFonts w:eastAsia="TimesNewRomanPSMT"/>
          <w:sz w:val="28"/>
          <w:szCs w:val="28"/>
          <w:lang w:val="uk-UA"/>
        </w:rPr>
        <w:t>стартапів</w:t>
      </w:r>
      <w:proofErr w:type="spellEnd"/>
      <w:r w:rsidR="00602556" w:rsidRPr="00FD1607">
        <w:rPr>
          <w:rFonts w:eastAsia="TimesNewRomanPSMT"/>
          <w:sz w:val="28"/>
          <w:szCs w:val="28"/>
          <w:lang w:val="uk-UA"/>
        </w:rPr>
        <w:t xml:space="preserve">, заохочення венчурного фінансування та зміцнення </w:t>
      </w:r>
      <w:proofErr w:type="spellStart"/>
      <w:r w:rsidR="00602556" w:rsidRPr="00FD1607">
        <w:rPr>
          <w:rFonts w:eastAsia="TimesNewRomanPSMT"/>
          <w:sz w:val="28"/>
          <w:szCs w:val="28"/>
          <w:lang w:val="uk-UA"/>
        </w:rPr>
        <w:t>зв’язків</w:t>
      </w:r>
      <w:proofErr w:type="spellEnd"/>
      <w:r w:rsidR="00602556" w:rsidRPr="00FD1607">
        <w:rPr>
          <w:rFonts w:eastAsia="TimesNewRomanPSMT"/>
          <w:sz w:val="28"/>
          <w:szCs w:val="28"/>
          <w:lang w:val="uk-UA"/>
        </w:rPr>
        <w:t xml:space="preserve"> між освітніми установами та ІТ-індустрією. </w:t>
      </w:r>
      <w:proofErr w:type="spellStart"/>
      <w:r w:rsidR="00395C5F" w:rsidRPr="00386877">
        <w:rPr>
          <w:rFonts w:eastAsia="TimesNewRomanPSMT"/>
          <w:sz w:val="28"/>
          <w:szCs w:val="28"/>
        </w:rPr>
        <w:t>Такий</w:t>
      </w:r>
      <w:proofErr w:type="spellEnd"/>
      <w:r w:rsidR="00395C5F" w:rsidRPr="00386877">
        <w:rPr>
          <w:rFonts w:eastAsia="TimesNewRomanPSMT"/>
          <w:sz w:val="28"/>
          <w:szCs w:val="28"/>
        </w:rPr>
        <w:t xml:space="preserve"> </w:t>
      </w:r>
      <w:proofErr w:type="spellStart"/>
      <w:r w:rsidR="00395C5F" w:rsidRPr="00386877">
        <w:rPr>
          <w:rFonts w:eastAsia="TimesNewRomanPSMT"/>
          <w:sz w:val="28"/>
          <w:szCs w:val="28"/>
        </w:rPr>
        <w:t>комплексний</w:t>
      </w:r>
      <w:proofErr w:type="spellEnd"/>
      <w:r w:rsidR="00395C5F" w:rsidRPr="00386877">
        <w:rPr>
          <w:rFonts w:eastAsia="TimesNewRomanPSMT"/>
          <w:sz w:val="28"/>
          <w:szCs w:val="28"/>
        </w:rPr>
        <w:t xml:space="preserve"> </w:t>
      </w:r>
      <w:proofErr w:type="spellStart"/>
      <w:r w:rsidR="00395C5F" w:rsidRPr="00386877">
        <w:rPr>
          <w:rFonts w:eastAsia="TimesNewRomanPSMT"/>
          <w:sz w:val="28"/>
          <w:szCs w:val="28"/>
        </w:rPr>
        <w:t>підхід</w:t>
      </w:r>
      <w:proofErr w:type="spellEnd"/>
      <w:r w:rsidR="00395C5F" w:rsidRPr="00386877">
        <w:rPr>
          <w:rFonts w:eastAsia="TimesNewRomanPSMT"/>
          <w:sz w:val="28"/>
          <w:szCs w:val="28"/>
        </w:rPr>
        <w:t xml:space="preserve"> дозволить </w:t>
      </w:r>
      <w:proofErr w:type="spellStart"/>
      <w:r w:rsidR="00395C5F" w:rsidRPr="00386877">
        <w:rPr>
          <w:rFonts w:eastAsia="TimesNewRomanPSMT"/>
          <w:sz w:val="28"/>
          <w:szCs w:val="28"/>
        </w:rPr>
        <w:t>створити</w:t>
      </w:r>
      <w:proofErr w:type="spellEnd"/>
      <w:r w:rsidR="00395C5F" w:rsidRPr="00386877">
        <w:rPr>
          <w:rFonts w:eastAsia="TimesNewRomanPSMT"/>
          <w:sz w:val="28"/>
          <w:szCs w:val="28"/>
        </w:rPr>
        <w:t xml:space="preserve"> </w:t>
      </w:r>
      <w:proofErr w:type="spellStart"/>
      <w:r w:rsidR="00395C5F" w:rsidRPr="00386877">
        <w:rPr>
          <w:rFonts w:eastAsia="TimesNewRomanPSMT"/>
          <w:sz w:val="28"/>
          <w:szCs w:val="28"/>
        </w:rPr>
        <w:t>сильну</w:t>
      </w:r>
      <w:proofErr w:type="spellEnd"/>
      <w:r w:rsidR="00395C5F" w:rsidRPr="00386877">
        <w:rPr>
          <w:rFonts w:eastAsia="TimesNewRomanPSMT"/>
          <w:sz w:val="28"/>
          <w:szCs w:val="28"/>
        </w:rPr>
        <w:t xml:space="preserve"> основу для</w:t>
      </w:r>
      <w:r w:rsidR="009A4063">
        <w:rPr>
          <w:rFonts w:eastAsia="TimesNewRomanPSMT"/>
          <w:sz w:val="28"/>
          <w:szCs w:val="28"/>
        </w:rPr>
        <w:t xml:space="preserve"> </w:t>
      </w:r>
      <w:proofErr w:type="spellStart"/>
      <w:r w:rsidR="009A4063">
        <w:rPr>
          <w:rFonts w:eastAsia="TimesNewRomanPSMT"/>
          <w:sz w:val="28"/>
          <w:szCs w:val="28"/>
        </w:rPr>
        <w:t>зростання</w:t>
      </w:r>
      <w:proofErr w:type="spellEnd"/>
      <w:r w:rsidR="009A4063">
        <w:rPr>
          <w:rFonts w:eastAsia="TimesNewRomanPSMT"/>
          <w:sz w:val="28"/>
          <w:szCs w:val="28"/>
        </w:rPr>
        <w:t xml:space="preserve"> ІТ-сектору в </w:t>
      </w:r>
      <w:proofErr w:type="spellStart"/>
      <w:r w:rsidR="009A4063">
        <w:rPr>
          <w:rFonts w:eastAsia="TimesNewRomanPSMT"/>
          <w:sz w:val="28"/>
          <w:szCs w:val="28"/>
        </w:rPr>
        <w:t>Україні</w:t>
      </w:r>
      <w:proofErr w:type="spellEnd"/>
      <w:r w:rsidR="009A4063">
        <w:rPr>
          <w:rFonts w:eastAsia="TimesNewRomanPSMT"/>
          <w:sz w:val="28"/>
          <w:szCs w:val="28"/>
        </w:rPr>
        <w:t xml:space="preserve"> та</w:t>
      </w:r>
      <w:r w:rsidR="00395C5F" w:rsidRPr="00386877">
        <w:rPr>
          <w:rFonts w:eastAsia="TimesNewRomanPSMT"/>
          <w:sz w:val="28"/>
          <w:szCs w:val="28"/>
        </w:rPr>
        <w:t xml:space="preserve"> </w:t>
      </w:r>
      <w:proofErr w:type="spellStart"/>
      <w:r w:rsidR="00395C5F" w:rsidRPr="00386877">
        <w:rPr>
          <w:rFonts w:eastAsia="TimesNewRomanPSMT"/>
          <w:sz w:val="28"/>
          <w:szCs w:val="28"/>
        </w:rPr>
        <w:t>забезпечити</w:t>
      </w:r>
      <w:proofErr w:type="spellEnd"/>
      <w:r w:rsidR="00395C5F" w:rsidRPr="00386877">
        <w:rPr>
          <w:rFonts w:eastAsia="TimesNewRomanPSMT"/>
          <w:sz w:val="28"/>
          <w:szCs w:val="28"/>
        </w:rPr>
        <w:t xml:space="preserve"> </w:t>
      </w:r>
      <w:proofErr w:type="spellStart"/>
      <w:r w:rsidR="00395C5F" w:rsidRPr="00386877">
        <w:rPr>
          <w:rFonts w:eastAsia="TimesNewRomanPSMT"/>
          <w:sz w:val="28"/>
          <w:szCs w:val="28"/>
        </w:rPr>
        <w:t>його</w:t>
      </w:r>
      <w:proofErr w:type="spellEnd"/>
      <w:r w:rsidR="00395C5F" w:rsidRPr="00386877">
        <w:rPr>
          <w:rFonts w:eastAsia="TimesNewRomanPSMT"/>
          <w:sz w:val="28"/>
          <w:szCs w:val="28"/>
        </w:rPr>
        <w:t xml:space="preserve"> </w:t>
      </w:r>
      <w:proofErr w:type="spellStart"/>
      <w:r w:rsidR="00395C5F" w:rsidRPr="00386877">
        <w:rPr>
          <w:rFonts w:eastAsia="TimesNewRomanPSMT"/>
          <w:sz w:val="28"/>
          <w:szCs w:val="28"/>
        </w:rPr>
        <w:t>стабільний</w:t>
      </w:r>
      <w:proofErr w:type="spellEnd"/>
      <w:r w:rsidR="00395C5F" w:rsidRPr="00386877">
        <w:rPr>
          <w:rFonts w:eastAsia="TimesNewRomanPSMT"/>
          <w:sz w:val="28"/>
          <w:szCs w:val="28"/>
        </w:rPr>
        <w:t xml:space="preserve"> </w:t>
      </w:r>
      <w:proofErr w:type="spellStart"/>
      <w:r w:rsidR="00395C5F" w:rsidRPr="00386877">
        <w:rPr>
          <w:rFonts w:eastAsia="TimesNewRomanPSMT"/>
          <w:sz w:val="28"/>
          <w:szCs w:val="28"/>
        </w:rPr>
        <w:t>розвиток</w:t>
      </w:r>
      <w:proofErr w:type="spellEnd"/>
      <w:r w:rsidR="00395C5F" w:rsidRPr="00386877">
        <w:rPr>
          <w:rFonts w:eastAsia="TimesNewRomanPSMT"/>
          <w:sz w:val="28"/>
          <w:szCs w:val="28"/>
        </w:rPr>
        <w:t>.</w:t>
      </w:r>
    </w:p>
    <w:p w:rsidR="00C005B4" w:rsidRPr="00FD1607" w:rsidRDefault="00C005B4" w:rsidP="00602556">
      <w:pPr>
        <w:rPr>
          <w:b/>
          <w:sz w:val="28"/>
          <w:szCs w:val="28"/>
          <w:lang w:val="uk-UA"/>
        </w:rPr>
      </w:pPr>
    </w:p>
    <w:p w:rsidR="00226979" w:rsidRPr="00FD1607" w:rsidRDefault="00E76643" w:rsidP="00BE451B">
      <w:pPr>
        <w:jc w:val="center"/>
        <w:rPr>
          <w:b/>
          <w:sz w:val="28"/>
          <w:szCs w:val="28"/>
          <w:lang w:val="uk-UA"/>
        </w:rPr>
      </w:pPr>
      <w:r w:rsidRPr="00FD1607">
        <w:rPr>
          <w:b/>
          <w:sz w:val="28"/>
          <w:szCs w:val="28"/>
          <w:lang w:val="uk-UA"/>
        </w:rPr>
        <w:t>Список використаних джерел</w:t>
      </w:r>
    </w:p>
    <w:p w:rsidR="00F22528" w:rsidRPr="00FD1607" w:rsidRDefault="00F22528" w:rsidP="00BE451B">
      <w:pPr>
        <w:jc w:val="center"/>
        <w:rPr>
          <w:b/>
          <w:sz w:val="28"/>
          <w:szCs w:val="28"/>
          <w:lang w:val="uk-UA"/>
        </w:rPr>
      </w:pPr>
    </w:p>
    <w:p w:rsidR="00226979" w:rsidRPr="00FD1607" w:rsidRDefault="00226979" w:rsidP="00B751C6">
      <w:pPr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eastAsia="TimesNewRoman"/>
          <w:color w:val="000000" w:themeColor="text1"/>
          <w:sz w:val="28"/>
          <w:szCs w:val="28"/>
          <w:lang w:val="uk-UA"/>
        </w:rPr>
      </w:pPr>
      <w:bookmarkStart w:id="3" w:name="_Ref163569715"/>
      <w:proofErr w:type="spellStart"/>
      <w:r w:rsidRPr="00FD1607">
        <w:rPr>
          <w:color w:val="000000" w:themeColor="text1"/>
          <w:sz w:val="28"/>
          <w:szCs w:val="28"/>
        </w:rPr>
        <w:t>Шк</w:t>
      </w:r>
      <w:r w:rsidRPr="00FD1607">
        <w:rPr>
          <w:color w:val="000000" w:themeColor="text1"/>
          <w:sz w:val="28"/>
          <w:szCs w:val="28"/>
          <w:lang w:val="en-US"/>
        </w:rPr>
        <w:t>i</w:t>
      </w:r>
      <w:proofErr w:type="spellEnd"/>
      <w:r w:rsidR="00717D83" w:rsidRPr="00FD1607">
        <w:rPr>
          <w:color w:val="000000" w:themeColor="text1"/>
          <w:sz w:val="28"/>
          <w:szCs w:val="28"/>
        </w:rPr>
        <w:t>ль Л. ІТ-</w:t>
      </w:r>
      <w:proofErr w:type="spellStart"/>
      <w:r w:rsidR="00717D83" w:rsidRPr="00FD1607">
        <w:rPr>
          <w:color w:val="000000" w:themeColor="text1"/>
          <w:sz w:val="28"/>
          <w:szCs w:val="28"/>
        </w:rPr>
        <w:t>послуги</w:t>
      </w:r>
      <w:proofErr w:type="spellEnd"/>
      <w:r w:rsidR="00717D83" w:rsidRPr="00FD1607">
        <w:rPr>
          <w:color w:val="000000" w:themeColor="text1"/>
          <w:sz w:val="28"/>
          <w:szCs w:val="28"/>
        </w:rPr>
        <w:t xml:space="preserve"> –</w:t>
      </w:r>
      <w:r w:rsidRPr="00FD1607">
        <w:rPr>
          <w:color w:val="000000" w:themeColor="text1"/>
          <w:sz w:val="28"/>
          <w:szCs w:val="28"/>
        </w:rPr>
        <w:t xml:space="preserve"> </w:t>
      </w:r>
      <w:proofErr w:type="spellStart"/>
      <w:r w:rsidRPr="00FD1607">
        <w:rPr>
          <w:color w:val="000000" w:themeColor="text1"/>
          <w:sz w:val="28"/>
          <w:szCs w:val="28"/>
        </w:rPr>
        <w:t>єдина</w:t>
      </w:r>
      <w:proofErr w:type="spellEnd"/>
      <w:r w:rsidRPr="00FD1607">
        <w:rPr>
          <w:color w:val="000000" w:themeColor="text1"/>
          <w:sz w:val="28"/>
          <w:szCs w:val="28"/>
        </w:rPr>
        <w:t xml:space="preserve"> </w:t>
      </w:r>
      <w:proofErr w:type="spellStart"/>
      <w:r w:rsidRPr="00FD1607">
        <w:rPr>
          <w:color w:val="000000" w:themeColor="text1"/>
          <w:sz w:val="28"/>
          <w:szCs w:val="28"/>
        </w:rPr>
        <w:t>галуз</w:t>
      </w:r>
      <w:r w:rsidR="00F240C1">
        <w:rPr>
          <w:color w:val="000000" w:themeColor="text1"/>
          <w:sz w:val="28"/>
          <w:szCs w:val="28"/>
        </w:rPr>
        <w:t>ь</w:t>
      </w:r>
      <w:proofErr w:type="spellEnd"/>
      <w:r w:rsidR="00F240C1">
        <w:rPr>
          <w:color w:val="000000" w:themeColor="text1"/>
          <w:sz w:val="28"/>
          <w:szCs w:val="28"/>
        </w:rPr>
        <w:t xml:space="preserve"> </w:t>
      </w:r>
      <w:proofErr w:type="spellStart"/>
      <w:r w:rsidR="00F240C1">
        <w:rPr>
          <w:color w:val="000000" w:themeColor="text1"/>
          <w:sz w:val="28"/>
          <w:szCs w:val="28"/>
        </w:rPr>
        <w:t>бізнесу</w:t>
      </w:r>
      <w:proofErr w:type="spellEnd"/>
      <w:r w:rsidR="00F240C1">
        <w:rPr>
          <w:color w:val="000000" w:themeColor="text1"/>
          <w:sz w:val="28"/>
          <w:szCs w:val="28"/>
        </w:rPr>
        <w:t xml:space="preserve">, </w:t>
      </w:r>
      <w:proofErr w:type="spellStart"/>
      <w:r w:rsidR="00F240C1">
        <w:rPr>
          <w:color w:val="000000" w:themeColor="text1"/>
          <w:sz w:val="28"/>
          <w:szCs w:val="28"/>
        </w:rPr>
        <w:t>що</w:t>
      </w:r>
      <w:proofErr w:type="spellEnd"/>
      <w:r w:rsidR="00F240C1">
        <w:rPr>
          <w:color w:val="000000" w:themeColor="text1"/>
          <w:sz w:val="28"/>
          <w:szCs w:val="28"/>
        </w:rPr>
        <w:t xml:space="preserve"> </w:t>
      </w:r>
      <w:proofErr w:type="spellStart"/>
      <w:r w:rsidR="00F240C1">
        <w:rPr>
          <w:color w:val="000000" w:themeColor="text1"/>
          <w:sz w:val="28"/>
          <w:szCs w:val="28"/>
        </w:rPr>
        <w:t>зросла</w:t>
      </w:r>
      <w:proofErr w:type="spellEnd"/>
      <w:r w:rsidR="00F240C1">
        <w:rPr>
          <w:color w:val="000000" w:themeColor="text1"/>
          <w:sz w:val="28"/>
          <w:szCs w:val="28"/>
        </w:rPr>
        <w:t xml:space="preserve"> у 2022 </w:t>
      </w:r>
      <w:proofErr w:type="spellStart"/>
      <w:r w:rsidR="00F240C1">
        <w:rPr>
          <w:color w:val="000000" w:themeColor="text1"/>
          <w:sz w:val="28"/>
          <w:szCs w:val="28"/>
        </w:rPr>
        <w:t>році</w:t>
      </w:r>
      <w:proofErr w:type="spellEnd"/>
      <w:r w:rsidRPr="00FD1607">
        <w:rPr>
          <w:color w:val="000000" w:themeColor="text1"/>
          <w:sz w:val="28"/>
          <w:szCs w:val="28"/>
        </w:rPr>
        <w:t xml:space="preserve">. </w:t>
      </w:r>
      <w:r w:rsidRPr="00FD1607">
        <w:rPr>
          <w:sz w:val="28"/>
          <w:szCs w:val="28"/>
          <w:lang w:val="en-US"/>
        </w:rPr>
        <w:t>https</w:t>
      </w:r>
      <w:r w:rsidRPr="00F240C1">
        <w:rPr>
          <w:sz w:val="28"/>
          <w:szCs w:val="28"/>
        </w:rPr>
        <w:t>://</w:t>
      </w:r>
      <w:proofErr w:type="spellStart"/>
      <w:r w:rsidRPr="00FD1607">
        <w:rPr>
          <w:sz w:val="28"/>
          <w:szCs w:val="28"/>
          <w:lang w:val="en-US"/>
        </w:rPr>
        <w:t>ain</w:t>
      </w:r>
      <w:proofErr w:type="spellEnd"/>
      <w:r w:rsidRPr="00F240C1">
        <w:rPr>
          <w:sz w:val="28"/>
          <w:szCs w:val="28"/>
        </w:rPr>
        <w:t>.</w:t>
      </w:r>
      <w:proofErr w:type="spellStart"/>
      <w:r w:rsidRPr="00FD1607">
        <w:rPr>
          <w:sz w:val="28"/>
          <w:szCs w:val="28"/>
          <w:lang w:val="en-US"/>
        </w:rPr>
        <w:t>ua</w:t>
      </w:r>
      <w:proofErr w:type="spellEnd"/>
      <w:r w:rsidRPr="00F240C1">
        <w:rPr>
          <w:sz w:val="28"/>
          <w:szCs w:val="28"/>
        </w:rPr>
        <w:t>/2022/07/06/</w:t>
      </w:r>
      <w:r w:rsidRPr="00FD1607">
        <w:rPr>
          <w:sz w:val="28"/>
          <w:szCs w:val="28"/>
          <w:lang w:val="en-US"/>
        </w:rPr>
        <w:t>it</w:t>
      </w:r>
      <w:r w:rsidRPr="00F240C1">
        <w:rPr>
          <w:sz w:val="28"/>
          <w:szCs w:val="28"/>
        </w:rPr>
        <w:t>-</w:t>
      </w:r>
      <w:proofErr w:type="spellStart"/>
      <w:r w:rsidRPr="00FD1607">
        <w:rPr>
          <w:sz w:val="28"/>
          <w:szCs w:val="28"/>
          <w:lang w:val="en-US"/>
        </w:rPr>
        <w:t>poslugy</w:t>
      </w:r>
      <w:proofErr w:type="spellEnd"/>
      <w:r w:rsidRPr="00F240C1">
        <w:rPr>
          <w:sz w:val="28"/>
          <w:szCs w:val="28"/>
        </w:rPr>
        <w:t>-</w:t>
      </w:r>
      <w:proofErr w:type="spellStart"/>
      <w:r w:rsidRPr="00FD1607">
        <w:rPr>
          <w:sz w:val="28"/>
          <w:szCs w:val="28"/>
          <w:lang w:val="en-US"/>
        </w:rPr>
        <w:t>yedyna</w:t>
      </w:r>
      <w:proofErr w:type="spellEnd"/>
      <w:r w:rsidRPr="00F240C1">
        <w:rPr>
          <w:sz w:val="28"/>
          <w:szCs w:val="28"/>
        </w:rPr>
        <w:t>-</w:t>
      </w:r>
      <w:proofErr w:type="spellStart"/>
      <w:r w:rsidRPr="00FD1607">
        <w:rPr>
          <w:sz w:val="28"/>
          <w:szCs w:val="28"/>
          <w:lang w:val="en-US"/>
        </w:rPr>
        <w:t>galuz</w:t>
      </w:r>
      <w:proofErr w:type="spellEnd"/>
      <w:r w:rsidRPr="00F240C1">
        <w:rPr>
          <w:sz w:val="28"/>
          <w:szCs w:val="28"/>
        </w:rPr>
        <w:t>-</w:t>
      </w:r>
      <w:proofErr w:type="spellStart"/>
      <w:r w:rsidRPr="00FD1607">
        <w:rPr>
          <w:sz w:val="28"/>
          <w:szCs w:val="28"/>
          <w:lang w:val="en-US"/>
        </w:rPr>
        <w:t>biznesu</w:t>
      </w:r>
      <w:proofErr w:type="spellEnd"/>
      <w:r w:rsidRPr="00F240C1">
        <w:rPr>
          <w:sz w:val="28"/>
          <w:szCs w:val="28"/>
        </w:rPr>
        <w:t>-</w:t>
      </w:r>
      <w:proofErr w:type="spellStart"/>
      <w:r w:rsidRPr="00FD1607">
        <w:rPr>
          <w:sz w:val="28"/>
          <w:szCs w:val="28"/>
          <w:lang w:val="en-US"/>
        </w:rPr>
        <w:t>shho</w:t>
      </w:r>
      <w:proofErr w:type="spellEnd"/>
      <w:r w:rsidRPr="00F240C1">
        <w:rPr>
          <w:sz w:val="28"/>
          <w:szCs w:val="28"/>
        </w:rPr>
        <w:t>-</w:t>
      </w:r>
      <w:proofErr w:type="spellStart"/>
      <w:r w:rsidRPr="00FD1607">
        <w:rPr>
          <w:sz w:val="28"/>
          <w:szCs w:val="28"/>
          <w:lang w:val="en-US"/>
        </w:rPr>
        <w:t>zrosla</w:t>
      </w:r>
      <w:proofErr w:type="spellEnd"/>
      <w:r w:rsidRPr="00F240C1">
        <w:rPr>
          <w:sz w:val="28"/>
          <w:szCs w:val="28"/>
        </w:rPr>
        <w:t>-</w:t>
      </w:r>
      <w:r w:rsidRPr="00FD1607">
        <w:rPr>
          <w:sz w:val="28"/>
          <w:szCs w:val="28"/>
          <w:lang w:val="en-US"/>
        </w:rPr>
        <w:t>u</w:t>
      </w:r>
      <w:r w:rsidRPr="00F240C1">
        <w:rPr>
          <w:sz w:val="28"/>
          <w:szCs w:val="28"/>
        </w:rPr>
        <w:t>-2022-</w:t>
      </w:r>
      <w:proofErr w:type="spellStart"/>
      <w:r w:rsidRPr="00FD1607">
        <w:rPr>
          <w:sz w:val="28"/>
          <w:szCs w:val="28"/>
          <w:lang w:val="en-US"/>
        </w:rPr>
        <w:t>roczi</w:t>
      </w:r>
      <w:proofErr w:type="spellEnd"/>
      <w:r w:rsidRPr="00F240C1">
        <w:rPr>
          <w:sz w:val="28"/>
          <w:szCs w:val="28"/>
        </w:rPr>
        <w:t>/</w:t>
      </w:r>
      <w:r w:rsidRPr="00F240C1">
        <w:rPr>
          <w:color w:val="000000" w:themeColor="text1"/>
          <w:sz w:val="28"/>
          <w:szCs w:val="28"/>
        </w:rPr>
        <w:t>.</w:t>
      </w:r>
      <w:bookmarkEnd w:id="3"/>
    </w:p>
    <w:p w:rsidR="00226979" w:rsidRPr="00FD1607" w:rsidRDefault="00226979" w:rsidP="00B751C6">
      <w:pPr>
        <w:numPr>
          <w:ilvl w:val="0"/>
          <w:numId w:val="5"/>
        </w:numPr>
        <w:tabs>
          <w:tab w:val="left" w:pos="0"/>
          <w:tab w:val="left" w:pos="426"/>
          <w:tab w:val="left" w:pos="540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bookmarkStart w:id="4" w:name="_Ref163569228"/>
      <w:proofErr w:type="spellStart"/>
      <w:r w:rsidRPr="00FD1607">
        <w:rPr>
          <w:sz w:val="28"/>
          <w:szCs w:val="28"/>
          <w:lang w:val="uk-UA"/>
        </w:rPr>
        <w:t>Щитов</w:t>
      </w:r>
      <w:proofErr w:type="spellEnd"/>
      <w:r w:rsidRPr="00FD1607">
        <w:rPr>
          <w:sz w:val="28"/>
          <w:szCs w:val="28"/>
          <w:lang w:val="uk-UA"/>
        </w:rPr>
        <w:t xml:space="preserve"> Д. М. Перспективи </w:t>
      </w:r>
      <w:proofErr w:type="spellStart"/>
      <w:r w:rsidRPr="00FD1607">
        <w:rPr>
          <w:sz w:val="28"/>
          <w:szCs w:val="28"/>
          <w:lang w:val="uk-UA"/>
        </w:rPr>
        <w:t>аутсорсингу</w:t>
      </w:r>
      <w:proofErr w:type="spellEnd"/>
      <w:r w:rsidRPr="00FD1607">
        <w:rPr>
          <w:sz w:val="28"/>
          <w:szCs w:val="28"/>
          <w:lang w:val="uk-UA"/>
        </w:rPr>
        <w:t xml:space="preserve"> ІТ-послуг в Україні // </w:t>
      </w:r>
      <w:r w:rsidRPr="00FD1607">
        <w:rPr>
          <w:color w:val="000000"/>
          <w:sz w:val="28"/>
          <w:szCs w:val="28"/>
          <w:shd w:val="clear" w:color="auto" w:fill="FFFFFF"/>
          <w:lang w:val="uk-UA"/>
        </w:rPr>
        <w:t xml:space="preserve">Економіко-правові та </w:t>
      </w:r>
      <w:proofErr w:type="spellStart"/>
      <w:r w:rsidRPr="00FD1607">
        <w:rPr>
          <w:color w:val="000000"/>
          <w:sz w:val="28"/>
          <w:szCs w:val="28"/>
          <w:shd w:val="clear" w:color="auto" w:fill="FFFFFF"/>
          <w:lang w:val="uk-UA"/>
        </w:rPr>
        <w:t>управлінсько</w:t>
      </w:r>
      <w:proofErr w:type="spellEnd"/>
      <w:r w:rsidR="007C49DC" w:rsidRPr="00FD1607">
        <w:rPr>
          <w:color w:val="000000"/>
          <w:sz w:val="28"/>
          <w:szCs w:val="28"/>
          <w:shd w:val="clear" w:color="auto" w:fill="FFFFFF"/>
          <w:lang w:val="uk-UA"/>
        </w:rPr>
        <w:t>-технологічні виміри сьогодення</w:t>
      </w:r>
      <w:r w:rsidR="00B751C6" w:rsidRPr="00FD1607">
        <w:rPr>
          <w:color w:val="000000"/>
          <w:sz w:val="28"/>
          <w:szCs w:val="28"/>
          <w:shd w:val="clear" w:color="auto" w:fill="FFFFFF"/>
          <w:lang w:val="uk-UA"/>
        </w:rPr>
        <w:t>: Т.</w:t>
      </w:r>
      <w:r w:rsidRPr="00FD1607">
        <w:rPr>
          <w:color w:val="000000"/>
          <w:sz w:val="28"/>
          <w:szCs w:val="28"/>
          <w:shd w:val="clear" w:color="auto" w:fill="FFFFFF"/>
          <w:lang w:val="uk-UA"/>
        </w:rPr>
        <w:t xml:space="preserve"> 3. Дніпро: УМСФ, 2022. С.374-375.</w:t>
      </w:r>
      <w:bookmarkEnd w:id="4"/>
    </w:p>
    <w:p w:rsidR="0010743F" w:rsidRPr="00FD1607" w:rsidRDefault="008F4516" w:rsidP="0010743F">
      <w:pPr>
        <w:numPr>
          <w:ilvl w:val="0"/>
          <w:numId w:val="5"/>
        </w:numPr>
        <w:tabs>
          <w:tab w:val="left" w:pos="0"/>
          <w:tab w:val="left" w:pos="426"/>
          <w:tab w:val="left" w:pos="540"/>
          <w:tab w:val="left" w:pos="851"/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bookmarkStart w:id="5" w:name="_Ref163657113"/>
      <w:proofErr w:type="spellStart"/>
      <w:r w:rsidRPr="00FD1607">
        <w:rPr>
          <w:sz w:val="28"/>
          <w:szCs w:val="28"/>
          <w:lang w:val="uk-UA"/>
        </w:rPr>
        <w:t>Щитов</w:t>
      </w:r>
      <w:proofErr w:type="spellEnd"/>
      <w:r w:rsidRPr="00FD1607">
        <w:rPr>
          <w:sz w:val="28"/>
          <w:szCs w:val="28"/>
          <w:lang w:val="uk-UA"/>
        </w:rPr>
        <w:t xml:space="preserve"> Д. М., </w:t>
      </w:r>
      <w:proofErr w:type="spellStart"/>
      <w:r w:rsidRPr="00FD1607">
        <w:rPr>
          <w:sz w:val="28"/>
          <w:szCs w:val="28"/>
          <w:lang w:val="uk-UA"/>
        </w:rPr>
        <w:t>Мормуль</w:t>
      </w:r>
      <w:proofErr w:type="spellEnd"/>
      <w:r w:rsidRPr="00FD1607">
        <w:rPr>
          <w:sz w:val="28"/>
          <w:szCs w:val="28"/>
          <w:lang w:val="uk-UA"/>
        </w:rPr>
        <w:t xml:space="preserve"> М. Ф., </w:t>
      </w:r>
      <w:proofErr w:type="spellStart"/>
      <w:r w:rsidRPr="00FD1607">
        <w:rPr>
          <w:sz w:val="28"/>
          <w:szCs w:val="28"/>
          <w:lang w:val="uk-UA"/>
        </w:rPr>
        <w:t>Романчук</w:t>
      </w:r>
      <w:proofErr w:type="spellEnd"/>
      <w:r w:rsidRPr="00FD1607">
        <w:rPr>
          <w:sz w:val="28"/>
          <w:szCs w:val="28"/>
          <w:lang w:val="uk-UA"/>
        </w:rPr>
        <w:t xml:space="preserve"> Л. А., </w:t>
      </w:r>
      <w:proofErr w:type="spellStart"/>
      <w:r w:rsidRPr="00FD1607">
        <w:rPr>
          <w:sz w:val="28"/>
          <w:szCs w:val="28"/>
          <w:lang w:val="uk-UA"/>
        </w:rPr>
        <w:t>Щитов</w:t>
      </w:r>
      <w:proofErr w:type="spellEnd"/>
      <w:r w:rsidRPr="00FD1607">
        <w:rPr>
          <w:sz w:val="28"/>
          <w:szCs w:val="28"/>
          <w:lang w:val="uk-UA"/>
        </w:rPr>
        <w:t xml:space="preserve"> О. М., </w:t>
      </w:r>
      <w:proofErr w:type="spellStart"/>
      <w:r w:rsidRPr="00FD1607">
        <w:rPr>
          <w:sz w:val="28"/>
          <w:szCs w:val="28"/>
          <w:lang w:val="uk-UA"/>
        </w:rPr>
        <w:t>Чупілко</w:t>
      </w:r>
      <w:proofErr w:type="spellEnd"/>
      <w:r w:rsidRPr="00FD1607">
        <w:rPr>
          <w:sz w:val="28"/>
          <w:szCs w:val="28"/>
          <w:lang w:val="uk-UA"/>
        </w:rPr>
        <w:t xml:space="preserve"> Т. А. </w:t>
      </w:r>
      <w:proofErr w:type="spellStart"/>
      <w:r w:rsidRPr="00FD1607">
        <w:rPr>
          <w:bCs/>
          <w:iCs/>
          <w:color w:val="000000" w:themeColor="text1"/>
          <w:sz w:val="28"/>
          <w:szCs w:val="28"/>
          <w:lang w:val="uk-UA"/>
        </w:rPr>
        <w:t>Аутсорсинг</w:t>
      </w:r>
      <w:proofErr w:type="spellEnd"/>
      <w:r w:rsidRPr="00FD1607">
        <w:rPr>
          <w:bCs/>
          <w:iCs/>
          <w:color w:val="000000" w:themeColor="text1"/>
          <w:sz w:val="28"/>
          <w:szCs w:val="28"/>
          <w:lang w:val="uk-UA"/>
        </w:rPr>
        <w:t xml:space="preserve"> ІТ-послуг в Україні // </w:t>
      </w:r>
      <w:r w:rsidRPr="00FD1607">
        <w:rPr>
          <w:bCs/>
          <w:color w:val="000000" w:themeColor="text1"/>
          <w:sz w:val="28"/>
          <w:szCs w:val="28"/>
          <w:lang w:val="uk-UA"/>
        </w:rPr>
        <w:t xml:space="preserve">Інформаційні технології та </w:t>
      </w:r>
      <w:r w:rsidR="007C49DC" w:rsidRPr="00FD1607">
        <w:rPr>
          <w:bCs/>
          <w:color w:val="000000" w:themeColor="text1"/>
          <w:sz w:val="28"/>
          <w:szCs w:val="28"/>
          <w:lang w:val="uk-UA"/>
        </w:rPr>
        <w:t>комп’ютерна інженерія. 2022. Том.</w:t>
      </w:r>
      <w:r w:rsidRPr="00FD1607">
        <w:rPr>
          <w:bCs/>
          <w:color w:val="000000" w:themeColor="text1"/>
          <w:sz w:val="28"/>
          <w:szCs w:val="28"/>
          <w:lang w:val="uk-UA"/>
        </w:rPr>
        <w:t xml:space="preserve"> 55. № 3</w:t>
      </w:r>
      <w:r w:rsidRPr="00FD1607">
        <w:rPr>
          <w:color w:val="000000" w:themeColor="text1"/>
          <w:sz w:val="28"/>
          <w:szCs w:val="28"/>
          <w:lang w:val="uk-UA"/>
        </w:rPr>
        <w:t>. С. 85-89.</w:t>
      </w:r>
      <w:bookmarkEnd w:id="5"/>
    </w:p>
    <w:sectPr w:rsidR="0010743F" w:rsidRPr="00FD1607" w:rsidSect="00FD16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8FB"/>
    <w:multiLevelType w:val="hybridMultilevel"/>
    <w:tmpl w:val="CE762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E9A"/>
    <w:multiLevelType w:val="hybridMultilevel"/>
    <w:tmpl w:val="CA522F26"/>
    <w:lvl w:ilvl="0" w:tplc="0F9657F2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544F45"/>
    <w:multiLevelType w:val="hybridMultilevel"/>
    <w:tmpl w:val="C5365C94"/>
    <w:lvl w:ilvl="0" w:tplc="0F9657F2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6B105F"/>
    <w:multiLevelType w:val="hybridMultilevel"/>
    <w:tmpl w:val="6EB44A34"/>
    <w:lvl w:ilvl="0" w:tplc="0F9657F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449F2"/>
    <w:multiLevelType w:val="hybridMultilevel"/>
    <w:tmpl w:val="0F70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1B49"/>
    <w:multiLevelType w:val="hybridMultilevel"/>
    <w:tmpl w:val="DD7A488C"/>
    <w:lvl w:ilvl="0" w:tplc="0F9657F2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7"/>
    <w:rsid w:val="000E5860"/>
    <w:rsid w:val="000F1F75"/>
    <w:rsid w:val="0010743F"/>
    <w:rsid w:val="001431A6"/>
    <w:rsid w:val="00184272"/>
    <w:rsid w:val="001A7D41"/>
    <w:rsid w:val="00204777"/>
    <w:rsid w:val="00226979"/>
    <w:rsid w:val="002470E9"/>
    <w:rsid w:val="002F63D6"/>
    <w:rsid w:val="0031192D"/>
    <w:rsid w:val="0035252D"/>
    <w:rsid w:val="0037691D"/>
    <w:rsid w:val="00395C5F"/>
    <w:rsid w:val="00401948"/>
    <w:rsid w:val="00421BCD"/>
    <w:rsid w:val="004440A0"/>
    <w:rsid w:val="004B24E4"/>
    <w:rsid w:val="00573ADC"/>
    <w:rsid w:val="005B5028"/>
    <w:rsid w:val="005C3677"/>
    <w:rsid w:val="005C5C77"/>
    <w:rsid w:val="00602556"/>
    <w:rsid w:val="00607B6B"/>
    <w:rsid w:val="0062287C"/>
    <w:rsid w:val="006905B3"/>
    <w:rsid w:val="006B579B"/>
    <w:rsid w:val="006D3598"/>
    <w:rsid w:val="006D4D71"/>
    <w:rsid w:val="00715166"/>
    <w:rsid w:val="00717D83"/>
    <w:rsid w:val="00764BD4"/>
    <w:rsid w:val="0078070E"/>
    <w:rsid w:val="00792A38"/>
    <w:rsid w:val="007C49DC"/>
    <w:rsid w:val="007D1E30"/>
    <w:rsid w:val="00856E0C"/>
    <w:rsid w:val="00890D9D"/>
    <w:rsid w:val="008F4516"/>
    <w:rsid w:val="0099106C"/>
    <w:rsid w:val="009A4063"/>
    <w:rsid w:val="00AA66FB"/>
    <w:rsid w:val="00AC4D64"/>
    <w:rsid w:val="00AF4841"/>
    <w:rsid w:val="00B60434"/>
    <w:rsid w:val="00B751C6"/>
    <w:rsid w:val="00BE451B"/>
    <w:rsid w:val="00BF7F25"/>
    <w:rsid w:val="00C005B4"/>
    <w:rsid w:val="00C63165"/>
    <w:rsid w:val="00C73415"/>
    <w:rsid w:val="00C76A71"/>
    <w:rsid w:val="00C93047"/>
    <w:rsid w:val="00CB3C4C"/>
    <w:rsid w:val="00CB4C90"/>
    <w:rsid w:val="00CD07A3"/>
    <w:rsid w:val="00CE15D3"/>
    <w:rsid w:val="00D147A1"/>
    <w:rsid w:val="00D43457"/>
    <w:rsid w:val="00DC485A"/>
    <w:rsid w:val="00DE634A"/>
    <w:rsid w:val="00E76643"/>
    <w:rsid w:val="00E9018D"/>
    <w:rsid w:val="00F22528"/>
    <w:rsid w:val="00F240C1"/>
    <w:rsid w:val="00F81363"/>
    <w:rsid w:val="00F97307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4633"/>
  <w15:chartTrackingRefBased/>
  <w15:docId w15:val="{CE7BFF2C-D1D3-4203-893D-F9125D0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5C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5C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5C5C77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List Paragraph"/>
    <w:basedOn w:val="a"/>
    <w:qFormat/>
    <w:rsid w:val="005C5C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列出段落2"/>
    <w:basedOn w:val="a"/>
    <w:link w:val="ListParagraphChar"/>
    <w:uiPriority w:val="99"/>
    <w:rsid w:val="005C5C77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uk-UA"/>
    </w:rPr>
  </w:style>
  <w:style w:type="character" w:customStyle="1" w:styleId="ListParagraphChar">
    <w:name w:val="List Paragraph Char"/>
    <w:link w:val="21"/>
    <w:uiPriority w:val="99"/>
    <w:locked/>
    <w:rsid w:val="005C5C77"/>
    <w:rPr>
      <w:rFonts w:ascii="Calibri" w:eastAsia="SimSun" w:hAnsi="Calibri" w:cs="Calibri"/>
      <w:lang w:val="uk-UA" w:eastAsia="ru-RU"/>
    </w:rPr>
  </w:style>
  <w:style w:type="character" w:styleId="a5">
    <w:name w:val="Hyperlink"/>
    <w:uiPriority w:val="99"/>
    <w:rsid w:val="00226979"/>
    <w:rPr>
      <w:color w:val="0000FF"/>
      <w:u w:val="single"/>
    </w:rPr>
  </w:style>
  <w:style w:type="character" w:customStyle="1" w:styleId="logo">
    <w:name w:val="logo"/>
    <w:basedOn w:val="a0"/>
    <w:rsid w:val="0022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54;&#1073;&#1088;&#1072;&#1079;&#1086;&#1074;&#1072;&#1085;&#1080;&#1077;\&#1040;&#1052;&#1057;&#1059;\&#1052;&#1080;&#1090;&#1103;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Обсяг наданих IT-послуг, млн грн.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Лист1!$B$3:$B$11</c:f>
              <c:numCache>
                <c:formatCode>General</c:formatCode>
                <c:ptCount val="9"/>
                <c:pt idx="0">
                  <c:v>114193.5</c:v>
                </c:pt>
                <c:pt idx="1">
                  <c:v>129437.7</c:v>
                </c:pt>
                <c:pt idx="2">
                  <c:v>177915.8</c:v>
                </c:pt>
                <c:pt idx="3">
                  <c:v>210032.3</c:v>
                </c:pt>
                <c:pt idx="4">
                  <c:v>228779.8</c:v>
                </c:pt>
                <c:pt idx="5">
                  <c:v>136400</c:v>
                </c:pt>
                <c:pt idx="6">
                  <c:v>168900</c:v>
                </c:pt>
                <c:pt idx="7">
                  <c:v>185600</c:v>
                </c:pt>
                <c:pt idx="8">
                  <c:v>156000</c:v>
                </c:pt>
              </c:numCache>
            </c:numRef>
          </c:xVal>
          <c:yVal>
            <c:numRef>
              <c:f>Лист1!$C$3:$C$11</c:f>
              <c:numCache>
                <c:formatCode>General</c:formatCode>
                <c:ptCount val="9"/>
                <c:pt idx="0">
                  <c:v>21184.9</c:v>
                </c:pt>
                <c:pt idx="1">
                  <c:v>49800</c:v>
                </c:pt>
                <c:pt idx="2">
                  <c:v>95760</c:v>
                </c:pt>
                <c:pt idx="3">
                  <c:v>108800</c:v>
                </c:pt>
                <c:pt idx="4">
                  <c:v>107794.5</c:v>
                </c:pt>
                <c:pt idx="5">
                  <c:v>141780</c:v>
                </c:pt>
                <c:pt idx="6">
                  <c:v>572607</c:v>
                </c:pt>
                <c:pt idx="7">
                  <c:v>262800</c:v>
                </c:pt>
                <c:pt idx="8">
                  <c:v>253930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78C-4197-B101-5D7F31199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3998696"/>
        <c:axId val="404002960"/>
      </c:scatterChart>
      <c:valAx>
        <c:axId val="403998696"/>
        <c:scaling>
          <c:orientation val="minMax"/>
          <c:min val="10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Обсяг державних витрат на освіту, млн грн.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002960"/>
        <c:crosses val="autoZero"/>
        <c:crossBetween val="midCat"/>
      </c:valAx>
      <c:valAx>
        <c:axId val="40400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Обсяг наданих </a:t>
                </a:r>
                <a:r>
                  <a:rPr lang="en-US"/>
                  <a:t>IT-</a:t>
                </a:r>
                <a:r>
                  <a:rPr lang="ru-RU"/>
                  <a:t>послуг, млн грн.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9986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DEB9-95B5-40AD-B5B2-62717453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2024-05-28T14:03:00Z</dcterms:created>
  <dcterms:modified xsi:type="dcterms:W3CDTF">2024-05-31T07:29:00Z</dcterms:modified>
</cp:coreProperties>
</file>