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Стандартний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16" w:lineRule="auto"/>
        <w:jc w:val="right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Щербакова Т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Стандартний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16" w:lineRule="auto"/>
        <w:jc w:val="right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кандидат економічних наук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доцент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,</w:t>
      </w:r>
    </w:p>
    <w:p>
      <w:pPr>
        <w:pStyle w:val="Стандартний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16" w:lineRule="auto"/>
        <w:jc w:val="right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доцент кафедри економічної теорії</w:t>
      </w:r>
    </w:p>
    <w:p>
      <w:pPr>
        <w:pStyle w:val="Стандартний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16" w:lineRule="auto"/>
        <w:jc w:val="right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 конкурентної політики</w:t>
      </w:r>
    </w:p>
    <w:p>
      <w:pPr>
        <w:pStyle w:val="Стандартний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16" w:lineRule="auto"/>
        <w:jc w:val="right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Державний торговельно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економічний університет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Київ</w:t>
      </w:r>
    </w:p>
    <w:p>
      <w:pPr>
        <w:pStyle w:val="Стандартний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16" w:lineRule="auto"/>
        <w:jc w:val="right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ORCID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https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://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orcid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org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/0000-0001-5781-0192</w:t>
      </w:r>
    </w:p>
    <w:p>
      <w:pPr>
        <w:pStyle w:val="Стандартний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16" w:lineRule="auto"/>
        <w:jc w:val="right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Аврамич Я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Стандартний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16" w:lineRule="auto"/>
        <w:jc w:val="right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Студентка</w:t>
      </w:r>
    </w:p>
    <w:p>
      <w:pPr>
        <w:pStyle w:val="Стандартний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16" w:lineRule="auto"/>
        <w:jc w:val="right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Державний торговельно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економічний університет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Київ</w:t>
      </w: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Формування конкурентної культури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Створення конкурентної культури є ключовим стратегічним завданням у рамках розробки конкурентної політики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академічних дослідженнях термін </w:t>
      </w:r>
      <w:r>
        <w:rPr>
          <w:rFonts w:ascii="Times New Roman" w:hAnsi="Times New Roman"/>
          <w:sz w:val="28"/>
          <w:szCs w:val="28"/>
          <w:rtl w:val="0"/>
          <w:lang w:val="ru-RU"/>
        </w:rPr>
        <w:t>"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конкурентна культура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розглядається як важлива складова державної конкурентної стратегії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 відрізняється від антимонопольної політики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яка є більш пасивна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виняток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контролю за економічною концентрацією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тоді як розвиток культури конкуренції виступає як прояв активної конкурентної політики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 [1]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Голота вважає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«конкурентна культура» це поняття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якому відображені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одного боку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ступінь розвитку конкурентних відносин у суспільстві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 іншого боку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рівень поінформованості його членів щодо вигід конкуренції для окремого ринку і економіки в цілому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необхідності і позитивних наслідках застосування антимонопольного законодавства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доцільності утримання від антиконкурентних узгоджених дій</w:t>
      </w:r>
      <w:r>
        <w:rPr>
          <w:rFonts w:ascii="Times New Roman" w:hAnsi="Times New Roman"/>
          <w:sz w:val="28"/>
          <w:szCs w:val="28"/>
          <w:rtl w:val="0"/>
          <w:lang w:val="ru-RU"/>
        </w:rPr>
        <w:t>. [</w:t>
      </w:r>
      <w:r>
        <w:rPr>
          <w:rFonts w:ascii="Times New Roman" w:hAnsi="Times New Roman"/>
          <w:sz w:val="28"/>
          <w:szCs w:val="28"/>
          <w:rtl w:val="0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>]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Застосування  належної поведінки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сприяє чесній конкуренції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передбачає  активну участь бізнесу у ринкових процесах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яка веде до редистрибуції доходів з наступним їх використанням для соціальних цілей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включаючи благодійність і реалізацію соціальних програм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Цей процес сприяє зниженню соціального напруження та створює основу для відповідальних взаємовідносин між виробниками та споживачами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іншого боку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уряд забезпечує створення умов для підтримки чесної конкуренції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вводячи законодавчі та адміністративні заходи для захисту від недобросовісних дій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демпінгу та ворожих посягань з боку бізнес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суб</w:t>
      </w:r>
      <w:r>
        <w:rPr>
          <w:rFonts w:ascii="Times New Roman" w:hAnsi="Times New Roman"/>
          <w:sz w:val="28"/>
          <w:szCs w:val="28"/>
          <w:rtl w:val="0"/>
          <w:lang w:val="ru-RU"/>
        </w:rPr>
        <w:t>'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єктів та інших країн</w:t>
      </w:r>
      <w:r>
        <w:rPr>
          <w:rFonts w:ascii="Times New Roman" w:hAnsi="Times New Roman"/>
          <w:sz w:val="28"/>
          <w:szCs w:val="28"/>
          <w:rtl w:val="0"/>
          <w:lang w:val="ru-RU"/>
        </w:rPr>
        <w:t>. [</w:t>
      </w:r>
      <w:r>
        <w:rPr>
          <w:rFonts w:ascii="Times New Roman" w:hAnsi="Times New Roman"/>
          <w:sz w:val="28"/>
          <w:szCs w:val="28"/>
          <w:rtl w:val="0"/>
        </w:rPr>
        <w:t>3</w:t>
      </w:r>
      <w:r>
        <w:rPr>
          <w:rFonts w:ascii="Times New Roman" w:hAnsi="Times New Roman"/>
          <w:sz w:val="28"/>
          <w:szCs w:val="28"/>
          <w:rtl w:val="0"/>
          <w:lang w:val="ru-RU"/>
        </w:rPr>
        <w:t>]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Конкурентна культура відображає спосіб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яким фірми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споживачі та державний сектор діють у певних ринкових ситуаціях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 на них впливають кілька чинників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включаючи законодавство та його реалізацію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ринкові умови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норми та цінності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основні визначальні фактори реальної інтенсивності конкуренції в економіці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рис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inline distT="0" distB="0" distL="0" distR="0">
            <wp:extent cx="6116320" cy="4493932"/>
            <wp:effectExtent l="0" t="0" r="0" b="0"/>
            <wp:docPr id="1073741825" name="officeArt object" descr="Фокус на зростанні Бажання та можливості бути кращими за конкурентів Фокус на інноваціях та розвитку Пошук інформації, переговори та зміна постачальникі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Фокус на зростанні Бажання та можливості бути кращими за конкурентів Фокус на інноваціях та розвитку Пошук інформації, переговори та зміна постачальників.png" descr="Фокус на зростанні Бажання та можливості бути кращими за конкурентів Фокус на інноваціях та розвитку Пошук інформації, переговори та зміна постачальників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3781" t="2690" r="13781" b="269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4939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Рис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Конкуренція та конкурентна культура </w:t>
      </w: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Джерело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побудовано авторами на основі </w:t>
      </w:r>
      <w:r>
        <w:rPr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Fonts w:ascii="Times New Roman" w:hAnsi="Times New Roman"/>
          <w:sz w:val="28"/>
          <w:szCs w:val="28"/>
          <w:rtl w:val="0"/>
        </w:rPr>
        <w:t>4</w:t>
      </w:r>
      <w:r>
        <w:rPr>
          <w:rFonts w:ascii="Times New Roman" w:hAnsi="Times New Roman"/>
          <w:sz w:val="28"/>
          <w:szCs w:val="28"/>
          <w:rtl w:val="0"/>
          <w:lang w:val="ru-RU"/>
        </w:rPr>
        <w:t>]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Конкуренцію також можна посилити шляхом підвищення впливу державного сектора на конкуренцію та регулювання споживчої політики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збільшує можливості споживачів приймати найкращі рішення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таких умовах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конкурентна поведінка суб’єктів господарювання  охоплює багато аспектів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як фірми дотримуються різних стратегій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 підкріплена відповідною культурою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відіграє ключову роль у стимулюванні економічного зростання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Компанії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дотримуються принципів чесної конкуренції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здатні більш ефективно інвестувати в інновації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оптимізувати виробництво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покращувати якість продукції та послуг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свою чергу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сприяє збільшенню задоволеності споживачів та підвищенню ефективності економіки в цілому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Переваги формування конкурентної культури мають багатогранний вплив на економіку країни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Споживачі отримують більший вибір товарів і послуг вищої якості за конкурентоспроможними цінами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Підприємства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свою чергу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змушені постійно вдосконалюватися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веде до розвитку інновацій та технологічного прогресу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Крім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здорова конкуренція обмежує можливість формування монополій і сприяє рівному доступу до ринку для нових учасників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Вплив конкурентної поведінки на економіку країни можна проаналізувати через зростання ВВП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підвищення продуктивності праці та збільшення інвестицій в дослідження та розвиток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Наприклад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даними Європейської комісії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ефективна антимонопольна політика та захист конкуренції в ЄС сприяли значному зростанню продуктивності в секторах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 було розкрито монопольну поведінку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 [</w:t>
      </w:r>
      <w:r>
        <w:rPr>
          <w:rFonts w:ascii="Times New Roman" w:hAnsi="Times New Roman"/>
          <w:sz w:val="28"/>
          <w:szCs w:val="28"/>
          <w:rtl w:val="0"/>
        </w:rPr>
        <w:t>5</w:t>
      </w:r>
      <w:r>
        <w:rPr>
          <w:rFonts w:ascii="Times New Roman" w:hAnsi="Times New Roman"/>
          <w:sz w:val="28"/>
          <w:szCs w:val="28"/>
          <w:rtl w:val="0"/>
          <w:lang w:val="ru-RU"/>
        </w:rPr>
        <w:t>]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міжнародному рівні прикладом впровадження принципів  конкурентної культури може слугувати досвід Сполучених Штатів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 антимонопольне законодавство та активні дії Федеральної торговельної комісії сприяють підтримці конкурентного середовища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водночас заохочуючи інновації та технологічний розвиток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Європейському Союзі Єврокомісія активно працює над захистом конкуренції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втілюючи політики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не тільки запобігають формуванню монополій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але й сприяють екологічним інноваціям та соціальній відповідальності бізнесу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Вплив конкурентної поведінки на економіку країни також виявляється через збільшення прозорості ринку та підвищення довіри споживачів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свою чергу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стимулює економічну активність та залучення інвестицій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є важливим для розвитку країни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Один з яскравих прикладів активного формування конкурентної культури можна знайти в діяльності Японії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 </w:t>
      </w:r>
      <w:r>
        <w:rPr>
          <w:rFonts w:ascii="Times New Roman" w:hAnsi="Times New Roman"/>
          <w:sz w:val="28"/>
          <w:szCs w:val="28"/>
          <w:rtl w:val="0"/>
          <w:lang w:val="ru-RU"/>
        </w:rPr>
        <w:t>2000-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роках Японія вжила ряд заходів для зміцнення своєї конкурентної політики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зокрема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через реформування Японської комісії справедливої торгівлі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(JFTC).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 включало в себе активніше інформування громадськості та бізнесу про важливість дотримання антимонопольного законодавства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також введення більш жорстких покарань за порушення конкурентного законодавства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даними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JFTC,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кількість зловживань домінуючим становищем на ринку та антиконкурентних угод значно знизилася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сприяло покращенню інноваційної активності та ефективності японської економіки загалом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 [</w:t>
      </w:r>
      <w:r>
        <w:rPr>
          <w:rFonts w:ascii="Times New Roman" w:hAnsi="Times New Roman"/>
          <w:sz w:val="28"/>
          <w:szCs w:val="28"/>
          <w:rtl w:val="0"/>
        </w:rPr>
        <w:t>5</w:t>
      </w:r>
      <w:r>
        <w:rPr>
          <w:rFonts w:ascii="Times New Roman" w:hAnsi="Times New Roman"/>
          <w:sz w:val="28"/>
          <w:szCs w:val="28"/>
          <w:rtl w:val="0"/>
          <w:lang w:val="ru-RU"/>
        </w:rPr>
        <w:t>]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Залучення до діалогу між державними органами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бізнесом та громадськістю також є ключовим для розробки ефективних механізмів контролю та підтримки здорової конкуренції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Взаємодія та обмін досвідом між країнами дозволяє враховувати різні підходи та знаходити оптимальні рішення для власної економічної системи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Крім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формування конкурентної культури на міжнародному рівні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участю міжнародних організацій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таких як Всесвітня торговельна організація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 Організація економічного співробітництва та розвитку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ОЕСР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забезпечує створення загальноприйнятих стандартів та правил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сприяють стабілізації глобального економічного середовища та підтримці відкритої конкуренції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чином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конкурентна культура стає важливим інструментом не тільки для захисту ринкової економіки від антиконкурентних практик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але й для забезпечення умов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яких інновації та стале підприємництво можуть процвітати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 відображається у зростанні продуктивності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підвищенні якості товарів та послуг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також у загальному економічному зростанні та покращенні добробуту суспільства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Враховуючи вищевикладене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активне формування та підтримка конкурентної культури є критично важливими для будь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якої країни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яка прагне до створення відкритої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інноваційної та сталої економіки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здатної адаптуватися до викликів сучасного світу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Список використаних джерел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Стандартний A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rFonts w:ascii="Times New Roman" w:hAnsi="Times New Roman" w:hint="default"/>
          <w:rtl w:val="0"/>
          <w:lang w:val="ru-RU"/>
        </w:rPr>
      </w:pPr>
      <w:r>
        <w:rPr>
          <w:rFonts w:ascii="Times New Roman" w:hAnsi="Times New Roman" w:hint="default"/>
          <w:rtl w:val="0"/>
          <w:lang w:val="ru-RU"/>
        </w:rPr>
        <w:t>Ф</w:t>
      </w:r>
      <w:r>
        <w:rPr>
          <w:rFonts w:ascii="Times New Roman" w:hAnsi="Times New Roman" w:hint="default"/>
          <w:rtl w:val="0"/>
        </w:rPr>
        <w:t>илюк</w:t>
      </w:r>
      <w:r>
        <w:rPr>
          <w:rFonts w:ascii="Times New Roman" w:hAnsi="Times New Roman" w:hint="default"/>
          <w:rtl w:val="0"/>
          <w:lang w:val="ru-RU"/>
        </w:rPr>
        <w:t xml:space="preserve"> 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Конкурентна культура в системі заходів конкурентної політики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Економічна теорія</w:t>
      </w:r>
      <w:r>
        <w:rPr>
          <w:rFonts w:ascii="Times New Roman" w:hAnsi="Times New Roman"/>
          <w:rtl w:val="0"/>
          <w:lang w:val="ru-RU"/>
        </w:rPr>
        <w:t>, 2011</w:t>
      </w:r>
      <w:r>
        <w:rPr>
          <w:rFonts w:ascii="Times New Roman" w:hAnsi="Times New Roman"/>
          <w:rtl w:val="0"/>
        </w:rPr>
        <w:t xml:space="preserve">, 3.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>. 46-58.</w:t>
      </w:r>
    </w:p>
    <w:p>
      <w:pPr>
        <w:pStyle w:val="Стандартний A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Шульц С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</w:t>
      </w:r>
      <w:r>
        <w:rPr>
          <w:rFonts w:ascii="Times New Roman" w:hAnsi="Times New Roman" w:hint="default"/>
          <w:rtl w:val="0"/>
        </w:rPr>
        <w:t>собливості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регулювання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економічної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концентрації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Україні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</w:t>
      </w:r>
      <w:r>
        <w:rPr>
          <w:rFonts w:ascii="Times New Roman" w:hAnsi="Times New Roman"/>
          <w:rtl w:val="0"/>
          <w:lang w:val="ru-RU"/>
        </w:rPr>
        <w:t>Economics and Law, 2008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/>
          <w:rtl w:val="0"/>
          <w:lang w:val="ru-RU"/>
        </w:rPr>
        <w:t>1 (20)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/>
          <w:rtl w:val="0"/>
          <w:lang w:val="ru-RU"/>
        </w:rPr>
        <w:t>80-83.</w:t>
      </w:r>
      <w:r>
        <w:rPr>
          <w:rFonts w:ascii="Times New Roman" w:hAnsi="Times New Roman" w:hint="default"/>
          <w:rtl w:val="0"/>
          <w:lang w:val="ru-RU"/>
        </w:rPr>
        <w:t> </w:t>
      </w:r>
    </w:p>
    <w:p>
      <w:pPr>
        <w:pStyle w:val="Стандартний A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 xml:space="preserve">Голота 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Особливості конкурентних відносин України в умовах глобалізації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Вісник Чернівецького торговельно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економічного інституту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Економічні науки</w:t>
      </w:r>
      <w:r>
        <w:rPr>
          <w:rFonts w:ascii="Times New Roman" w:hAnsi="Times New Roman"/>
          <w:rtl w:val="0"/>
          <w:lang w:val="ru-RU"/>
        </w:rPr>
        <w:t>, 2013, 3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/>
          <w:rtl w:val="0"/>
          <w:lang w:val="ru-RU"/>
        </w:rPr>
        <w:t>58-64.</w:t>
      </w:r>
      <w:r>
        <w:rPr>
          <w:rFonts w:ascii="Times New Roman" w:hAnsi="Times New Roman" w:hint="default"/>
          <w:rtl w:val="0"/>
          <w:lang w:val="ru-RU"/>
        </w:rPr>
        <w:t> </w:t>
      </w:r>
    </w:p>
    <w:p>
      <w:pPr>
        <w:pStyle w:val="Стандартний A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Лепак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</w:t>
      </w:r>
      <w:r>
        <w:rPr>
          <w:rFonts w:ascii="Times New Roman" w:hAnsi="Times New Roman" w:hint="default"/>
          <w:rtl w:val="0"/>
        </w:rPr>
        <w:t>онкурентна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культура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системі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добробуту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нації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Економіка та суспільство</w:t>
      </w:r>
      <w:r>
        <w:rPr>
          <w:rFonts w:ascii="Times New Roman" w:hAnsi="Times New Roman"/>
          <w:rtl w:val="0"/>
          <w:lang w:val="ru-RU"/>
        </w:rPr>
        <w:t>, 2021, 29.</w:t>
      </w:r>
    </w:p>
    <w:p>
      <w:pPr>
        <w:pStyle w:val="Стандартний A"/>
        <w:numPr>
          <w:ilvl w:val="0"/>
          <w:numId w:val="2"/>
        </w:numPr>
        <w:bidi w:val="0"/>
        <w:spacing w:before="0"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Стойко І</w:t>
      </w:r>
      <w:r>
        <w:rPr>
          <w:rFonts w:ascii="Times New Roman" w:hAnsi="Times New Roman"/>
          <w:rtl w:val="0"/>
        </w:rPr>
        <w:t>.,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>Гецько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Вплив культури на розвиток корпорацій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на прикладі корпорацій США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Японії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країн Західної Європи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Ігор Стойко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Василь Гецько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Соціально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економічні проблеми і держава</w:t>
      </w:r>
      <w:r>
        <w:rPr>
          <w:rFonts w:ascii="Times New Roman" w:hAnsi="Times New Roman"/>
          <w:rtl w:val="0"/>
          <w:lang w:val="ru-RU"/>
        </w:rPr>
        <w:t>. 2010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/>
          <w:rtl w:val="0"/>
          <w:lang w:val="ru-RU"/>
        </w:rPr>
        <w:t>1 (3).</w:t>
      </w:r>
      <w:r>
        <w:rPr>
          <w:rFonts w:ascii="Times New Roman" w:hAnsi="Times New Roman" w:hint="default"/>
          <w:rtl w:val="0"/>
        </w:rPr>
        <w:t xml:space="preserve"> С</w:t>
      </w:r>
      <w:r>
        <w:rPr>
          <w:rFonts w:ascii="Times New Roman" w:hAnsi="Times New Roman"/>
          <w:rtl w:val="0"/>
        </w:rPr>
        <w:t>. 109-118.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Імпортований стиль 1"/>
  </w:abstractNum>
  <w:abstractNum w:abstractNumId="1">
    <w:multiLevelType w:val="hybridMultilevel"/>
    <w:styleLink w:val="Імпортований стиль 1"/>
    <w:lvl w:ilvl="0">
      <w:start w:val="1"/>
      <w:numFmt w:val="decimal"/>
      <w:suff w:val="tab"/>
      <w:lvlText w:val="%1."/>
      <w:lvlJc w:val="left"/>
      <w:pPr>
        <w:tabs>
          <w:tab w:val="left" w:pos="102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  <w:tab w:val="left" w:pos="102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015" w:hanging="5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  <w:tab w:val="left" w:pos="1025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729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  <w:tab w:val="left" w:pos="102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455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  <w:tab w:val="left" w:pos="1025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175" w:hanging="6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  <w:tab w:val="left" w:pos="102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889" w:hanging="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  <w:tab w:val="left" w:pos="102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461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  <w:tab w:val="left" w:pos="102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33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  <w:tab w:val="left" w:pos="102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6049" w:hanging="5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андартний A">
    <w:name w:val="Стандартний A"/>
    <w:next w:val="Стандартний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16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Імпортований стиль 1">
    <w:name w:val="Імпортовани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