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2574A" w14:textId="77777777" w:rsidR="00DD489F" w:rsidRPr="00DD489F" w:rsidRDefault="00DD489F" w:rsidP="00DD489F">
      <w:pPr>
        <w:spacing w:after="0" w:line="360" w:lineRule="auto"/>
        <w:ind w:firstLine="851"/>
        <w:jc w:val="right"/>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uk-UA" w:eastAsia="en-US"/>
          <w14:ligatures w14:val="none"/>
        </w:rPr>
        <w:t>Сбехат Ільяс Німер, студент магістратури</w:t>
      </w:r>
    </w:p>
    <w:p w14:paraId="551B98FC" w14:textId="77777777" w:rsidR="00DD489F" w:rsidRPr="00DD489F" w:rsidRDefault="00DD489F" w:rsidP="00DD489F">
      <w:pPr>
        <w:spacing w:after="0" w:line="360" w:lineRule="auto"/>
        <w:ind w:firstLine="851"/>
        <w:jc w:val="right"/>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uk-UA" w:eastAsia="en-US"/>
          <w14:ligatures w14:val="none"/>
        </w:rPr>
        <w:t>Державний торговельно-економічний університет, Київ</w:t>
      </w:r>
    </w:p>
    <w:p w14:paraId="1EC8D2FE" w14:textId="77777777" w:rsidR="00DD489F" w:rsidRPr="00DD489F" w:rsidRDefault="00DD489F" w:rsidP="00DD489F">
      <w:pPr>
        <w:spacing w:after="0" w:line="360" w:lineRule="auto"/>
        <w:jc w:val="right"/>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uk-UA" w:eastAsia="en-US"/>
          <w14:ligatures w14:val="none"/>
        </w:rPr>
        <w:t>Науковий керівник: Жибак Андрій Анатолійович, асистент кафедри міжнародного, цивільного та комерційного права, Державний торговельно-економічний університет, Київ</w:t>
      </w:r>
    </w:p>
    <w:p w14:paraId="19530CC7" w14:textId="77777777" w:rsidR="00DD489F" w:rsidRPr="00DD489F" w:rsidRDefault="00DD489F" w:rsidP="00DD489F">
      <w:pPr>
        <w:spacing w:after="0" w:line="360" w:lineRule="auto"/>
        <w:ind w:firstLine="567"/>
        <w:jc w:val="center"/>
        <w:rPr>
          <w:rFonts w:ascii="Times New Roman" w:eastAsiaTheme="minorHAnsi" w:hAnsi="Times New Roman" w:cs="Times New Roman"/>
          <w:b/>
          <w:kern w:val="0"/>
          <w:sz w:val="28"/>
          <w:szCs w:val="22"/>
          <w:lang w:val="uk-UA" w:eastAsia="en-US"/>
          <w14:ligatures w14:val="none"/>
        </w:rPr>
      </w:pPr>
      <w:r w:rsidRPr="00DD489F">
        <w:rPr>
          <w:rFonts w:ascii="Times New Roman" w:eastAsiaTheme="minorHAnsi" w:hAnsi="Times New Roman" w:cs="Times New Roman"/>
          <w:b/>
          <w:kern w:val="0"/>
          <w:sz w:val="28"/>
          <w:szCs w:val="22"/>
          <w:lang w:val="uk-UA" w:eastAsia="en-US"/>
          <w14:ligatures w14:val="none"/>
        </w:rPr>
        <w:t>МІЖНАРОДНО-ПРАВОВІ МЕХАНІЗМИ СТРАХУВАННЯ ВОЄННИХ РИЗИКІВ ТА ГАРАНТУВАННЯ ІНВЕСТИЦІЙ В КОНТЕКСТІ ЗАЛУЧЕННЯ ПРИВАТНОГО КАПІТАЛУ У ВІДБУДОВУ УКРАЇНИ</w:t>
      </w:r>
    </w:p>
    <w:p w14:paraId="221DF21B" w14:textId="77777777" w:rsidR="00DD489F" w:rsidRPr="00DD489F" w:rsidRDefault="00DD489F" w:rsidP="00DD489F">
      <w:pPr>
        <w:spacing w:after="0" w:line="360" w:lineRule="auto"/>
        <w:ind w:firstLine="851"/>
        <w:jc w:val="both"/>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en-GB" w:eastAsia="en-US"/>
          <w14:ligatures w14:val="none"/>
        </w:rPr>
        <w:t>Формування передбачуваного інвестиційного середовища є однією з ключових передумов економічної стабільності, розвитку національних ринків і залучення капіталу до стратегічно важливих секторів. Центральним елементом цього процесу виступає відповідальність держави за дотримання зобов’язань, що випливають із інвестиційних договорів, оскільки саме вона демонструє реальний рівень правової культури, дисципліни та інституційної надійності. Порушення державою умов таких угод спричинює не лише фінансові втрати, але й масштабні репутаційні ризики, які здатні зупинити довгострокові інвестиційні потоки, ускладнити доступ до міжнародних ринків капіталу й підвищити вартість зовнішніх запозичень</w:t>
      </w:r>
      <w:r w:rsidRPr="00DD489F">
        <w:rPr>
          <w:rFonts w:ascii="Times New Roman" w:eastAsiaTheme="minorHAnsi" w:hAnsi="Times New Roman" w:cs="Times New Roman"/>
          <w:kern w:val="0"/>
          <w:sz w:val="28"/>
          <w:szCs w:val="22"/>
          <w:lang w:val="uk-UA" w:eastAsia="en-US"/>
          <w14:ligatures w14:val="none"/>
        </w:rPr>
        <w:t xml:space="preserve"> [1].</w:t>
      </w:r>
    </w:p>
    <w:p w14:paraId="71DDB80B" w14:textId="77777777" w:rsidR="00DD489F" w:rsidRPr="00DD489F" w:rsidRDefault="00DD489F" w:rsidP="00DD489F">
      <w:pPr>
        <w:spacing w:after="0" w:line="360" w:lineRule="auto"/>
        <w:ind w:firstLine="851"/>
        <w:jc w:val="both"/>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en-GB" w:eastAsia="en-US"/>
          <w14:ligatures w14:val="none"/>
        </w:rPr>
        <w:t xml:space="preserve">Система договірних зобов’язань між державою та інвестором має комплексний характер, оскільки поєднує норми внутрішнього права, положення міжнародних договорів і стандарти захисту, які сформувалися в межах глобальної арбітражної практики. Ключовими серед них є принципи справедливого та рівного ставлення, недопущення експропріації без адекватної компенсації, забезпечення повного захисту й безпеки, дотримання стабільності регуляторних умов. Відступ держави від цих стандартів розглядається міжнародними арбітражами як порушення її зобов’язань, що тягне відповідальність у формі суттєвих компенсаційних виплат. Для держав, які прагнуть інтеграції у світову фінансову систему, належне виконання </w:t>
      </w:r>
      <w:r w:rsidRPr="00DD489F">
        <w:rPr>
          <w:rFonts w:ascii="Times New Roman" w:eastAsiaTheme="minorHAnsi" w:hAnsi="Times New Roman" w:cs="Times New Roman"/>
          <w:kern w:val="0"/>
          <w:sz w:val="28"/>
          <w:szCs w:val="22"/>
          <w:lang w:val="en-GB" w:eastAsia="en-US"/>
          <w14:ligatures w14:val="none"/>
        </w:rPr>
        <w:lastRenderedPageBreak/>
        <w:t>інвестиційних договорів стає маркером цивілізованості та партнерської надійності</w:t>
      </w:r>
      <w:r w:rsidRPr="00DD489F">
        <w:rPr>
          <w:rFonts w:ascii="Times New Roman" w:eastAsiaTheme="minorHAnsi" w:hAnsi="Times New Roman" w:cs="Times New Roman"/>
          <w:kern w:val="0"/>
          <w:sz w:val="28"/>
          <w:szCs w:val="22"/>
          <w:lang w:val="uk-UA" w:eastAsia="en-US"/>
          <w14:ligatures w14:val="none"/>
        </w:rPr>
        <w:t xml:space="preserve"> 4].</w:t>
      </w:r>
    </w:p>
    <w:p w14:paraId="61EA6DB6" w14:textId="77777777" w:rsidR="00DD489F" w:rsidRPr="00DD489F" w:rsidRDefault="00DD489F" w:rsidP="00DD489F">
      <w:pPr>
        <w:spacing w:after="0" w:line="360" w:lineRule="auto"/>
        <w:ind w:firstLine="851"/>
        <w:jc w:val="both"/>
        <w:rPr>
          <w:rFonts w:ascii="Times New Roman" w:eastAsiaTheme="minorHAnsi" w:hAnsi="Times New Roman" w:cs="Times New Roman"/>
          <w:kern w:val="0"/>
          <w:sz w:val="28"/>
          <w:szCs w:val="22"/>
          <w:lang w:val="en-GB" w:eastAsia="en-US"/>
          <w14:ligatures w14:val="none"/>
        </w:rPr>
      </w:pPr>
      <w:r w:rsidRPr="00DD489F">
        <w:rPr>
          <w:rFonts w:ascii="Times New Roman" w:eastAsiaTheme="minorHAnsi" w:hAnsi="Times New Roman" w:cs="Times New Roman"/>
          <w:kern w:val="0"/>
          <w:sz w:val="28"/>
          <w:szCs w:val="22"/>
          <w:lang w:val="en-GB" w:eastAsia="en-US"/>
          <w14:ligatures w14:val="none"/>
        </w:rPr>
        <w:t>Водночас забезпечення належного рівня гарантій для іноземних інвесторів вимагає постійної модернізації нормативної бази. Сучасна економіка характеризується високою динамічністю, тому будь-яка невизначеність у правовому полі або непослідовність державної політики миттєво знижують інвестиційну привабливість. Необхідними є механізми, які мінімізують ризики дискреційних управлінських рішень, підвищують прозорість регуляцій і забезпечують інвестору можливість прогнозувати економічні наслідки своєї діяльності. Одним із таких інструментів є стабілізаційні положення в угодах, що фіксують сталі податкові та правові умови протягом усього інвестиційного циклу.</w:t>
      </w:r>
    </w:p>
    <w:p w14:paraId="797FD8B9" w14:textId="77777777" w:rsidR="00DD489F" w:rsidRPr="00DD489F" w:rsidRDefault="00DD489F" w:rsidP="00DD489F">
      <w:pPr>
        <w:spacing w:after="0" w:line="360" w:lineRule="auto"/>
        <w:ind w:firstLine="851"/>
        <w:jc w:val="both"/>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en-GB" w:eastAsia="en-US"/>
          <w14:ligatures w14:val="none"/>
        </w:rPr>
        <w:t>Окрему увагу слід приділити доступу до міжнародного арбітражу, який залишається найбільш ефективним інструментом захисту прав інвесторів, особливо в юрисдикціях зі складною судовою системою. Проте ефективність арбітражу залежить від готовності держави виконувати арбітражні рішення без затримок і додаткових процедур. Саме тому важливо посилювати національні механізми імплементації рішень ICSID, UNCITRAL та інших міжнародних інституцій</w:t>
      </w:r>
      <w:r w:rsidRPr="00DD489F">
        <w:rPr>
          <w:rFonts w:ascii="Times New Roman" w:eastAsiaTheme="minorHAnsi" w:hAnsi="Times New Roman" w:cs="Times New Roman"/>
          <w:kern w:val="0"/>
          <w:sz w:val="28"/>
          <w:szCs w:val="22"/>
          <w:lang w:val="uk-UA" w:eastAsia="en-US"/>
          <w14:ligatures w14:val="none"/>
        </w:rPr>
        <w:t xml:space="preserve"> [5].</w:t>
      </w:r>
    </w:p>
    <w:p w14:paraId="38AA29D8" w14:textId="77777777" w:rsidR="00DD489F" w:rsidRPr="00DD489F" w:rsidRDefault="00DD489F" w:rsidP="00DD489F">
      <w:pPr>
        <w:spacing w:after="0" w:line="360" w:lineRule="auto"/>
        <w:ind w:firstLine="851"/>
        <w:jc w:val="both"/>
        <w:rPr>
          <w:rFonts w:ascii="Times New Roman" w:eastAsiaTheme="minorHAnsi" w:hAnsi="Times New Roman" w:cs="Times New Roman"/>
          <w:kern w:val="0"/>
          <w:sz w:val="28"/>
          <w:szCs w:val="22"/>
          <w:lang w:val="uk-UA" w:eastAsia="en-US"/>
          <w14:ligatures w14:val="none"/>
        </w:rPr>
      </w:pPr>
      <w:r w:rsidRPr="00DD489F">
        <w:rPr>
          <w:rFonts w:ascii="Times New Roman" w:eastAsiaTheme="minorHAnsi" w:hAnsi="Times New Roman" w:cs="Times New Roman"/>
          <w:kern w:val="0"/>
          <w:sz w:val="28"/>
          <w:szCs w:val="22"/>
          <w:lang w:val="en-GB" w:eastAsia="en-US"/>
          <w14:ligatures w14:val="none"/>
        </w:rPr>
        <w:t xml:space="preserve">Гарантії іноземним інвесторам потребують комплексного оновлення з огляду на сучасні виклики </w:t>
      </w:r>
      <w:r w:rsidRPr="00DD489F">
        <w:rPr>
          <w:rFonts w:ascii="Times New Roman" w:eastAsiaTheme="minorHAnsi" w:hAnsi="Times New Roman" w:cs="Times New Roman"/>
          <w:kern w:val="0"/>
          <w:sz w:val="28"/>
          <w:szCs w:val="22"/>
          <w:lang w:val="uk-UA" w:eastAsia="en-US"/>
          <w14:ligatures w14:val="none"/>
        </w:rPr>
        <w:t>–</w:t>
      </w:r>
      <w:r w:rsidRPr="00DD489F">
        <w:rPr>
          <w:rFonts w:ascii="Times New Roman" w:eastAsiaTheme="minorHAnsi" w:hAnsi="Times New Roman" w:cs="Times New Roman"/>
          <w:kern w:val="0"/>
          <w:sz w:val="28"/>
          <w:szCs w:val="22"/>
          <w:lang w:val="en-GB" w:eastAsia="en-US"/>
          <w14:ligatures w14:val="none"/>
        </w:rPr>
        <w:t xml:space="preserve"> воєнні ризики, трансформацію фінансових ринків, екологічні вимоги, цифровізацію та переорієнтацію глобальних інвестиційних потоків. Актуальними є пропозиції щодо створення спеціалізованих інвестиційних юрисдикцій, запровадження автоматизованих процедур розгляду спорів, цифрових реєстрів зобов’язань держави, єдиних стандартів оцінки збитків та розширення можливостей страхування політичних ризиків за участю держави. Такі кроки забезпечать інвесторам відчуття стабільності та прогнозованості, а державі </w:t>
      </w:r>
      <w:r w:rsidRPr="00DD489F">
        <w:rPr>
          <w:rFonts w:ascii="Times New Roman" w:eastAsiaTheme="minorHAnsi" w:hAnsi="Times New Roman" w:cs="Times New Roman"/>
          <w:kern w:val="0"/>
          <w:sz w:val="28"/>
          <w:szCs w:val="22"/>
          <w:lang w:val="uk-UA" w:eastAsia="en-US"/>
          <w14:ligatures w14:val="none"/>
        </w:rPr>
        <w:t>–</w:t>
      </w:r>
      <w:r w:rsidRPr="00DD489F">
        <w:rPr>
          <w:rFonts w:ascii="Times New Roman" w:eastAsiaTheme="minorHAnsi" w:hAnsi="Times New Roman" w:cs="Times New Roman"/>
          <w:kern w:val="0"/>
          <w:sz w:val="28"/>
          <w:szCs w:val="22"/>
          <w:lang w:val="en-GB" w:eastAsia="en-US"/>
          <w14:ligatures w14:val="none"/>
        </w:rPr>
        <w:t xml:space="preserve"> приплив капіталу та підвищення конкурентоспроможності на міжнародних ринках</w:t>
      </w:r>
      <w:r w:rsidRPr="00DD489F">
        <w:rPr>
          <w:rFonts w:ascii="Times New Roman" w:eastAsiaTheme="minorHAnsi" w:hAnsi="Times New Roman" w:cs="Times New Roman"/>
          <w:kern w:val="0"/>
          <w:sz w:val="28"/>
          <w:szCs w:val="22"/>
          <w:lang w:val="uk-UA" w:eastAsia="en-US"/>
          <w14:ligatures w14:val="none"/>
        </w:rPr>
        <w:t xml:space="preserve"> [7].</w:t>
      </w:r>
    </w:p>
    <w:p w14:paraId="731407E0" w14:textId="77777777" w:rsidR="00DD489F" w:rsidRPr="00DD489F" w:rsidRDefault="00DD489F" w:rsidP="00DD489F">
      <w:pPr>
        <w:spacing w:after="0" w:line="360" w:lineRule="auto"/>
        <w:ind w:firstLine="851"/>
        <w:jc w:val="both"/>
        <w:rPr>
          <w:rFonts w:ascii="Times New Roman" w:eastAsiaTheme="minorHAnsi" w:hAnsi="Times New Roman" w:cs="Times New Roman"/>
          <w:kern w:val="0"/>
          <w:sz w:val="28"/>
          <w:szCs w:val="22"/>
          <w:lang w:val="en-GB" w:eastAsia="en-US"/>
          <w14:ligatures w14:val="none"/>
        </w:rPr>
      </w:pPr>
      <w:r w:rsidRPr="00DD489F">
        <w:rPr>
          <w:rFonts w:ascii="Times New Roman" w:eastAsiaTheme="minorHAnsi" w:hAnsi="Times New Roman" w:cs="Times New Roman"/>
          <w:kern w:val="0"/>
          <w:sz w:val="28"/>
          <w:szCs w:val="22"/>
          <w:lang w:val="en-GB" w:eastAsia="en-US"/>
          <w14:ligatures w14:val="none"/>
        </w:rPr>
        <w:lastRenderedPageBreak/>
        <w:t>Відповідальність держави за порушення інвестиційних договорів повинна розглядатися не як загроза бюджетним видаткам, а як природний елемент партнерства між державним сектором і бізнесом. Вона підтверджує готовність держави дотримуватися взятих зобов’язань та приймати наслідки власних рішень. Лише за умов поєднання чіткої відповідальності та сучасних гарантій інвестор отримує реальні механізми захисту, що, у свою чергу, формує підґрунтя для сталого економічного зростання.</w:t>
      </w:r>
    </w:p>
    <w:p w14:paraId="627F165B" w14:textId="77777777" w:rsidR="00DD489F" w:rsidRPr="00DD489F" w:rsidRDefault="00DD489F" w:rsidP="00DD489F">
      <w:pPr>
        <w:spacing w:after="0" w:line="360" w:lineRule="auto"/>
        <w:ind w:firstLine="567"/>
        <w:jc w:val="center"/>
        <w:rPr>
          <w:rFonts w:ascii="Times New Roman" w:eastAsiaTheme="minorHAnsi" w:hAnsi="Times New Roman" w:cs="Times New Roman"/>
          <w:b/>
          <w:kern w:val="0"/>
          <w:szCs w:val="22"/>
          <w:lang w:val="uk-UA" w:eastAsia="en-US"/>
          <w14:ligatures w14:val="none"/>
        </w:rPr>
      </w:pPr>
      <w:r w:rsidRPr="00DD489F">
        <w:rPr>
          <w:rFonts w:ascii="Times New Roman" w:eastAsiaTheme="minorHAnsi" w:hAnsi="Times New Roman" w:cs="Times New Roman"/>
          <w:b/>
          <w:kern w:val="0"/>
          <w:szCs w:val="22"/>
          <w:lang w:val="uk-UA" w:eastAsia="en-US"/>
          <w14:ligatures w14:val="none"/>
        </w:rPr>
        <w:t>Література</w:t>
      </w:r>
    </w:p>
    <w:p w14:paraId="4089962C"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1. Про режим іноземного інвестування : Закон України від 19.03.1996 № 93/96-ВР. URL: </w:t>
      </w:r>
      <w:hyperlink r:id="rId4" w:history="1">
        <w:r w:rsidRPr="00DD489F">
          <w:rPr>
            <w:rFonts w:asciiTheme="majorBidi" w:eastAsiaTheme="minorHAnsi" w:hAnsiTheme="majorBidi" w:cstheme="majorBidi"/>
            <w:color w:val="467886" w:themeColor="hyperlink"/>
            <w:kern w:val="0"/>
            <w:u w:val="single"/>
            <w:lang w:val="uk-UA" w:eastAsia="en-US"/>
            <w14:ligatures w14:val="none"/>
          </w:rPr>
          <w:t>https://zakon.rada.gov.ua/laws/show/93/96-%D0%B2%D1%80</w:t>
        </w:r>
      </w:hyperlink>
      <w:r w:rsidRPr="00DD489F">
        <w:rPr>
          <w:rFonts w:asciiTheme="majorBidi" w:eastAsiaTheme="minorHAnsi" w:hAnsiTheme="majorBidi" w:cstheme="majorBidi"/>
          <w:kern w:val="0"/>
          <w:lang w:val="uk-UA" w:eastAsia="en-US"/>
          <w14:ligatures w14:val="none"/>
        </w:rPr>
        <w:t xml:space="preserve"> </w:t>
      </w:r>
    </w:p>
    <w:p w14:paraId="7952EC26"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2. Про захист іноземних інвестицій в Україні : Закон України від 10.09.1991 № 1540-XII. URL: </w:t>
      </w:r>
      <w:hyperlink r:id="rId5" w:history="1">
        <w:r w:rsidRPr="00DD489F">
          <w:rPr>
            <w:rFonts w:asciiTheme="majorBidi" w:eastAsiaTheme="minorHAnsi" w:hAnsiTheme="majorBidi" w:cstheme="majorBidi"/>
            <w:color w:val="467886" w:themeColor="hyperlink"/>
            <w:kern w:val="0"/>
            <w:u w:val="single"/>
            <w:lang w:val="uk-UA" w:eastAsia="en-US"/>
            <w14:ligatures w14:val="none"/>
          </w:rPr>
          <w:t>https://zakon.rada.gov.ua/laws/show/1540-12</w:t>
        </w:r>
      </w:hyperlink>
      <w:r w:rsidRPr="00DD489F">
        <w:rPr>
          <w:rFonts w:asciiTheme="majorBidi" w:eastAsiaTheme="minorHAnsi" w:hAnsiTheme="majorBidi" w:cstheme="majorBidi"/>
          <w:kern w:val="0"/>
          <w:lang w:val="uk-UA" w:eastAsia="en-US"/>
          <w14:ligatures w14:val="none"/>
        </w:rPr>
        <w:t xml:space="preserve"> </w:t>
      </w:r>
    </w:p>
    <w:p w14:paraId="7D3A69A8"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3. Конвенція про порядок вирішення інвестиційних спорів між державами та іноземними 4. особами : Верховна Рада України, 1994. URL: </w:t>
      </w:r>
      <w:hyperlink r:id="rId6" w:history="1">
        <w:r w:rsidRPr="00DD489F">
          <w:rPr>
            <w:rFonts w:asciiTheme="majorBidi" w:eastAsiaTheme="minorHAnsi" w:hAnsiTheme="majorBidi" w:cstheme="majorBidi"/>
            <w:color w:val="467886" w:themeColor="hyperlink"/>
            <w:kern w:val="0"/>
            <w:u w:val="single"/>
            <w:lang w:val="uk-UA" w:eastAsia="en-US"/>
            <w14:ligatures w14:val="none"/>
          </w:rPr>
          <w:t>https://zakon.rada.gov.ua/laws/show/995_200</w:t>
        </w:r>
      </w:hyperlink>
      <w:r w:rsidRPr="00DD489F">
        <w:rPr>
          <w:rFonts w:asciiTheme="majorBidi" w:eastAsiaTheme="minorHAnsi" w:hAnsiTheme="majorBidi" w:cstheme="majorBidi"/>
          <w:kern w:val="0"/>
          <w:lang w:val="uk-UA" w:eastAsia="en-US"/>
          <w14:ligatures w14:val="none"/>
        </w:rPr>
        <w:t xml:space="preserve"> </w:t>
      </w:r>
    </w:p>
    <w:p w14:paraId="44F45BF9"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4. Кравчук С. М. Відповідальність держави за порушення інвестиційних договорів // Вісник Національного університету «Києво-Могилянська академія». – 2020. – № 12. – С. 45–58. URL: </w:t>
      </w:r>
      <w:hyperlink r:id="rId7" w:history="1">
        <w:r w:rsidRPr="00DD489F">
          <w:rPr>
            <w:rFonts w:asciiTheme="majorBidi" w:eastAsiaTheme="minorHAnsi" w:hAnsiTheme="majorBidi" w:cstheme="majorBidi"/>
            <w:color w:val="467886" w:themeColor="hyperlink"/>
            <w:kern w:val="0"/>
            <w:u w:val="single"/>
            <w:lang w:val="uk-UA" w:eastAsia="en-US"/>
            <w14:ligatures w14:val="none"/>
          </w:rPr>
          <w:t>http://ekmair.ukma.edu.ua/handle/123456789/2345</w:t>
        </w:r>
      </w:hyperlink>
      <w:r w:rsidRPr="00DD489F">
        <w:rPr>
          <w:rFonts w:asciiTheme="majorBidi" w:eastAsiaTheme="minorHAnsi" w:hAnsiTheme="majorBidi" w:cstheme="majorBidi"/>
          <w:kern w:val="0"/>
          <w:lang w:val="uk-UA" w:eastAsia="en-US"/>
          <w14:ligatures w14:val="none"/>
        </w:rPr>
        <w:t xml:space="preserve"> </w:t>
      </w:r>
    </w:p>
    <w:p w14:paraId="6D7948BB"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5. Погорілий О. В. Гарантії іноземним інвесторам: проблеми та перспективи // Журнал міжнародного права. – 2019. – № 3. – С. 78–91. URL: </w:t>
      </w:r>
      <w:hyperlink r:id="rId8" w:history="1">
        <w:r w:rsidRPr="00DD489F">
          <w:rPr>
            <w:rFonts w:asciiTheme="majorBidi" w:eastAsiaTheme="minorHAnsi" w:hAnsiTheme="majorBidi" w:cstheme="majorBidi"/>
            <w:color w:val="467886" w:themeColor="hyperlink"/>
            <w:kern w:val="0"/>
            <w:u w:val="single"/>
            <w:lang w:val="uk-UA" w:eastAsia="en-US"/>
            <w14:ligatures w14:val="none"/>
          </w:rPr>
          <w:t>https://journals.kiev.ua/mpl/article/view/5678</w:t>
        </w:r>
      </w:hyperlink>
      <w:r w:rsidRPr="00DD489F">
        <w:rPr>
          <w:rFonts w:asciiTheme="majorBidi" w:eastAsiaTheme="minorHAnsi" w:hAnsiTheme="majorBidi" w:cstheme="majorBidi"/>
          <w:kern w:val="0"/>
          <w:lang w:val="uk-UA" w:eastAsia="en-US"/>
          <w14:ligatures w14:val="none"/>
        </w:rPr>
        <w:t xml:space="preserve"> </w:t>
      </w:r>
    </w:p>
    <w:p w14:paraId="60E80FA3"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6. Бондаренко І. І. Інвестиційне право України: сучасні тенденції та виклики. – Київ: Наукова думка, 2021. URL: </w:t>
      </w:r>
      <w:hyperlink r:id="rId9" w:history="1">
        <w:r w:rsidRPr="00DD489F">
          <w:rPr>
            <w:rFonts w:asciiTheme="majorBidi" w:eastAsiaTheme="minorHAnsi" w:hAnsiTheme="majorBidi" w:cstheme="majorBidi"/>
            <w:color w:val="467886" w:themeColor="hyperlink"/>
            <w:kern w:val="0"/>
            <w:u w:val="single"/>
            <w:lang w:val="uk-UA" w:eastAsia="en-US"/>
            <w14:ligatures w14:val="none"/>
          </w:rPr>
          <w:t>http://ndu.edu.ua/investlaw</w:t>
        </w:r>
      </w:hyperlink>
      <w:r w:rsidRPr="00DD489F">
        <w:rPr>
          <w:rFonts w:asciiTheme="majorBidi" w:eastAsiaTheme="minorHAnsi" w:hAnsiTheme="majorBidi" w:cstheme="majorBidi"/>
          <w:kern w:val="0"/>
          <w:lang w:val="uk-UA" w:eastAsia="en-US"/>
          <w14:ligatures w14:val="none"/>
        </w:rPr>
        <w:t xml:space="preserve"> </w:t>
      </w:r>
    </w:p>
    <w:p w14:paraId="41ACDB06" w14:textId="77777777" w:rsidR="00DD489F" w:rsidRPr="00DD489F" w:rsidRDefault="00DD489F" w:rsidP="00DD489F">
      <w:pPr>
        <w:spacing w:after="0" w:line="360" w:lineRule="auto"/>
        <w:rPr>
          <w:rFonts w:asciiTheme="majorBidi" w:eastAsiaTheme="minorHAnsi" w:hAnsiTheme="majorBidi" w:cstheme="majorBidi"/>
          <w:kern w:val="0"/>
          <w:lang w:val="uk-UA" w:eastAsia="en-US"/>
          <w14:ligatures w14:val="none"/>
        </w:rPr>
      </w:pPr>
      <w:r w:rsidRPr="00DD489F">
        <w:rPr>
          <w:rFonts w:asciiTheme="majorBidi" w:eastAsiaTheme="minorHAnsi" w:hAnsiTheme="majorBidi" w:cstheme="majorBidi"/>
          <w:kern w:val="0"/>
          <w:lang w:val="uk-UA" w:eastAsia="en-US"/>
          <w14:ligatures w14:val="none"/>
        </w:rPr>
        <w:t xml:space="preserve">7. Рибак Т. О. Міжнародні інвестиційні угоди і практика арбітражного захисту // Право і сучасність. – 2022. – № 4. – С. 102–117. URL: </w:t>
      </w:r>
      <w:hyperlink r:id="rId10" w:history="1">
        <w:r w:rsidRPr="00DD489F">
          <w:rPr>
            <w:rFonts w:asciiTheme="majorBidi" w:eastAsiaTheme="minorHAnsi" w:hAnsiTheme="majorBidi" w:cstheme="majorBidi"/>
            <w:color w:val="467886" w:themeColor="hyperlink"/>
            <w:kern w:val="0"/>
            <w:u w:val="single"/>
            <w:lang w:val="uk-UA" w:eastAsia="en-US"/>
            <w14:ligatures w14:val="none"/>
          </w:rPr>
          <w:t>https://www.law-journal.ua/article/view/8910</w:t>
        </w:r>
      </w:hyperlink>
      <w:r w:rsidRPr="00DD489F">
        <w:rPr>
          <w:rFonts w:asciiTheme="majorBidi" w:eastAsiaTheme="minorHAnsi" w:hAnsiTheme="majorBidi" w:cstheme="majorBidi"/>
          <w:kern w:val="0"/>
          <w:lang w:val="uk-UA" w:eastAsia="en-US"/>
          <w14:ligatures w14:val="none"/>
        </w:rPr>
        <w:t xml:space="preserve"> </w:t>
      </w:r>
    </w:p>
    <w:p w14:paraId="3DDB5031" w14:textId="1F5B43DB" w:rsidR="00DD489F" w:rsidRPr="002C49CC" w:rsidRDefault="00DD489F">
      <w:pPr>
        <w:rPr>
          <w:lang w:val="uk-UA"/>
        </w:rPr>
      </w:pPr>
      <w:r w:rsidRPr="00DD489F">
        <w:rPr>
          <w:rFonts w:asciiTheme="majorBidi" w:eastAsiaTheme="minorHAnsi" w:hAnsiTheme="majorBidi" w:cstheme="majorBidi"/>
          <w:kern w:val="0"/>
          <w:lang w:val="uk-UA" w:eastAsia="en-US"/>
          <w14:ligatures w14:val="none"/>
        </w:rPr>
        <w:t xml:space="preserve">8. Даниленко В. П. Механізми захисту прав іноземних інвесторів в Україні // Юридичний вісник України. – 2020. – № 7. – С. 33–49. URL: </w:t>
      </w:r>
      <w:hyperlink r:id="rId11" w:history="1">
        <w:r w:rsidRPr="00DD489F">
          <w:rPr>
            <w:rFonts w:asciiTheme="majorBidi" w:eastAsiaTheme="minorHAnsi" w:hAnsiTheme="majorBidi" w:cstheme="majorBidi"/>
            <w:color w:val="467886" w:themeColor="hyperlink"/>
            <w:kern w:val="0"/>
            <w:u w:val="single"/>
            <w:lang w:val="uk-UA" w:eastAsia="en-US"/>
            <w14:ligatures w14:val="none"/>
          </w:rPr>
          <w:t>https://juris.in.ua/article/view/1122</w:t>
        </w:r>
      </w:hyperlink>
    </w:p>
    <w:sectPr w:rsidR="00DD489F" w:rsidRPr="002C49CC" w:rsidSect="002C49C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9F"/>
    <w:rsid w:val="001B00A4"/>
    <w:rsid w:val="002C49CC"/>
    <w:rsid w:val="00DD489F"/>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decimalSymbol w:val=","/>
  <w:listSeparator w:val=";"/>
  <w14:docId w14:val="7599D35F"/>
  <w15:chartTrackingRefBased/>
  <w15:docId w15:val="{F2E383D6-D4E4-5747-AF45-CC1FAC9A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48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48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48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48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8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8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8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89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D489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D489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D489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D489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D48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89F"/>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8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89F"/>
    <w:rPr>
      <w:rFonts w:eastAsiaTheme="majorEastAsia" w:cstheme="majorBidi"/>
      <w:color w:val="272727" w:themeColor="text1" w:themeTint="D8"/>
    </w:rPr>
  </w:style>
  <w:style w:type="paragraph" w:styleId="a3">
    <w:name w:val="Title"/>
    <w:basedOn w:val="a"/>
    <w:next w:val="a"/>
    <w:link w:val="a4"/>
    <w:uiPriority w:val="10"/>
    <w:qFormat/>
    <w:rsid w:val="00DD4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8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8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89F"/>
    <w:pPr>
      <w:spacing w:before="160"/>
      <w:jc w:val="center"/>
    </w:pPr>
    <w:rPr>
      <w:i/>
      <w:iCs/>
      <w:color w:val="404040" w:themeColor="text1" w:themeTint="BF"/>
    </w:rPr>
  </w:style>
  <w:style w:type="character" w:customStyle="1" w:styleId="22">
    <w:name w:val="Цитата 2 Знак"/>
    <w:basedOn w:val="a0"/>
    <w:link w:val="21"/>
    <w:uiPriority w:val="29"/>
    <w:rsid w:val="00DD489F"/>
    <w:rPr>
      <w:i/>
      <w:iCs/>
      <w:color w:val="404040" w:themeColor="text1" w:themeTint="BF"/>
    </w:rPr>
  </w:style>
  <w:style w:type="paragraph" w:styleId="a7">
    <w:name w:val="List Paragraph"/>
    <w:basedOn w:val="a"/>
    <w:uiPriority w:val="34"/>
    <w:qFormat/>
    <w:rsid w:val="00DD489F"/>
    <w:pPr>
      <w:ind w:left="720"/>
      <w:contextualSpacing/>
    </w:pPr>
  </w:style>
  <w:style w:type="character" w:styleId="a8">
    <w:name w:val="Intense Emphasis"/>
    <w:basedOn w:val="a0"/>
    <w:uiPriority w:val="21"/>
    <w:qFormat/>
    <w:rsid w:val="00DD489F"/>
    <w:rPr>
      <w:i/>
      <w:iCs/>
      <w:color w:val="0F4761" w:themeColor="accent1" w:themeShade="BF"/>
    </w:rPr>
  </w:style>
  <w:style w:type="paragraph" w:styleId="a9">
    <w:name w:val="Intense Quote"/>
    <w:basedOn w:val="a"/>
    <w:next w:val="a"/>
    <w:link w:val="aa"/>
    <w:uiPriority w:val="30"/>
    <w:qFormat/>
    <w:rsid w:val="00DD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D489F"/>
    <w:rPr>
      <w:i/>
      <w:iCs/>
      <w:color w:val="0F4761" w:themeColor="accent1" w:themeShade="BF"/>
    </w:rPr>
  </w:style>
  <w:style w:type="character" w:styleId="ab">
    <w:name w:val="Intense Reference"/>
    <w:basedOn w:val="a0"/>
    <w:uiPriority w:val="32"/>
    <w:qFormat/>
    <w:rsid w:val="00DD489F"/>
    <w:rPr>
      <w:b/>
      <w:bCs/>
      <w:smallCaps/>
      <w:color w:val="0F4761" w:themeColor="accent1" w:themeShade="BF"/>
      <w:spacing w:val="5"/>
    </w:rPr>
  </w:style>
  <w:style w:type="character" w:styleId="ac">
    <w:name w:val="Hyperlink"/>
    <w:basedOn w:val="a0"/>
    <w:uiPriority w:val="99"/>
    <w:unhideWhenUsed/>
    <w:rsid w:val="00DD48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kiev.ua/mpl/article/view/56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kmair.ukma.edu.ua/handle/123456789/234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995_200" TargetMode="External"/><Relationship Id="rId11" Type="http://schemas.openxmlformats.org/officeDocument/2006/relationships/hyperlink" Target="https://juris.in.ua/article/view/1122" TargetMode="External"/><Relationship Id="rId5" Type="http://schemas.openxmlformats.org/officeDocument/2006/relationships/hyperlink" Target="https://zakon.rada.gov.ua/laws/show/1540-12" TargetMode="External"/><Relationship Id="rId10" Type="http://schemas.openxmlformats.org/officeDocument/2006/relationships/hyperlink" Target="https://www.law-journal.ua/article/view/8910" TargetMode="External"/><Relationship Id="rId4" Type="http://schemas.openxmlformats.org/officeDocument/2006/relationships/hyperlink" Target="https://zakon.rada.gov.ua/laws/show/93/96-%D0%B2%D1%80" TargetMode="External"/><Relationship Id="rId9" Type="http://schemas.openxmlformats.org/officeDocument/2006/relationships/hyperlink" Target="http://ndu.edu.ua/investl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Sbehat</dc:creator>
  <cp:keywords/>
  <dc:description/>
  <cp:lastModifiedBy>Elias Sbehat</cp:lastModifiedBy>
  <cp:revision>2</cp:revision>
  <dcterms:created xsi:type="dcterms:W3CDTF">2025-12-03T16:38:00Z</dcterms:created>
  <dcterms:modified xsi:type="dcterms:W3CDTF">2025-12-03T16:38:00Z</dcterms:modified>
</cp:coreProperties>
</file>