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D0A29" w:rsidRPr="00935DDC" w:rsidRDefault="00935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35D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Котух Є.В., </w:t>
      </w:r>
      <w:proofErr w:type="spellStart"/>
      <w:r w:rsidRPr="00935DDC">
        <w:rPr>
          <w:rFonts w:ascii="Times New Roman" w:eastAsia="Times New Roman" w:hAnsi="Times New Roman" w:cs="Times New Roman"/>
          <w:sz w:val="24"/>
          <w:szCs w:val="24"/>
          <w:lang w:val="uk-UA"/>
        </w:rPr>
        <w:t>д.н</w:t>
      </w:r>
      <w:proofErr w:type="spellEnd"/>
      <w:r w:rsidRPr="00935D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з </w:t>
      </w:r>
      <w:proofErr w:type="spellStart"/>
      <w:r w:rsidRPr="00935DDC">
        <w:rPr>
          <w:rFonts w:ascii="Times New Roman" w:eastAsia="Times New Roman" w:hAnsi="Times New Roman" w:cs="Times New Roman"/>
          <w:sz w:val="24"/>
          <w:szCs w:val="24"/>
          <w:lang w:val="uk-UA"/>
        </w:rPr>
        <w:t>держ.упр</w:t>
      </w:r>
      <w:proofErr w:type="spellEnd"/>
      <w:r w:rsidRPr="00935D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Pr="00935DDC">
        <w:rPr>
          <w:rFonts w:ascii="Times New Roman" w:eastAsia="Times New Roman" w:hAnsi="Times New Roman" w:cs="Times New Roman"/>
          <w:sz w:val="24"/>
          <w:szCs w:val="24"/>
          <w:lang w:val="uk-UA"/>
        </w:rPr>
        <w:t>к.т.н</w:t>
      </w:r>
      <w:proofErr w:type="spellEnd"/>
      <w:r w:rsidRPr="00935D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., доцент, </w:t>
      </w:r>
    </w:p>
    <w:p w14:paraId="00000002" w14:textId="77777777" w:rsidR="002D0A29" w:rsidRPr="00935DDC" w:rsidRDefault="00935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35D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професор кафедри </w:t>
      </w:r>
      <w:proofErr w:type="spellStart"/>
      <w:r w:rsidRPr="00935DDC">
        <w:rPr>
          <w:rFonts w:ascii="Times New Roman" w:eastAsia="Times New Roman" w:hAnsi="Times New Roman" w:cs="Times New Roman"/>
          <w:sz w:val="24"/>
          <w:szCs w:val="24"/>
          <w:lang w:val="uk-UA"/>
        </w:rPr>
        <w:t>кібербезпеки</w:t>
      </w:r>
      <w:proofErr w:type="spellEnd"/>
      <w:r w:rsidRPr="00935D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00000003" w14:textId="77777777" w:rsidR="002D0A29" w:rsidRPr="00935DDC" w:rsidRDefault="00935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35D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НТУ «Дніпровська Політехніка, </w:t>
      </w:r>
    </w:p>
    <w:p w14:paraId="00000004" w14:textId="77777777" w:rsidR="002D0A29" w:rsidRPr="00935DDC" w:rsidRDefault="00935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35D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ORCID: </w:t>
      </w:r>
      <w:hyperlink r:id="rId6">
        <w:r w:rsidRPr="00935DDC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/>
          </w:rPr>
          <w:t>https://orcid.org/0000-0003-4997-620X</w:t>
        </w:r>
      </w:hyperlink>
      <w:r w:rsidRPr="00935D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00000005" w14:textId="77777777" w:rsidR="002D0A29" w:rsidRPr="00935DDC" w:rsidRDefault="00935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35D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Рябокінь М.В., </w:t>
      </w:r>
      <w:proofErr w:type="spellStart"/>
      <w:r w:rsidRPr="00935DDC">
        <w:rPr>
          <w:rFonts w:ascii="Times New Roman" w:eastAsia="Times New Roman" w:hAnsi="Times New Roman" w:cs="Times New Roman"/>
          <w:sz w:val="24"/>
          <w:szCs w:val="24"/>
          <w:lang w:val="uk-UA"/>
        </w:rPr>
        <w:t>к.е.н</w:t>
      </w:r>
      <w:proofErr w:type="spellEnd"/>
      <w:r w:rsidRPr="00935D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., доцент, </w:t>
      </w:r>
    </w:p>
    <w:p w14:paraId="00000006" w14:textId="77777777" w:rsidR="002D0A29" w:rsidRPr="00935DDC" w:rsidRDefault="00935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35D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проректор з навчально-методичної роботи, </w:t>
      </w:r>
    </w:p>
    <w:p w14:paraId="00000007" w14:textId="77777777" w:rsidR="002D0A29" w:rsidRPr="00935DDC" w:rsidRDefault="00935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35D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Київський інститут бізнесу та технологій, </w:t>
      </w:r>
    </w:p>
    <w:p w14:paraId="00000008" w14:textId="77777777" w:rsidR="002D0A29" w:rsidRPr="00935DDC" w:rsidRDefault="00935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35D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ORCID: </w:t>
      </w:r>
      <w:hyperlink r:id="rId7">
        <w:r w:rsidRPr="00935DDC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/>
          </w:rPr>
          <w:t>https://orcid.org/0000-0002-6724-9498</w:t>
        </w:r>
      </w:hyperlink>
      <w:r w:rsidRPr="00935D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00000009" w14:textId="77777777" w:rsidR="002D0A29" w:rsidRPr="00935DDC" w:rsidRDefault="00935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35DDC">
        <w:rPr>
          <w:rFonts w:ascii="Times New Roman" w:eastAsia="Times New Roman" w:hAnsi="Times New Roman" w:cs="Times New Roman"/>
          <w:sz w:val="24"/>
          <w:szCs w:val="24"/>
          <w:lang w:val="uk-UA"/>
        </w:rPr>
        <w:t>Блюма О.В., директор приватного підп</w:t>
      </w:r>
      <w:r w:rsidRPr="00935D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риємства </w:t>
      </w:r>
    </w:p>
    <w:p w14:paraId="0000000A" w14:textId="77777777" w:rsidR="002D0A29" w:rsidRPr="00935DDC" w:rsidRDefault="00935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35D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«Інформаційно-аналітичний центр комп’ютерних </w:t>
      </w:r>
    </w:p>
    <w:p w14:paraId="0000000B" w14:textId="77777777" w:rsidR="002D0A29" w:rsidRPr="00935DDC" w:rsidRDefault="00935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35DDC">
        <w:rPr>
          <w:rFonts w:ascii="Times New Roman" w:eastAsia="Times New Roman" w:hAnsi="Times New Roman" w:cs="Times New Roman"/>
          <w:sz w:val="24"/>
          <w:szCs w:val="24"/>
          <w:lang w:val="uk-UA"/>
        </w:rPr>
        <w:t>фінансових технологій «Фінтех-Черкаси»</w:t>
      </w:r>
    </w:p>
    <w:p w14:paraId="0000000C" w14:textId="77777777" w:rsidR="002D0A29" w:rsidRPr="00935DDC" w:rsidRDefault="00935DDC">
      <w:pPr>
        <w:spacing w:after="0" w:line="240" w:lineRule="auto"/>
        <w:jc w:val="right"/>
        <w:rPr>
          <w:u w:val="single"/>
          <w:lang w:val="uk-UA"/>
        </w:rPr>
      </w:pPr>
      <w:r w:rsidRPr="00935D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ORCID: </w:t>
      </w:r>
      <w:hyperlink r:id="rId8">
        <w:r w:rsidRPr="00935DDC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/>
          </w:rPr>
          <w:t>https://orcid.org/0000-0003-1725-064X</w:t>
        </w:r>
      </w:hyperlink>
      <w:r w:rsidRPr="00935DD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14:paraId="0000000D" w14:textId="77777777" w:rsidR="002D0A29" w:rsidRPr="00935DDC" w:rsidRDefault="002D0A29">
      <w:pPr>
        <w:spacing w:line="360" w:lineRule="auto"/>
        <w:rPr>
          <w:lang w:val="uk-UA"/>
        </w:rPr>
      </w:pPr>
    </w:p>
    <w:p w14:paraId="0000000E" w14:textId="77777777" w:rsidR="002D0A29" w:rsidRPr="00935DDC" w:rsidRDefault="00935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35D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АНАЛІЗ НОРМАТИВНО-ПРАВОВОГО ЗАБЕЗПЕЧЕННЯ УПРАВЛІННЯ ЛІКВІ</w:t>
      </w:r>
      <w:r w:rsidRPr="00935D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ДНІСТЮ МІСЦЕВИХ БЮДЖЕТІВ ТЕРИТОРІАЛЬНИХ ГРОМАД</w:t>
      </w:r>
    </w:p>
    <w:p w14:paraId="0000000F" w14:textId="77777777" w:rsidR="002D0A29" w:rsidRPr="00935DDC" w:rsidRDefault="002D0A29">
      <w:pPr>
        <w:spacing w:after="0" w:line="360" w:lineRule="auto"/>
        <w:ind w:firstLine="709"/>
        <w:jc w:val="both"/>
        <w:rPr>
          <w:lang w:val="uk-UA"/>
        </w:rPr>
      </w:pPr>
    </w:p>
    <w:p w14:paraId="00000010" w14:textId="77777777" w:rsidR="002D0A29" w:rsidRPr="00935DDC" w:rsidRDefault="00935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>Ефективне управління ліквідністю державного та місцевих бюджетів є надзвичайно важливими для макроекономічної стабільності країни, забезпечення стабільності та ефективного функціонування місцевих органів влад</w:t>
      </w: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>и, підвищення довіри інвесторів і міжнародних партнерів.</w:t>
      </w:r>
    </w:p>
    <w:p w14:paraId="00000011" w14:textId="77777777" w:rsidR="002D0A29" w:rsidRPr="00935DDC" w:rsidRDefault="00935D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heading=h.gjdgxs" w:colFirst="0" w:colLast="0"/>
      <w:bookmarkEnd w:id="0"/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>Проблеми недостатньо ефективного механізму прогнозування руху коштів та стану ліквідності на рахунках Державного казначейства України  підштовхували до перегляду практики управління ліквідністю. Місц</w:t>
      </w: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>еві фінансові орг</w:t>
      </w:r>
      <w:bookmarkStart w:id="1" w:name="_GoBack"/>
      <w:bookmarkEnd w:id="1"/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>ани зіткнулися з численними викликами, включаючи:</w:t>
      </w:r>
    </w:p>
    <w:p w14:paraId="00000012" w14:textId="77777777" w:rsidR="002D0A29" w:rsidRPr="00935DDC" w:rsidRDefault="00935DD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нестабільність надходжень протягом бюджетного року, що ускладнює планування видатків; </w:t>
      </w:r>
    </w:p>
    <w:p w14:paraId="00000013" w14:textId="1B58D5F2" w:rsidR="002D0A29" w:rsidRPr="00935DDC" w:rsidRDefault="00935DD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>недосконалість системи прогнозування руху коштів на місцевому рівні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0000014" w14:textId="77777777" w:rsidR="002D0A29" w:rsidRPr="00935DDC" w:rsidRDefault="00935DD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>затримки в отриманні трансфертів,</w:t>
      </w: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 створює проблеми з ліквідністю для місцевих бюджетів;</w:t>
      </w:r>
    </w:p>
    <w:p w14:paraId="00000015" w14:textId="77777777" w:rsidR="002D0A29" w:rsidRPr="00935DDC" w:rsidRDefault="00935DD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законодавчі обмеження щодо можливостей розміщення тимчасово вільних бюджетних коштів, які зменшують гнучкість управління ліквідністю.</w:t>
      </w:r>
    </w:p>
    <w:p w14:paraId="00000016" w14:textId="77777777" w:rsidR="002D0A29" w:rsidRPr="00935DDC" w:rsidRDefault="00935D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>В 2016 році Міністерством фінансів України була розроблена та представлена концепція створення інтегрованої інформаційно-аналітичної системи «Прозорий бюджет»[1].</w:t>
      </w:r>
      <w:r w:rsidRPr="00935D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Концепції є створення системи, яка </w:t>
      </w:r>
      <w:proofErr w:type="spellStart"/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>надасть</w:t>
      </w:r>
      <w:proofErr w:type="spellEnd"/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доступ громадянам до інформації про публічні</w:t>
      </w: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кошти на всіх стадіях планування та використання, забезпечить актуальність, достовірність та </w:t>
      </w: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унікальність інформації, комфортність використання аналітичних даних, простоту та зрозумілість поданої інформації, логічність та продуманість, а також надання інс</w:t>
      </w: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>трументарію з підвищення якості управління бюджетами та управління ліквідністю.</w:t>
      </w:r>
    </w:p>
    <w:p w14:paraId="00000017" w14:textId="77777777" w:rsidR="002D0A29" w:rsidRPr="00935DDC" w:rsidRDefault="00935D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листопаді 2020 року Міністерство фінансів України ініціювало зустріч з суб’єктами, відповідальними за рух коштів через єдиний казначейський рахунок (ЄКР) щодо питань запуску електронної системи управління ліквідністю, яка створить можливості для держави </w:t>
      </w: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подальшому максимально точно здійснювати прогнозування залишків коштів на ЄКР. Одним з відповідальних розпорядників коштів ЄКР є місцеві фінансові органи територіальних громад (далі - МФО ТГ). </w:t>
      </w:r>
    </w:p>
    <w:p w14:paraId="00000018" w14:textId="77777777" w:rsidR="002D0A29" w:rsidRPr="00935DDC" w:rsidRDefault="00935D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>Серед багатьох питань було обговорено можливості напрацюванн</w:t>
      </w: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>я спільного проекту нормативно-правового забезпечення, яке буде регулювати питання постачання інформації від розпорядників коштів (адміністраторів податків і зборів) до електронної системи. Було розглянуто сильні і слабкі сторони різних підходів до системи</w:t>
      </w: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збору інформації, необхідної для прогнозування руху коштів через ЄКР, та рівня її деталізації. У результаті розгляду питань, було визначено оптимальну модель побудови системи збору інформації, яку буде прийнято за основу при доопрацюванні вказаного вище п</w:t>
      </w: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>орядку. Зокрема, було досягнуто домовленостей щодо подальшого залучення усіх відповідальних виконавців бюджетних програм державного бюджету, які зможуть покращити якість прогнозування стану ліквідності у сфері державних фінансів [2].</w:t>
      </w:r>
    </w:p>
    <w:p w14:paraId="00000019" w14:textId="77777777" w:rsidR="002D0A29" w:rsidRPr="00935DDC" w:rsidRDefault="00935D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>В 2020-2021 роках Міні</w:t>
      </w: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>стерство фінансів анонсувало введення в експлуатацію Системи управління місцевими фінансами «LOGICA» та затверджено наказ №488 від 30.08.2021 року “Про затвердження Порядку обміну інформацією між Міністерством фінансів України та учасниками бюджетного проц</w:t>
      </w: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есу на місцевому рівні” (далі - Порядок обміну). Зокрема порядком обміну передбачено за допомогою інтеграції з ІАС «LOGICA», через відкритий програмний API-інтерфейс, місцеві фінансові органи та інші учасники </w:t>
      </w: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бюджетного процесу зможуть аналізувати та прогн</w:t>
      </w: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>озувати стан ліквідності місцевого бюджету на відповідну дату [3].</w:t>
      </w:r>
    </w:p>
    <w:p w14:paraId="0000001A" w14:textId="77777777" w:rsidR="002D0A29" w:rsidRPr="00935DDC" w:rsidRDefault="00935D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>Розпорядженням №1375-р від 4.11.2020 Кабінет Міністрів України схвалив Концепцію з управління ліквідністю на 2020-2023 роки та затвердив план заходів з реалізації концепції з управління лік</w:t>
      </w: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>відністю на 2020-2023 роки [4]. Метою Концепції є впровадження ефективного механізму управління ліквідністю ЄКР. Для досягнення поставленої мети та завдань необхідним є активне долучення, серед інших, органів місцевого самоуправління.</w:t>
      </w:r>
    </w:p>
    <w:p w14:paraId="0000001B" w14:textId="77777777" w:rsidR="002D0A29" w:rsidRPr="00935DDC" w:rsidRDefault="00935D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>Впровадження ефективн</w:t>
      </w: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>ого механізму управління ліквідністю здійснюється шляхом реалізації ряду заходів в два етапи. </w:t>
      </w:r>
    </w:p>
    <w:p w14:paraId="0000001C" w14:textId="77777777" w:rsidR="002D0A29" w:rsidRPr="00935DDC" w:rsidRDefault="00935D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>Перший етап передбачає підвищення якості та збільшення періоду прогнозування руху коштів, зокрема:</w:t>
      </w:r>
    </w:p>
    <w:p w14:paraId="0000001D" w14:textId="77777777" w:rsidR="002D0A29" w:rsidRPr="00935DDC" w:rsidRDefault="00935DDC" w:rsidP="00935DDC">
      <w:pPr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затвердження методики прогнозування руху коштів ЄКР та валютни</w:t>
      </w: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>х рахунків Казначейства із встановленням періоду прогнозування три місяці - для поденних показників, та шість місяців - для помісячних, та процедури обрахунку щоденного оптимального обсягу залишку коштів на ЄКР, який, з врахуванням обсягу вхідних та вихідн</w:t>
      </w: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их потоків на ЄКР, забезпечить виконання зобов’язань за </w:t>
      </w:r>
      <w:proofErr w:type="spellStart"/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>платежами</w:t>
      </w:r>
      <w:proofErr w:type="spellEnd"/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клієнтів Казначейства та не призведе до надлишкової ліквідності;</w:t>
      </w:r>
    </w:p>
    <w:p w14:paraId="0000001E" w14:textId="77777777" w:rsidR="002D0A29" w:rsidRPr="00935DDC" w:rsidRDefault="00935DDC" w:rsidP="00935DDC">
      <w:pPr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>впровадження інструментарію автоматизованого обміну даними в режимі реального часу між Казначейством, Мінфіном та іншими суб’</w:t>
      </w: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>єктами, відповідальними за рух коштів, основними з яких є ДПС, Держмитслужба та Пенсійний фонд, що передбачає, зокрема: фактичні показники, які використовуються для прогнозування руху коштів єдиного казначейського рахунка та валютних рахунків Казначейства,</w:t>
      </w: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 також для оперативного розрахунку залишків коштів; очікувані поденні показники доходів державного і місцевих бюджетів від податків і зборів за їх видами, надходжень на депозитні рахунки митних органів, а також надходжень єдиного внеску на загальнообов’я</w:t>
      </w: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зкове державне соціальне страхування; очікувані поденні показники надходжень коштів від приватизації державного майна (включаючи інші надходження, безпосередньо пов’язані з процесом приватизації) та кошти </w:t>
      </w: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від відчуження майна, що перебуває в комунальній вл</w:t>
      </w: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>асності; моніторинг зареєстрованих бюджетних зобов’язань та бюджетних фінансових зобов’язань, які передбачають здійснення разових платежів на суму 100 млн. гривень і більше; створення та впровадження інформаційної системи прогнозування руху коштів ЄКР та в</w:t>
      </w: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алютних рахунків Казначейства; доповнення методики прогнозування руху коштів оцінкою зміни вхідних потоків на ЄКР у внаслідок зміни показників зовнішньої економічної кон’юнктури на товарних та фінансових ринках. </w:t>
      </w:r>
    </w:p>
    <w:p w14:paraId="0000001F" w14:textId="77777777" w:rsidR="002D0A29" w:rsidRPr="00935DDC" w:rsidRDefault="00935DDC">
      <w:pP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>В рамках реалізації першого етапу плану, Мі</w:t>
      </w: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>нфіном було розроблено методику прогнозування руху коштів на рахунках Казначейства, яку затверджено наказом №114 від 22.02.2021 р. “Про затвердження Методики прогнозування руху коштів на єдиному казначейському рахунку та валютних рахунках Державної казначе</w:t>
      </w: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йської служби”[5]. </w:t>
      </w:r>
    </w:p>
    <w:p w14:paraId="00000020" w14:textId="77777777" w:rsidR="002D0A29" w:rsidRPr="00935DDC" w:rsidRDefault="00935D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>Другий етап передбачає удосконалення інструментів управління ліквідністю, зокрема:</w:t>
      </w:r>
    </w:p>
    <w:p w14:paraId="00000021" w14:textId="77777777" w:rsidR="002D0A29" w:rsidRPr="00935DDC" w:rsidRDefault="00935DDC" w:rsidP="00935DD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автоматизованого порядку визначення сум тимчасово вільних коштів ЄКР та валютних рахунків Казначейства, що можуть бути використані для їх р</w:t>
      </w: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>озміщення, зокрема шляхом здійснення активних операцій з державним боргом;</w:t>
      </w:r>
    </w:p>
    <w:p w14:paraId="00000022" w14:textId="77777777" w:rsidR="002D0A29" w:rsidRPr="00935DDC" w:rsidRDefault="00935DDC" w:rsidP="00935DD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Мінфіном разом з Національною комісією з цінних паперів та фондового ринку і НБУ передумов для поглиблення ємності та ліквідності внутрішнього ринку державних цінних папер</w:t>
      </w: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>ів;</w:t>
      </w:r>
    </w:p>
    <w:p w14:paraId="00000023" w14:textId="77777777" w:rsidR="002D0A29" w:rsidRPr="00935DDC" w:rsidRDefault="00935DDC" w:rsidP="00935DD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законодавче врегулювання питання використання тимчасово вільних коштів ЄКР для покриття тимчасових касових розривів загального фонду державного бюджету в межах бюджетного періоду та віднесення тимчасово вільних коштів ЄКР до джерел фінансування бюджету</w:t>
      </w: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0000024" w14:textId="77777777" w:rsidR="002D0A29" w:rsidRPr="00935DDC" w:rsidRDefault="00935DDC" w:rsidP="00935DD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інструментів управління ліквідністю ЄКР та валютних рахунків Казначейства (у випадку наявності тимчасово вільних коштів, а також недостатності коштів для здійснення платежів).</w:t>
      </w:r>
    </w:p>
    <w:p w14:paraId="00000025" w14:textId="77777777" w:rsidR="002D0A29" w:rsidRPr="00935DDC" w:rsidRDefault="00935D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5DD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В рамках виконання плану заходів Постановою Кабінету Міністрів У</w:t>
      </w:r>
      <w:r w:rsidRPr="00935DD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країни від 30 серпня 2022 р. № 970 було затверджено Порядок подання інформації </w:t>
      </w:r>
      <w:r w:rsidRPr="00935DD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lastRenderedPageBreak/>
        <w:t>розпорядниками, одержувачами бюджетних коштів, іншими клієнтами Державної казначейської служби Міністерству фінансів для цілей управління ліквідністю єдиного казначейського раху</w:t>
      </w:r>
      <w:r w:rsidRPr="00935DD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нка та валютних рахунків Державної казначейської служби</w:t>
      </w: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[6] в якому зазначено, що подання інформації здійснюється із застосуванням електронного кабінету інформації про показники, необхідні для запровадження механізму управління ліквідністю ЄКР та валютних </w:t>
      </w: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>рахунків Казначейства (далі - електронний кабінет «е-Ліквідність») інтегрованої інформаційно-аналітичної системи «Прозорий бюджет». Затверджено, що перелік, формат та регламент обміну інформацією, що передається з інформаційно-аналітичних систем Казначейст</w:t>
      </w: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>ва, визначає Мінфін, а обмін інформацією між електронним кабінетом «е-Ліквідність» та інформаційно-аналітичною системою управління плануванням та виконанням місцевих бюджетів «LOGICA» здійснюється шляхом встановлення автоматизованого режиму обміну через пр</w:t>
      </w: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>икладний програмний інтерфейс.</w:t>
      </w:r>
    </w:p>
    <w:p w14:paraId="00000026" w14:textId="77777777" w:rsidR="002D0A29" w:rsidRPr="00935DDC" w:rsidRDefault="00935D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>В умовах фінансової децентралізації, ключовою ознакою місцевих бюджетів є його самостійність, що полягає у спроможності органів місцевого самоврядування самостійно складати, затверджувати та виконувати місцеві бюджети в конте</w:t>
      </w: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>ксті покладених на них функцій і забезпечення розвитку регіонів і територіальних громад. Проте, набувши такої самостійності, місцеві фінансові органи зіткнулися з численними викликами, включаючи потребу у наявності інструментів та засобів аналізу явищ і пр</w:t>
      </w: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>оцесів щодо формування, розподілу та використання різних грошових фондів, прогнозування дохідної бази місцевих бюджетів з метою забезпечення ефективного здійснення видатків для задоволення потреб соціально-економічного розвитку територіальної громади. Врах</w:t>
      </w:r>
      <w:r w:rsidRPr="00935DDC">
        <w:rPr>
          <w:rFonts w:ascii="Times New Roman" w:eastAsia="Times New Roman" w:hAnsi="Times New Roman" w:cs="Times New Roman"/>
          <w:sz w:val="28"/>
          <w:szCs w:val="28"/>
          <w:lang w:val="uk-UA"/>
        </w:rPr>
        <w:t>овуючи це, місцеві фінансові органи потребують ефективної методології прогнозування показників ліквідності місцевих бюджетів.</w:t>
      </w:r>
    </w:p>
    <w:p w14:paraId="00000027" w14:textId="77777777" w:rsidR="002D0A29" w:rsidRPr="00935DDC" w:rsidRDefault="002D0A29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00000028" w14:textId="77777777" w:rsidR="002D0A29" w:rsidRPr="00935DDC" w:rsidRDefault="00935DDC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35D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Література:</w:t>
      </w:r>
    </w:p>
    <w:p w14:paraId="00000029" w14:textId="77777777" w:rsidR="002D0A29" w:rsidRPr="00935DDC" w:rsidRDefault="00935DDC" w:rsidP="00935DD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35DDC">
        <w:rPr>
          <w:rFonts w:ascii="Times New Roman" w:eastAsia="Times New Roman" w:hAnsi="Times New Roman" w:cs="Times New Roman"/>
          <w:sz w:val="24"/>
          <w:szCs w:val="24"/>
          <w:lang w:val="uk-UA"/>
        </w:rPr>
        <w:t>Розпорядженням Кабінету Міністрів України від 11.02.2016 р. № 92-р “Про схвалення Концепції створення інтегрованої ін</w:t>
      </w:r>
      <w:r w:rsidRPr="00935D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формаційно-аналітичної системи “Прозорий бюджет” URL: </w:t>
      </w:r>
      <w:hyperlink r:id="rId9" w:anchor="Text">
        <w:r w:rsidRPr="00935DD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uk-UA"/>
          </w:rPr>
          <w:t>https://zakon.rada.gov.ua/laws/show/92-2016-%D1%80#Text</w:t>
        </w:r>
      </w:hyperlink>
    </w:p>
    <w:p w14:paraId="0000002A" w14:textId="77777777" w:rsidR="002D0A29" w:rsidRPr="00935DDC" w:rsidRDefault="00935DDC" w:rsidP="00935DDC">
      <w:pPr>
        <w:pStyle w:val="1"/>
        <w:keepNext w:val="0"/>
        <w:keepLines w:val="0"/>
        <w:numPr>
          <w:ilvl w:val="0"/>
          <w:numId w:val="1"/>
        </w:num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2" w:name="_heading=h.560knynvjoma" w:colFirst="0" w:colLast="0"/>
      <w:bookmarkEnd w:id="2"/>
      <w:r w:rsidRPr="00935DDC">
        <w:rPr>
          <w:rFonts w:ascii="Times New Roman" w:eastAsia="Times New Roman" w:hAnsi="Times New Roman" w:cs="Times New Roman"/>
          <w:b w:val="0"/>
          <w:sz w:val="24"/>
          <w:szCs w:val="24"/>
          <w:lang w:val="uk-UA"/>
        </w:rPr>
        <w:lastRenderedPageBreak/>
        <w:t xml:space="preserve">В Україні запрацює система Є-ліквідність. URL: </w:t>
      </w:r>
      <w:hyperlink r:id="rId10">
        <w:r w:rsidRPr="00935DDC">
          <w:rPr>
            <w:rFonts w:ascii="Times New Roman" w:eastAsia="Times New Roman" w:hAnsi="Times New Roman" w:cs="Times New Roman"/>
            <w:b w:val="0"/>
            <w:color w:val="1155CC"/>
            <w:sz w:val="24"/>
            <w:szCs w:val="24"/>
            <w:u w:val="single"/>
            <w:lang w:val="uk-UA"/>
          </w:rPr>
          <w:t>https://minfin.com.ua/ua/2021/05/23/65233190/</w:t>
        </w:r>
      </w:hyperlink>
      <w:r w:rsidRPr="00935DDC">
        <w:rPr>
          <w:rFonts w:ascii="Times New Roman" w:eastAsia="Times New Roman" w:hAnsi="Times New Roman" w:cs="Times New Roman"/>
          <w:b w:val="0"/>
          <w:sz w:val="24"/>
          <w:szCs w:val="24"/>
          <w:lang w:val="uk-UA"/>
        </w:rPr>
        <w:t xml:space="preserve"> </w:t>
      </w:r>
    </w:p>
    <w:p w14:paraId="0000002B" w14:textId="77777777" w:rsidR="002D0A29" w:rsidRPr="00935DDC" w:rsidRDefault="00935DDC" w:rsidP="00935DD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35D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Наказ Міністерства фінансів України №488 від 30.08.2021 Про затвердження Порядку обміну інформацією між Міністерством фінансів України та учасниками бюджетного процесу на місцевому рівні” URL: </w:t>
      </w:r>
      <w:hyperlink r:id="rId11" w:anchor="Text">
        <w:r w:rsidRPr="00935DD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uk-UA"/>
          </w:rPr>
          <w:t>https://zakon.rada.gov.ua/laws/show/z1372-21#Text</w:t>
        </w:r>
      </w:hyperlink>
      <w:r w:rsidRPr="00935D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0000002C" w14:textId="77777777" w:rsidR="002D0A29" w:rsidRPr="00935DDC" w:rsidRDefault="00935DDC" w:rsidP="00935DD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35D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Розпорядження Кабінету Міністрів України №1375-р від 04.11.2020 “Про схвалення Концепції з управління ліквідністю на 2020-2023 роки та затвердження плану заходів з її реалізації” URL: </w:t>
      </w:r>
      <w:hyperlink r:id="rId12" w:anchor="Text">
        <w:r w:rsidRPr="00935DD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uk-UA"/>
          </w:rPr>
          <w:t>https://zakon.rada.gov.ua/laws/show/1375-2020-%D1%80#Text</w:t>
        </w:r>
      </w:hyperlink>
    </w:p>
    <w:p w14:paraId="0000002D" w14:textId="77777777" w:rsidR="002D0A29" w:rsidRPr="00935DDC" w:rsidRDefault="00935DDC" w:rsidP="00935DD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35DDC">
        <w:rPr>
          <w:rFonts w:ascii="Times New Roman" w:eastAsia="Times New Roman" w:hAnsi="Times New Roman" w:cs="Times New Roman"/>
          <w:sz w:val="24"/>
          <w:szCs w:val="24"/>
          <w:lang w:val="uk-UA"/>
        </w:rPr>
        <w:t>Наказ Міністерства фінансів України №114 від 22.02.2021 р. “Про затвердження Методики прогнозування руху коштів на єдиному каз</w:t>
      </w:r>
      <w:r w:rsidRPr="00935D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начейському рахунку та валютних рахунках Державної казначейської служби”. </w:t>
      </w:r>
    </w:p>
    <w:p w14:paraId="0000002E" w14:textId="77777777" w:rsidR="002D0A29" w:rsidRPr="00935DDC" w:rsidRDefault="00935DDC" w:rsidP="00935DD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35DDC">
        <w:rPr>
          <w:rFonts w:ascii="Times New Roman" w:eastAsia="Times New Roman" w:hAnsi="Times New Roman" w:cs="Times New Roman"/>
          <w:sz w:val="24"/>
          <w:szCs w:val="24"/>
          <w:lang w:val="uk-UA"/>
        </w:rPr>
        <w:t>Постанова Кабінету Міністрів України від 30.08.2022 р. № 970 “Про затвердження Порядку подання інформації розпорядниками, одержувачами бюджетних коштів, іншими клієнтами Державної к</w:t>
      </w:r>
      <w:r w:rsidRPr="00935DDC">
        <w:rPr>
          <w:rFonts w:ascii="Times New Roman" w:eastAsia="Times New Roman" w:hAnsi="Times New Roman" w:cs="Times New Roman"/>
          <w:sz w:val="24"/>
          <w:szCs w:val="24"/>
          <w:lang w:val="uk-UA"/>
        </w:rPr>
        <w:t>азначейської служби Міністерству фінансів для цілей управління ліквідністю єдиного казначейського рахунка та валютних рахунків Державної казначейської служби” URL:</w:t>
      </w:r>
      <w:hyperlink r:id="rId13" w:anchor="Text">
        <w:r w:rsidRPr="00935DD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uk-UA"/>
          </w:rPr>
          <w:t>https://zako</w:t>
        </w:r>
        <w:r w:rsidRPr="00935DD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uk-UA"/>
          </w:rPr>
          <w:t>n.rada.gov.ua/laws/show/970-2022-%D0%BF#Text</w:t>
        </w:r>
      </w:hyperlink>
      <w:r w:rsidRPr="00935D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sectPr w:rsidR="002D0A29" w:rsidRPr="00935DDC"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184"/>
    <w:multiLevelType w:val="multilevel"/>
    <w:tmpl w:val="0C70896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20F0970"/>
    <w:multiLevelType w:val="multilevel"/>
    <w:tmpl w:val="F618B2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D926B1B"/>
    <w:multiLevelType w:val="multilevel"/>
    <w:tmpl w:val="865AA5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8B87A62"/>
    <w:multiLevelType w:val="multilevel"/>
    <w:tmpl w:val="868C16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CDE1DA6"/>
    <w:multiLevelType w:val="multilevel"/>
    <w:tmpl w:val="38B280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EE246BB"/>
    <w:multiLevelType w:val="multilevel"/>
    <w:tmpl w:val="86004C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29"/>
    <w:rsid w:val="002D0A29"/>
    <w:rsid w:val="0093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CE54"/>
  <w15:docId w15:val="{36A0BDFF-C2A6-41F2-B823-60AC13D3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525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E1422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E1422"/>
    <w:rPr>
      <w:color w:val="605E5C"/>
      <w:shd w:val="clear" w:color="auto" w:fill="E1DFDD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1725-064X" TargetMode="External"/><Relationship Id="rId13" Type="http://schemas.openxmlformats.org/officeDocument/2006/relationships/hyperlink" Target="https://zakon.rada.gov.ua/laws/show/970-2022-%D0%BF" TargetMode="External"/><Relationship Id="rId3" Type="http://schemas.openxmlformats.org/officeDocument/2006/relationships/styles" Target="styles.xml"/><Relationship Id="rId7" Type="http://schemas.openxmlformats.org/officeDocument/2006/relationships/hyperlink" Target="https://orcid.org/0000-0002-6724-9498" TargetMode="External"/><Relationship Id="rId12" Type="http://schemas.openxmlformats.org/officeDocument/2006/relationships/hyperlink" Target="https://zakon.rada.gov.ua/laws/show/1375-2020-%D1%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3-4997-620X" TargetMode="External"/><Relationship Id="rId11" Type="http://schemas.openxmlformats.org/officeDocument/2006/relationships/hyperlink" Target="https://zakon.rada.gov.ua/laws/show/z1372-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infin.com.ua/ua/2021/05/23/6523319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92-2016-%D1%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NpMd0suj1H0GcYEPitRl1Omurw==">CgMxLjAyCGguZ2pkZ3hzMg5oLjU2MGtueW52am9tYTgAciExTEZDSVd3bjlmemVtYmFXRGpyTjc0QWJ6NDVvRVdoREU=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1735</Words>
  <Characters>9896</Characters>
  <Application>Microsoft Office Word</Application>
  <DocSecurity>0</DocSecurity>
  <Lines>82</Lines>
  <Paragraphs>23</Paragraphs>
  <ScaleCrop>false</ScaleCrop>
  <Company/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Рябокінь Аріна</dc:creator>
  <cp:lastModifiedBy>Рябокінь Аріна</cp:lastModifiedBy>
  <cp:revision>2</cp:revision>
  <dcterms:created xsi:type="dcterms:W3CDTF">2024-06-24T17:21:00Z</dcterms:created>
  <dcterms:modified xsi:type="dcterms:W3CDTF">2024-07-06T13:44:00Z</dcterms:modified>
</cp:coreProperties>
</file>