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Румянцева Поліна Олександрівна</w:t>
      </w: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8C40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студентка,</w:t>
      </w:r>
    </w:p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Державний торговельно-економічний університет, м. Київ</w:t>
      </w:r>
    </w:p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Науковий керівник: Тарасюк Антон Миколайович</w:t>
      </w: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</w:p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асистент, доктор філософії PhD,</w:t>
      </w:r>
    </w:p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Державний торговельно-економічний університет, м. Київ</w:t>
      </w:r>
    </w:p>
    <w:p w:rsidR="006515BB" w:rsidRPr="008C406D" w:rsidRDefault="006515BB" w:rsidP="006515BB">
      <w:pPr>
        <w:spacing w:after="0" w:line="360" w:lineRule="auto"/>
        <w:ind w:left="1985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i/>
          <w:iCs/>
          <w:sz w:val="28"/>
          <w:szCs w:val="28"/>
          <w:lang w:val="uk-UA"/>
        </w:rPr>
        <w:t>ORCID: 000-0003-0830-1636</w:t>
      </w:r>
    </w:p>
    <w:p w:rsidR="006515BB" w:rsidRPr="008C406D" w:rsidRDefault="006515BB" w:rsidP="006515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ВІРТУАЛЬНА РЕАЛЬНІСТЬ В МЕДИЧНІЙ ОСВІТІ</w:t>
      </w:r>
    </w:p>
    <w:p w:rsidR="00BC4825" w:rsidRPr="008C406D" w:rsidRDefault="00F5482E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3764327"/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Медична підготовка за допомогою віртуальної реальності являє собою </w:t>
      </w:r>
      <w:r w:rsidR="008C406D" w:rsidRPr="008C406D">
        <w:rPr>
          <w:rFonts w:ascii="Times New Roman" w:hAnsi="Times New Roman" w:cs="Times New Roman"/>
          <w:sz w:val="28"/>
          <w:szCs w:val="28"/>
          <w:lang w:val="uk-UA"/>
        </w:rPr>
        <w:t>передов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C406D" w:rsidRPr="008C406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підхід до вдосконалення </w:t>
      </w:r>
      <w:r w:rsidR="00141DC0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навичок студентів у секторі охорони здоров’я. 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Інтегруючи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цю новітню технологію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у програму, навчальні заклади надають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студентам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 для випробування реалістичних </w:t>
      </w:r>
      <w:r w:rsidR="0018390F">
        <w:rPr>
          <w:rFonts w:ascii="Times New Roman" w:hAnsi="Times New Roman" w:cs="Times New Roman"/>
          <w:sz w:val="28"/>
          <w:szCs w:val="28"/>
          <w:lang w:val="uk-UA"/>
        </w:rPr>
        <w:t xml:space="preserve">медичних 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сценаріїв.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Таке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відіграє важливу роль у підготовці студентів-медиків до тонкощів лікування пацієнтів у реальному житті</w:t>
      </w:r>
      <w:r w:rsidR="00BC4825" w:rsidRPr="008C40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2963" w:rsidRPr="008C406D" w:rsidRDefault="008A2963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Застосування VR в медичній підготовці</w:t>
      </w:r>
    </w:p>
    <w:p w:rsidR="006411B2" w:rsidRPr="008C406D" w:rsidRDefault="00921335" w:rsidP="008A296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63743754"/>
      <w:r w:rsidRPr="008C406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озуміння анатомії людини</w:t>
      </w:r>
      <w:bookmarkEnd w:id="1"/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: VR-моделі дають студентам можливість досліджувати анатомічні структури, такі як мозок, серце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м'язи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, набагато краще, ніж за допомогою звичайних підручників.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моделі можна обертати, збільшувати, зменшувати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розрізати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>, збирати та розбирати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, щоб студенти могли бачити їх з будь-якого ракурсу</w:t>
      </w:r>
      <w:r w:rsidR="008C406D">
        <w:rPr>
          <w:rFonts w:ascii="Times New Roman" w:hAnsi="Times New Roman" w:cs="Times New Roman"/>
          <w:sz w:val="28"/>
          <w:szCs w:val="28"/>
          <w:lang w:val="uk-UA"/>
        </w:rPr>
        <w:t xml:space="preserve"> та могли 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краще зрозуміти та запам’ятати їх будову.</w:t>
      </w:r>
    </w:p>
    <w:p w:rsidR="006411B2" w:rsidRPr="008C406D" w:rsidRDefault="006411B2" w:rsidP="008A296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3743767"/>
      <w:r w:rsidRPr="008C406D">
        <w:rPr>
          <w:rFonts w:ascii="Times New Roman" w:hAnsi="Times New Roman" w:cs="Times New Roman"/>
          <w:sz w:val="28"/>
          <w:szCs w:val="28"/>
          <w:lang w:val="uk-UA"/>
        </w:rPr>
        <w:t>Відточування хірургічних навичок</w:t>
      </w:r>
      <w:bookmarkEnd w:id="2"/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: Одне з найбільш цінних застосувань віртуальної реальності в медичній освіті. Однією з ключових переваг є те, що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>у студентів є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отримати захоплюючий хірургічний досвід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на ранніх стадіях медичної освіти. Вони можуть увійти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віртуальну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операційну, спостерігати за процедурами та ретельно аналізувати 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хірургічні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>процеси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65CF" w:rsidRPr="008C406D" w:rsidRDefault="004B65CF" w:rsidP="008A296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Симуляція невідкладної допомоги: Навчання сценаріям у відділенні невідкладної допомоги є критично важливим для медичних працівників. Віртуальна реальність дозволяє створювати сценарії надзвичайних ситуацій, таких як серцевий напад, травма, отруєння тощо, які можуть виникнути у реальному житті. Це дозволяє студентам відпрацьовувати навички швидкого реагування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 xml:space="preserve"> та прийняття рішень </w:t>
      </w:r>
      <w:r w:rsidR="00921335" w:rsidRPr="008C406D">
        <w:rPr>
          <w:rFonts w:ascii="Times New Roman" w:hAnsi="Times New Roman" w:cs="Times New Roman"/>
          <w:sz w:val="28"/>
          <w:szCs w:val="28"/>
          <w:lang w:val="uk-UA"/>
        </w:rPr>
        <w:t>в стресових ситуаціях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1B2" w:rsidRPr="008C406D" w:rsidRDefault="006411B2" w:rsidP="008A296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Напрацювання навичок діагностики та лікування: Віртуальні пацієнти дають можливість студентам проводити практику з діагностування та лікування різних хвороб у віртуальному середовищі, здобуваючи 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 xml:space="preserve">цінний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досвід перед роботою з реальними людьми.</w:t>
      </w:r>
    </w:p>
    <w:p w:rsidR="006411B2" w:rsidRPr="008C406D" w:rsidRDefault="00921335" w:rsidP="008A296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Розвиток е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мпаті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90A9F">
        <w:rPr>
          <w:rFonts w:ascii="Times New Roman" w:hAnsi="Times New Roman" w:cs="Times New Roman"/>
          <w:sz w:val="28"/>
          <w:szCs w:val="28"/>
          <w:lang w:val="uk-UA"/>
        </w:rPr>
        <w:t>Ключем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до того, щоб стати чудовим лікарем, </w:t>
      </w:r>
      <w:r w:rsidR="00C90A9F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є сильна емпатія до пацієнтів, яких вони лікують. VR 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дає студентам можливість певною мірою відчути </w:t>
      </w:r>
      <w:r w:rsidR="00CC6056" w:rsidRPr="008C406D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захворювання, які можуть </w:t>
      </w:r>
      <w:r w:rsidR="00266103" w:rsidRPr="008C406D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майбутні пацієнти. Незалежно від того, чи це втрата зору, втрата слуху, запаморочення чи інші симптоми, VR може стати для студентів ключем до розвитку необхідних </w:t>
      </w:r>
      <w:r w:rsidR="00C90A9F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</w:t>
      </w:r>
      <w:r w:rsidR="006411B2" w:rsidRPr="008C406D">
        <w:rPr>
          <w:rFonts w:ascii="Times New Roman" w:hAnsi="Times New Roman" w:cs="Times New Roman"/>
          <w:sz w:val="28"/>
          <w:szCs w:val="28"/>
          <w:lang w:val="uk-UA"/>
        </w:rPr>
        <w:t>навичок емпатії. [2]</w:t>
      </w:r>
    </w:p>
    <w:p w:rsidR="000A358D" w:rsidRPr="008C406D" w:rsidRDefault="000A358D" w:rsidP="008A2963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Переваги використання </w:t>
      </w:r>
      <w:r w:rsidR="008A2963"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VR</w:t>
      </w: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навчанні медичних фахівців</w:t>
      </w:r>
    </w:p>
    <w:p w:rsidR="008A2963" w:rsidRPr="00C90A9F" w:rsidRDefault="008A2963" w:rsidP="008A296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A9F">
        <w:rPr>
          <w:rFonts w:ascii="Times New Roman" w:hAnsi="Times New Roman" w:cs="Times New Roman"/>
          <w:sz w:val="28"/>
          <w:szCs w:val="28"/>
          <w:lang w:val="uk-UA"/>
        </w:rPr>
        <w:t>Безпечн</w:t>
      </w:r>
      <w:r w:rsidR="00DC06E0">
        <w:rPr>
          <w:rFonts w:ascii="Times New Roman" w:hAnsi="Times New Roman" w:cs="Times New Roman"/>
          <w:sz w:val="28"/>
          <w:szCs w:val="28"/>
          <w:lang w:val="uk-UA"/>
        </w:rPr>
        <w:t>е навчання</w:t>
      </w:r>
      <w:r w:rsidRPr="00C90A9F">
        <w:rPr>
          <w:rFonts w:ascii="Times New Roman" w:hAnsi="Times New Roman" w:cs="Times New Roman"/>
          <w:sz w:val="28"/>
          <w:szCs w:val="28"/>
          <w:lang w:val="uk-UA"/>
        </w:rPr>
        <w:t xml:space="preserve">: VR-симулятори дають можливість практикувати хірургічні процедури та діагностику в безпечному </w:t>
      </w:r>
      <w:r w:rsidR="0018390F">
        <w:rPr>
          <w:rFonts w:ascii="Times New Roman" w:hAnsi="Times New Roman" w:cs="Times New Roman"/>
          <w:sz w:val="28"/>
          <w:szCs w:val="28"/>
          <w:lang w:val="uk-UA"/>
        </w:rPr>
        <w:t xml:space="preserve">віртуальному </w:t>
      </w:r>
      <w:r w:rsidRPr="00C90A9F">
        <w:rPr>
          <w:rFonts w:ascii="Times New Roman" w:hAnsi="Times New Roman" w:cs="Times New Roman"/>
          <w:sz w:val="28"/>
          <w:szCs w:val="28"/>
          <w:lang w:val="uk-UA"/>
        </w:rPr>
        <w:t xml:space="preserve">середовищі без ризику для </w:t>
      </w:r>
      <w:r w:rsidR="0018390F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C90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203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90A9F">
        <w:rPr>
          <w:rFonts w:ascii="Times New Roman" w:hAnsi="Times New Roman" w:cs="Times New Roman"/>
          <w:sz w:val="28"/>
          <w:szCs w:val="28"/>
          <w:lang w:val="uk-UA"/>
        </w:rPr>
        <w:t xml:space="preserve"> інших</w:t>
      </w:r>
      <w:r w:rsidR="00CE2F7F" w:rsidRPr="00C90A9F">
        <w:rPr>
          <w:rFonts w:ascii="Times New Roman" w:hAnsi="Times New Roman" w:cs="Times New Roman"/>
          <w:sz w:val="28"/>
          <w:szCs w:val="28"/>
          <w:lang w:val="uk-UA"/>
        </w:rPr>
        <w:t xml:space="preserve"> людей</w:t>
      </w:r>
      <w:r w:rsidRPr="00C90A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203" w:rsidRPr="008C406D" w:rsidRDefault="00AD5203" w:rsidP="00AD520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мотивації та зацікавленості: </w:t>
      </w:r>
      <w:r w:rsidRPr="00AD5203">
        <w:rPr>
          <w:rFonts w:ascii="Times New Roman" w:hAnsi="Times New Roman" w:cs="Times New Roman"/>
          <w:sz w:val="28"/>
          <w:szCs w:val="28"/>
          <w:lang w:val="uk-UA"/>
        </w:rPr>
        <w:t xml:space="preserve">VR дозволяє студентам 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відчути себе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учасниками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реального 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процесу, що збільшує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зацікавленість студентів та стимулю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 їхню мотивацію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 навчання.</w:t>
      </w:r>
    </w:p>
    <w:p w:rsidR="008A2963" w:rsidRDefault="009C0C7F" w:rsidP="008A296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 п</w:t>
      </w:r>
      <w:r w:rsidR="008A2963" w:rsidRPr="008C406D">
        <w:rPr>
          <w:rFonts w:ascii="Times New Roman" w:hAnsi="Times New Roman" w:cs="Times New Roman"/>
          <w:sz w:val="28"/>
          <w:szCs w:val="28"/>
          <w:lang w:val="uk-UA"/>
        </w:rPr>
        <w:t>овторення</w:t>
      </w:r>
      <w:r w:rsidR="0018390F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</w:t>
      </w:r>
      <w:r w:rsidR="008A296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: VR-симуляції можна використовувати багаторазово, що дозволяє студентам практикувати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 w:rsidR="008A296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навички до досконалості.</w:t>
      </w:r>
    </w:p>
    <w:p w:rsidR="008A2963" w:rsidRDefault="00CE2F7F" w:rsidP="008A296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Зворотній зв’язок</w:t>
      </w:r>
      <w:r w:rsidR="008A2963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Студентам завжди надається зворотний зв'язок про результати лікування, щоб вони могли оцінити його ефективність та проаналізувати свої помилки</w:t>
      </w:r>
      <w:r w:rsidR="008A2963" w:rsidRPr="008C40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6E0" w:rsidRDefault="00DC06E0" w:rsidP="008A2963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06E0">
        <w:rPr>
          <w:rFonts w:ascii="Times New Roman" w:hAnsi="Times New Roman" w:cs="Times New Roman"/>
          <w:sz w:val="28"/>
          <w:szCs w:val="28"/>
          <w:lang w:val="uk-UA"/>
        </w:rPr>
        <w:t xml:space="preserve">Персоналізація навчання: VR може бути адаптована до індивідуальних потреб студентів, дозволяючи їм навчатися у власному темпі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приділяти більше уваги темам, які </w:t>
      </w:r>
      <w:r w:rsidR="0018390F">
        <w:rPr>
          <w:rFonts w:ascii="Times New Roman" w:hAnsi="Times New Roman" w:cs="Times New Roman"/>
          <w:sz w:val="28"/>
          <w:szCs w:val="28"/>
          <w:lang w:val="uk-UA"/>
        </w:rPr>
        <w:t>потребують додаткової уваги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5B37" w:rsidRPr="008C406D" w:rsidRDefault="002F5B37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Виклики та обмеження впровадження VR в медичну освіту</w:t>
      </w:r>
    </w:p>
    <w:p w:rsidR="002F5B37" w:rsidRPr="008C406D" w:rsidRDefault="002F5B37" w:rsidP="008A29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Висока вартість обладнання: Впровадження в освітній процес VR може вимагати значних витрат на придбання та обслуговування спеціалізованого обладнання.</w:t>
      </w:r>
    </w:p>
    <w:p w:rsidR="00921335" w:rsidRPr="008C406D" w:rsidRDefault="00CE2F7F" w:rsidP="008A29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Віртуальні пацієнти: </w:t>
      </w:r>
      <w:r w:rsidR="0092133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реалістичних віртуальних пацієнтів є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однією з головних</w:t>
      </w:r>
      <w:r w:rsidR="0092133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проблем. Щоб досягти змістовної та правдоподібної взаємодії з віртуальними пацієнтами, важливо використовувати високоякісну технологію штучного інтелекту, здатну як до вербальної, так і до невербальної комунікації.</w:t>
      </w:r>
    </w:p>
    <w:p w:rsidR="002F5B37" w:rsidRPr="008C406D" w:rsidRDefault="00921335" w:rsidP="008A29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Технічна складність</w:t>
      </w:r>
      <w:r w:rsidR="002F5B37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VR-симулятори можуть бути складними у налаштуванні та використанні, що може потребувати додаткової підготовки </w:t>
      </w:r>
      <w:r w:rsidR="00AD5203">
        <w:rPr>
          <w:rFonts w:ascii="Times New Roman" w:hAnsi="Times New Roman" w:cs="Times New Roman"/>
          <w:sz w:val="28"/>
          <w:szCs w:val="28"/>
          <w:lang w:val="uk-UA"/>
        </w:rPr>
        <w:t>викладачів та студентів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4CAF" w:rsidRPr="008C406D" w:rsidRDefault="002F5B37" w:rsidP="008A296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Обмежена можливість практики деяких </w:t>
      </w:r>
      <w:r w:rsidR="00AD5203">
        <w:rPr>
          <w:rFonts w:ascii="Times New Roman" w:hAnsi="Times New Roman" w:cs="Times New Roman"/>
          <w:sz w:val="28"/>
          <w:szCs w:val="28"/>
          <w:lang w:val="uk-UA"/>
        </w:rPr>
        <w:t xml:space="preserve">медичних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процедур: Хоча VR дозволяє практикувати досить багато медичних сценаріїв, 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деякі процедури 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>все ще не доступні для віртуального навчання.</w:t>
      </w:r>
    </w:p>
    <w:p w:rsidR="000A358D" w:rsidRPr="008C406D" w:rsidRDefault="000A358D" w:rsidP="007D4CAF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Приклади успішного використання </w:t>
      </w:r>
      <w:r w:rsidR="008A2963"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>VR</w:t>
      </w:r>
      <w:r w:rsidRPr="008C4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медичній освіті</w:t>
      </w:r>
    </w:p>
    <w:p w:rsidR="008A2963" w:rsidRPr="008C406D" w:rsidRDefault="008A2963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Virti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ропонує комплексну платформу віртуальної реальності для навчання, що охоплює широкий спектр сценаріїв, від моделювання операцій до вправ спілкування з пацієнтами. Платформа надає дані про продуктивність для постійного навчання та розвитку.</w:t>
      </w:r>
      <w:r w:rsidR="009F099E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F099E" w:rsidRPr="008C406D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9F099E" w:rsidRPr="008C406D" w:rsidRDefault="009F099E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SimX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це вдосконалена платформа, яка забезпечує комплексне навчання медичних фахівців. Платформа включає в себе складні 3D-моделі різних частин тіла та органів людини, а також віртуальних пацієнтів, щоб користувачі могли випробувати реалістичну симуляцію. [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A2963" w:rsidRPr="008C406D" w:rsidRDefault="008A2963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Oxford Medical Simulation фокусується на створенні надзвичайно реалістичних сценаріїв VR. Студенти можуть взаємодіяти з віртуальними пацієнтами, щоб практикувати, діагностику та лікування 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пацієнтів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у віртуальному середовищі.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A2963" w:rsidRDefault="008A2963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>Тайбейський медичний університет</w:t>
      </w:r>
      <w:r w:rsidR="002215FC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(TMU)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створив 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найбільше в світі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програмне забезпечення VR для вивчення анатомії. Університет пропонує курс із понад 4000 анатомічних 3D-моделей</w:t>
      </w:r>
      <w:r w:rsidR="00137C3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>дозволяє студентам детально візуалізувати лекції про анатомічні структури</w:t>
      </w:r>
      <w:r w:rsidR="002215FC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, що покращує ефективність навчання. 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0335" w:rsidRPr="008C406D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AD5203" w:rsidRPr="009C0C7F" w:rsidRDefault="00AD5203" w:rsidP="008A2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203">
        <w:rPr>
          <w:rFonts w:ascii="Times New Roman" w:hAnsi="Times New Roman" w:cs="Times New Roman"/>
          <w:sz w:val="28"/>
          <w:szCs w:val="28"/>
          <w:lang w:val="uk-UA"/>
        </w:rPr>
        <w:lastRenderedPageBreak/>
        <w:t>FundamentalVR пропонує навчальні програми для хірургів на основі симуляторів</w:t>
      </w:r>
      <w:r w:rsidR="009C0C7F" w:rsidRPr="009C0C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0C7F" w:rsidRPr="00251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5203">
        <w:rPr>
          <w:rFonts w:ascii="Times New Roman" w:hAnsi="Times New Roman" w:cs="Times New Roman"/>
          <w:sz w:val="28"/>
          <w:szCs w:val="28"/>
          <w:lang w:val="uk-UA"/>
        </w:rPr>
        <w:t xml:space="preserve">Симуляції спрямовані на те, щоб допомогти хірургам під час навчання вдосконалити свої </w:t>
      </w:r>
      <w:r w:rsidR="00137C3D">
        <w:rPr>
          <w:rFonts w:ascii="Times New Roman" w:hAnsi="Times New Roman" w:cs="Times New Roman"/>
          <w:sz w:val="28"/>
          <w:szCs w:val="28"/>
          <w:lang w:val="uk-UA"/>
        </w:rPr>
        <w:t xml:space="preserve">знання та 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Pr="00AD5203">
        <w:rPr>
          <w:rFonts w:ascii="Times New Roman" w:hAnsi="Times New Roman" w:cs="Times New Roman"/>
          <w:sz w:val="28"/>
          <w:szCs w:val="28"/>
          <w:lang w:val="uk-UA"/>
        </w:rPr>
        <w:t>, забезпечуючи безпечне контрольоване віртуальне середовище.</w:t>
      </w:r>
      <w:r w:rsidR="009C0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C7F" w:rsidRPr="009C0C7F">
        <w:rPr>
          <w:rFonts w:ascii="Times New Roman" w:hAnsi="Times New Roman" w:cs="Times New Roman"/>
          <w:sz w:val="28"/>
          <w:szCs w:val="28"/>
          <w:lang w:val="uk-UA"/>
        </w:rPr>
        <w:t>[2]</w:t>
      </w:r>
    </w:p>
    <w:p w:rsidR="009269C9" w:rsidRPr="008C406D" w:rsidRDefault="0046292D" w:rsidP="00266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E3BCF" w:rsidRPr="008C406D">
        <w:rPr>
          <w:rFonts w:ascii="Times New Roman" w:hAnsi="Times New Roman" w:cs="Times New Roman"/>
          <w:sz w:val="28"/>
          <w:szCs w:val="28"/>
          <w:lang w:val="uk-UA"/>
        </w:rPr>
        <w:t>віртуальна реальність в медичній освіті - це інноваційний інструмент, який відкриває нові можливості для навчання та підготовки медичних фахівців. VR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дозволяє студентам медичних вузів вивчати анатомію та фізіологію людини в </w:t>
      </w:r>
      <w:r w:rsidR="007D4CA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цікавому </w:t>
      </w:r>
      <w:r w:rsidRPr="008C406D">
        <w:rPr>
          <w:rFonts w:ascii="Times New Roman" w:hAnsi="Times New Roman" w:cs="Times New Roman"/>
          <w:sz w:val="28"/>
          <w:szCs w:val="28"/>
          <w:lang w:val="uk-UA"/>
        </w:rPr>
        <w:t>інтерактивному 3D-форматі, що сприяє кращому засвоєнню матеріалу.</w:t>
      </w:r>
      <w:r w:rsidR="001E3BC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Також VR дозволяє студентам навчитися ефективно працювати в стресових ситуаціях та складних сценаріях, що підвищує якість медичної освіти, що є </w:t>
      </w:r>
      <w:r w:rsidR="00251C85">
        <w:rPr>
          <w:rFonts w:ascii="Times New Roman" w:hAnsi="Times New Roman" w:cs="Times New Roman"/>
          <w:sz w:val="28"/>
          <w:szCs w:val="28"/>
          <w:lang w:val="uk-UA"/>
        </w:rPr>
        <w:t>дуже важливим</w:t>
      </w:r>
      <w:r w:rsidR="001E3BCF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 для розвитку медичної галузі та забезпечення якісної медичної допомоги </w:t>
      </w:r>
      <w:r w:rsidR="008C406D" w:rsidRPr="008C406D">
        <w:rPr>
          <w:rFonts w:ascii="Times New Roman" w:hAnsi="Times New Roman" w:cs="Times New Roman"/>
          <w:sz w:val="28"/>
          <w:szCs w:val="28"/>
          <w:lang w:val="uk-UA"/>
        </w:rPr>
        <w:t xml:space="preserve">пацієнтам </w:t>
      </w:r>
      <w:r w:rsidR="001E3BCF" w:rsidRPr="008C406D">
        <w:rPr>
          <w:rFonts w:ascii="Times New Roman" w:hAnsi="Times New Roman" w:cs="Times New Roman"/>
          <w:sz w:val="28"/>
          <w:szCs w:val="28"/>
          <w:lang w:val="uk-UA"/>
        </w:rPr>
        <w:t>у майбутньому.</w:t>
      </w:r>
    </w:p>
    <w:bookmarkEnd w:id="0"/>
    <w:p w:rsidR="00266103" w:rsidRPr="00B64C64" w:rsidRDefault="00266103" w:rsidP="002661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64C64"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266103" w:rsidRDefault="00266103" w:rsidP="0026610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C64">
        <w:rPr>
          <w:rFonts w:ascii="Times New Roman" w:hAnsi="Times New Roman" w:cs="Times New Roman"/>
          <w:sz w:val="24"/>
          <w:szCs w:val="24"/>
          <w:lang w:val="en-US"/>
        </w:rPr>
        <w:t>What is virtual reality? URL</w:t>
      </w:r>
      <w:r w:rsidRPr="00274F8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techtarget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whatis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definition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virtual</w:t>
        </w:r>
        <w:r w:rsidRPr="00274F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reality</w:t>
        </w:r>
      </w:hyperlink>
      <w:r w:rsidRPr="00274F8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4C64">
        <w:rPr>
          <w:rFonts w:ascii="Times New Roman" w:hAnsi="Times New Roman" w:cs="Times New Roman"/>
          <w:sz w:val="24"/>
          <w:szCs w:val="24"/>
          <w:lang w:val="uk-UA"/>
        </w:rPr>
        <w:t>дата звернення: 09.04.2024)</w:t>
      </w:r>
    </w:p>
    <w:p w:rsidR="009F099E" w:rsidRPr="00274F86" w:rsidRDefault="009F099E" w:rsidP="009F099E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4F86">
        <w:rPr>
          <w:rFonts w:ascii="Times New Roman" w:hAnsi="Times New Roman" w:cs="Times New Roman"/>
          <w:sz w:val="24"/>
          <w:szCs w:val="24"/>
          <w:lang w:val="uk-UA"/>
        </w:rPr>
        <w:t>How AR &amp; VR in Healthcare Enhances Medical Training?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74F8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onix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systems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vr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medical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023B2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training</w:t>
        </w:r>
      </w:hyperlink>
      <w:r w:rsidRPr="00274F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4F8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74F86">
        <w:rPr>
          <w:rFonts w:ascii="Times New Roman" w:hAnsi="Times New Roman" w:cs="Times New Roman"/>
          <w:sz w:val="24"/>
          <w:szCs w:val="24"/>
          <w:lang w:val="uk-UA"/>
        </w:rPr>
        <w:t>дата звернення: 09.04.2024)</w:t>
      </w:r>
    </w:p>
    <w:p w:rsidR="009F099E" w:rsidRPr="009F099E" w:rsidRDefault="009F099E" w:rsidP="0026610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Virti</w:t>
      </w:r>
      <w:r w:rsidRPr="00141D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F099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7" w:history="1"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virti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industries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healthcare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9F099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C64">
        <w:rPr>
          <w:rFonts w:ascii="Times New Roman" w:hAnsi="Times New Roman" w:cs="Times New Roman"/>
          <w:sz w:val="24"/>
          <w:szCs w:val="24"/>
          <w:lang w:val="uk-UA"/>
        </w:rPr>
        <w:t>дата звернення: 09.04.2024)</w:t>
      </w:r>
    </w:p>
    <w:p w:rsidR="009F099E" w:rsidRPr="00850335" w:rsidRDefault="009F099E" w:rsidP="00266103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SimX</w:t>
      </w:r>
      <w:r w:rsidRPr="00141D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F099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simxvr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9F099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9F099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C64">
        <w:rPr>
          <w:rFonts w:ascii="Times New Roman" w:hAnsi="Times New Roman" w:cs="Times New Roman"/>
          <w:sz w:val="24"/>
          <w:szCs w:val="24"/>
          <w:lang w:val="uk-UA"/>
        </w:rPr>
        <w:t>дата звернення: 09.04.2024)</w:t>
      </w:r>
    </w:p>
    <w:p w:rsidR="00850335" w:rsidRPr="00141DC0" w:rsidRDefault="00850335" w:rsidP="0085033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335">
        <w:rPr>
          <w:rFonts w:ascii="Times New Roman" w:hAnsi="Times New Roman" w:cs="Times New Roman"/>
          <w:sz w:val="24"/>
          <w:szCs w:val="24"/>
          <w:lang w:val="en-US"/>
        </w:rPr>
        <w:t>Oxford Medical Simulation</w:t>
      </w:r>
      <w:r>
        <w:rPr>
          <w:rFonts w:ascii="Times New Roman" w:hAnsi="Times New Roman" w:cs="Times New Roman"/>
          <w:sz w:val="24"/>
          <w:szCs w:val="24"/>
          <w:lang w:val="en-US"/>
        </w:rPr>
        <w:t>. URL</w:t>
      </w:r>
      <w:r w:rsidRPr="00141DC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41D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oxfordmedicalsimulation</w:t>
        </w:r>
        <w:r w:rsidRPr="00141D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400C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41DC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  <w:r w:rsidRPr="00141D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4C64">
        <w:rPr>
          <w:rFonts w:ascii="Times New Roman" w:hAnsi="Times New Roman" w:cs="Times New Roman"/>
          <w:sz w:val="24"/>
          <w:szCs w:val="24"/>
          <w:lang w:val="uk-UA"/>
        </w:rPr>
        <w:t>дата звернення: 09.04.2024</w:t>
      </w:r>
    </w:p>
    <w:p w:rsidR="00266103" w:rsidRPr="00850335" w:rsidRDefault="00266103" w:rsidP="0085033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4C64">
        <w:rPr>
          <w:rFonts w:ascii="Times New Roman" w:hAnsi="Times New Roman" w:cs="Times New Roman"/>
          <w:sz w:val="24"/>
          <w:szCs w:val="24"/>
          <w:lang w:val="en-US"/>
        </w:rPr>
        <w:t>TMU pioneers world’s largest virtual reality anatomy class. URL</w:t>
      </w:r>
      <w:r w:rsidRPr="00B64C6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history="1"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oge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tmu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tw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tmu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pioneers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worlds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largest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virtual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reality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anatomy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B64C64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B64C6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64C64">
        <w:rPr>
          <w:rFonts w:ascii="Times New Roman" w:hAnsi="Times New Roman" w:cs="Times New Roman"/>
          <w:sz w:val="24"/>
          <w:szCs w:val="24"/>
          <w:lang w:val="uk-UA"/>
        </w:rPr>
        <w:t>дата звернення: 09.04.2024)</w:t>
      </w:r>
    </w:p>
    <w:sectPr w:rsidR="00266103" w:rsidRPr="00850335" w:rsidSect="007D69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132"/>
    <w:multiLevelType w:val="hybridMultilevel"/>
    <w:tmpl w:val="2C8A22E6"/>
    <w:lvl w:ilvl="0" w:tplc="9F30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661893"/>
    <w:multiLevelType w:val="hybridMultilevel"/>
    <w:tmpl w:val="120E117C"/>
    <w:lvl w:ilvl="0" w:tplc="FFDAE4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A40310"/>
    <w:multiLevelType w:val="hybridMultilevel"/>
    <w:tmpl w:val="D2A229C2"/>
    <w:lvl w:ilvl="0" w:tplc="43706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323545"/>
    <w:multiLevelType w:val="hybridMultilevel"/>
    <w:tmpl w:val="9A18027A"/>
    <w:lvl w:ilvl="0" w:tplc="FFDAE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517673">
    <w:abstractNumId w:val="3"/>
  </w:num>
  <w:num w:numId="2" w16cid:durableId="709111694">
    <w:abstractNumId w:val="1"/>
  </w:num>
  <w:num w:numId="3" w16cid:durableId="1718889772">
    <w:abstractNumId w:val="2"/>
  </w:num>
  <w:num w:numId="4" w16cid:durableId="175951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BB"/>
    <w:rsid w:val="000A358D"/>
    <w:rsid w:val="00137C3D"/>
    <w:rsid w:val="00141DC0"/>
    <w:rsid w:val="0018390F"/>
    <w:rsid w:val="001E3BCF"/>
    <w:rsid w:val="002215FC"/>
    <w:rsid w:val="00251C85"/>
    <w:rsid w:val="00266103"/>
    <w:rsid w:val="002F5B37"/>
    <w:rsid w:val="0046292D"/>
    <w:rsid w:val="004B65CF"/>
    <w:rsid w:val="00637744"/>
    <w:rsid w:val="006411B2"/>
    <w:rsid w:val="006515BB"/>
    <w:rsid w:val="006D1527"/>
    <w:rsid w:val="006E0B37"/>
    <w:rsid w:val="007D4CAF"/>
    <w:rsid w:val="007D6952"/>
    <w:rsid w:val="00850335"/>
    <w:rsid w:val="008A2963"/>
    <w:rsid w:val="008C406D"/>
    <w:rsid w:val="00921335"/>
    <w:rsid w:val="009269C9"/>
    <w:rsid w:val="009C0C7F"/>
    <w:rsid w:val="009F099E"/>
    <w:rsid w:val="00AD5203"/>
    <w:rsid w:val="00AF0FD1"/>
    <w:rsid w:val="00BA4997"/>
    <w:rsid w:val="00BC4825"/>
    <w:rsid w:val="00C90A9F"/>
    <w:rsid w:val="00CC6056"/>
    <w:rsid w:val="00CE2F7F"/>
    <w:rsid w:val="00DC06E0"/>
    <w:rsid w:val="00E22EA7"/>
    <w:rsid w:val="00F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00A7"/>
  <w15:chartTrackingRefBased/>
  <w15:docId w15:val="{5161882E-49A8-4DBE-9AC9-7230075D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BB"/>
  </w:style>
  <w:style w:type="paragraph" w:styleId="1">
    <w:name w:val="heading 1"/>
    <w:basedOn w:val="a"/>
    <w:next w:val="a"/>
    <w:link w:val="10"/>
    <w:uiPriority w:val="9"/>
    <w:qFormat/>
    <w:rsid w:val="000A3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F5B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1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99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50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xv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rti.com/industries/healthca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ix-systems.com/blog/ar-vr-in-medical-train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echtarget.com/whatis/definition/virtual-reality" TargetMode="External"/><Relationship Id="rId10" Type="http://schemas.openxmlformats.org/officeDocument/2006/relationships/hyperlink" Target="https://oge.tmu.edu.tw/tmu-pioneers-worlds-largest-virtual-reality-anatomy-c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xfordmedicalsimulation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Поліна Олександрівна</dc:creator>
  <cp:keywords/>
  <dc:description/>
  <cp:lastModifiedBy>Румянцева Поліна Олександрівна</cp:lastModifiedBy>
  <cp:revision>4</cp:revision>
  <dcterms:created xsi:type="dcterms:W3CDTF">2024-04-11T12:00:00Z</dcterms:created>
  <dcterms:modified xsi:type="dcterms:W3CDTF">2024-04-11T20:03:00Z</dcterms:modified>
</cp:coreProperties>
</file>