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10" w:rsidRDefault="00FC3B10" w:rsidP="00FC3B10">
      <w:pPr>
        <w:spacing w:line="240" w:lineRule="auto"/>
        <w:ind w:left="4253" w:firstLine="0"/>
        <w:jc w:val="right"/>
        <w:rPr>
          <w:b/>
          <w:lang w:val="uk-UA"/>
        </w:rPr>
      </w:pPr>
      <w:proofErr w:type="spellStart"/>
      <w:r>
        <w:rPr>
          <w:b/>
          <w:lang w:val="uk-UA"/>
        </w:rPr>
        <w:t>Романуша</w:t>
      </w:r>
      <w:proofErr w:type="spellEnd"/>
      <w:r>
        <w:rPr>
          <w:b/>
          <w:lang w:val="uk-UA"/>
        </w:rPr>
        <w:t xml:space="preserve"> Юлія Володимирівна</w:t>
      </w:r>
    </w:p>
    <w:p w:rsidR="00FC3B10" w:rsidRDefault="00FC3B10" w:rsidP="00FC3B10">
      <w:pPr>
        <w:spacing w:line="240" w:lineRule="auto"/>
        <w:ind w:left="4253" w:firstLine="0"/>
        <w:jc w:val="right"/>
        <w:rPr>
          <w:lang w:val="uk-UA"/>
        </w:rPr>
      </w:pPr>
      <w:r>
        <w:rPr>
          <w:lang w:val="uk-UA"/>
        </w:rPr>
        <w:t xml:space="preserve">кандидат економічних наук, </w:t>
      </w:r>
    </w:p>
    <w:p w:rsidR="00FC3B10" w:rsidRDefault="00FC3B10" w:rsidP="00FC3B10">
      <w:pPr>
        <w:spacing w:line="240" w:lineRule="auto"/>
        <w:ind w:left="4253" w:firstLine="0"/>
        <w:jc w:val="right"/>
        <w:rPr>
          <w:lang w:val="uk-UA"/>
        </w:rPr>
      </w:pPr>
      <w:r>
        <w:rPr>
          <w:lang w:val="uk-UA"/>
        </w:rPr>
        <w:t>доцент кафедри економіки підприємств та менеджменту</w:t>
      </w:r>
    </w:p>
    <w:p w:rsidR="00FC3B10" w:rsidRDefault="00FC3B10" w:rsidP="00FC3B10">
      <w:pPr>
        <w:spacing w:line="240" w:lineRule="auto"/>
        <w:ind w:left="4253" w:firstLine="0"/>
        <w:jc w:val="right"/>
        <w:rPr>
          <w:lang w:val="uk-UA"/>
        </w:rPr>
      </w:pPr>
      <w:r>
        <w:rPr>
          <w:lang w:val="uk-UA"/>
        </w:rPr>
        <w:t xml:space="preserve">Навчально-науковий </w:t>
      </w:r>
      <w:proofErr w:type="spellStart"/>
      <w:r>
        <w:rPr>
          <w:lang w:val="uk-UA"/>
        </w:rPr>
        <w:t>професійно</w:t>
      </w:r>
      <w:proofErr w:type="spellEnd"/>
      <w:r>
        <w:rPr>
          <w:lang w:val="uk-UA"/>
        </w:rPr>
        <w:t>-педагогічний інститут</w:t>
      </w:r>
    </w:p>
    <w:p w:rsidR="00FC3B10" w:rsidRDefault="00FC3B10" w:rsidP="00FC3B10">
      <w:pPr>
        <w:spacing w:line="240" w:lineRule="auto"/>
        <w:ind w:left="4253" w:firstLine="0"/>
        <w:jc w:val="right"/>
        <w:rPr>
          <w:lang w:val="uk-UA"/>
        </w:rPr>
      </w:pPr>
      <w:r>
        <w:rPr>
          <w:lang w:val="uk-UA"/>
        </w:rPr>
        <w:t xml:space="preserve">Української інженерно-педагогічної академії (м. </w:t>
      </w:r>
      <w:proofErr w:type="spellStart"/>
      <w:r>
        <w:rPr>
          <w:lang w:val="uk-UA"/>
        </w:rPr>
        <w:t>Бахмут</w:t>
      </w:r>
      <w:proofErr w:type="spellEnd"/>
      <w:r>
        <w:rPr>
          <w:lang w:val="uk-UA"/>
        </w:rPr>
        <w:t>), м. Харків, Україна</w:t>
      </w:r>
    </w:p>
    <w:p w:rsidR="00FC3B10" w:rsidRDefault="00FC3B10" w:rsidP="00FC3B10">
      <w:pPr>
        <w:spacing w:line="240" w:lineRule="auto"/>
        <w:ind w:left="4253" w:firstLine="0"/>
        <w:jc w:val="right"/>
        <w:rPr>
          <w:bCs/>
          <w:color w:val="000000" w:themeColor="text1"/>
          <w:lang w:val="en-US"/>
        </w:rPr>
      </w:pPr>
      <w:proofErr w:type="spellStart"/>
      <w:r w:rsidRPr="00A20E1A">
        <w:rPr>
          <w:lang w:val="uk-UA"/>
        </w:rPr>
        <w:t>ORCIDiD</w:t>
      </w:r>
      <w:proofErr w:type="spellEnd"/>
      <w:r w:rsidRPr="00A20E1A">
        <w:rPr>
          <w:lang w:val="uk-UA"/>
        </w:rPr>
        <w:t xml:space="preserve">: </w:t>
      </w:r>
      <w:r w:rsidRPr="00A20E1A">
        <w:rPr>
          <w:bCs/>
          <w:color w:val="000000" w:themeColor="text1"/>
          <w:lang w:val="en-US"/>
        </w:rPr>
        <w:t>0000-0003-0004-5594</w:t>
      </w:r>
    </w:p>
    <w:p w:rsidR="00FC3B10" w:rsidRDefault="00FC3B10" w:rsidP="00FC3B10">
      <w:pPr>
        <w:spacing w:line="240" w:lineRule="auto"/>
        <w:ind w:left="4253" w:firstLine="0"/>
        <w:jc w:val="right"/>
        <w:rPr>
          <w:bCs/>
          <w:color w:val="000000" w:themeColor="text1"/>
          <w:lang w:val="en-US"/>
        </w:rPr>
      </w:pPr>
    </w:p>
    <w:p w:rsidR="00FC3B10" w:rsidRPr="00FC3B10" w:rsidRDefault="00FC3B10" w:rsidP="00FC3B10">
      <w:pPr>
        <w:ind w:firstLine="0"/>
        <w:jc w:val="center"/>
        <w:rPr>
          <w:b/>
          <w:lang w:val="uk-UA"/>
        </w:rPr>
      </w:pPr>
      <w:r w:rsidRPr="00FC3B10">
        <w:rPr>
          <w:b/>
          <w:bCs/>
          <w:color w:val="000000" w:themeColor="text1"/>
          <w:lang w:val="uk-UA"/>
        </w:rPr>
        <w:t>ДОСЛІДЖЕННЯ НОВІТНІХ ІНСТРУМЕНТІВ МАРКЕТИНГОВОЇ КОМУНІКАЦІЙНОЇ ПОЛІТИКИ ПРИ ПЛАНУВАННІ ВСТУПНОЇ КАМПАНІЇ ЗАКЛАДУ ВИЩОЇ ОСВІТИ</w:t>
      </w:r>
    </w:p>
    <w:p w:rsidR="00FC3B10" w:rsidRPr="00716EB3" w:rsidRDefault="00FC3B10" w:rsidP="00FC3B10">
      <w:pPr>
        <w:spacing w:line="240" w:lineRule="auto"/>
        <w:ind w:left="4253" w:firstLine="0"/>
        <w:jc w:val="right"/>
        <w:rPr>
          <w:lang w:val="uk-UA"/>
        </w:rPr>
      </w:pPr>
    </w:p>
    <w:p w:rsidR="00A06E2C" w:rsidRDefault="00E20147" w:rsidP="009246F0">
      <w:pPr>
        <w:rPr>
          <w:lang w:val="uk-UA"/>
        </w:rPr>
      </w:pPr>
      <w:r>
        <w:rPr>
          <w:lang w:val="uk-UA"/>
        </w:rPr>
        <w:t xml:space="preserve">Високий рівень конкурентоспроможності вітчизняних закладів вищої освіти є однією з умов успішної євроінтеграції, що обумовило необхідність </w:t>
      </w:r>
      <w:proofErr w:type="spellStart"/>
      <w:r>
        <w:rPr>
          <w:lang w:val="uk-UA"/>
        </w:rPr>
        <w:t>вищів</w:t>
      </w:r>
      <w:proofErr w:type="spellEnd"/>
      <w:r>
        <w:rPr>
          <w:lang w:val="uk-UA"/>
        </w:rPr>
        <w:t xml:space="preserve"> України впроваджувати сучасні технології та методи навчання, відкривати нові спеціальності та розширювати спектр освітніх послуг. Разом з тим, виникла нагальна потреба у розповсюдженні інформації щодо освітньої діяльності та конкурентних перевагах кожного закладу з метою привернення уваги цільової аудиторії – потенційних здобувачів освіти. Ефективним інструментом при вирішенні цього питання є комплекс комунікацій, який розроблюється в межах комунікаційної політики суб'єкт</w:t>
      </w:r>
      <w:r w:rsidR="00AF22CC">
        <w:rPr>
          <w:lang w:val="uk-UA"/>
        </w:rPr>
        <w:t>а</w:t>
      </w:r>
      <w:r>
        <w:rPr>
          <w:lang w:val="uk-UA"/>
        </w:rPr>
        <w:t xml:space="preserve"> управління</w:t>
      </w:r>
      <w:r w:rsidR="009246F0">
        <w:rPr>
          <w:lang w:val="uk-UA"/>
        </w:rPr>
        <w:t xml:space="preserve">. </w:t>
      </w:r>
    </w:p>
    <w:p w:rsidR="00E20147" w:rsidRDefault="009246F0" w:rsidP="009246F0">
      <w:pPr>
        <w:rPr>
          <w:lang w:val="uk-UA"/>
        </w:rPr>
      </w:pPr>
      <w:r>
        <w:rPr>
          <w:lang w:val="uk-UA"/>
        </w:rPr>
        <w:t>Д</w:t>
      </w:r>
      <w:r w:rsidR="00E20147">
        <w:rPr>
          <w:lang w:val="uk-UA"/>
        </w:rPr>
        <w:t xml:space="preserve">ослідження ефективності та результативності комунікаційної політики, як одного з напрямів діяльності саме закладів вищої освіти, сьогодні перебувають ще у початковому стані, немає достатньо розвинутого теоретичного обґрунтування її складових категорій та вимагає удосконалення методологічно-інструментальне забезпечення реалізації цілей комунікаційної політики ЗВО. </w:t>
      </w:r>
      <w:r w:rsidR="00A06E2C">
        <w:rPr>
          <w:lang w:val="uk-UA"/>
        </w:rPr>
        <w:t>Проте</w:t>
      </w:r>
      <w:bookmarkStart w:id="0" w:name="_GoBack"/>
      <w:bookmarkEnd w:id="0"/>
      <w:r w:rsidR="00E20147">
        <w:rPr>
          <w:lang w:val="uk-UA"/>
        </w:rPr>
        <w:t xml:space="preserve">, варто звернути увагу на наукові здобутки у цьому напрямі у працях </w:t>
      </w:r>
      <w:proofErr w:type="spellStart"/>
      <w:r w:rsidR="00E20147">
        <w:rPr>
          <w:lang w:val="uk-UA"/>
        </w:rPr>
        <w:t>Волкової</w:t>
      </w:r>
      <w:proofErr w:type="spellEnd"/>
      <w:r w:rsidR="00E20147">
        <w:rPr>
          <w:lang w:val="uk-UA"/>
        </w:rPr>
        <w:t xml:space="preserve"> В.В. та </w:t>
      </w:r>
      <w:proofErr w:type="spellStart"/>
      <w:r w:rsidR="00E20147">
        <w:rPr>
          <w:lang w:val="uk-UA"/>
        </w:rPr>
        <w:t>Огліх</w:t>
      </w:r>
      <w:proofErr w:type="spellEnd"/>
      <w:r w:rsidR="00E20147">
        <w:rPr>
          <w:lang w:val="uk-UA"/>
        </w:rPr>
        <w:t xml:space="preserve"> В.В., де вчені розглядають комунікаційну політику ЗВО України як основу його успішного функціонування. Науковий інтерес до комунікаційної політики ЗВО у вітчизняній практиці має тенденцію до розширення кола зацікавлених науковців, оскільки удосконалення системи управління вітчизняними вишами формує інтегральні показники рейтингу освіти </w:t>
      </w:r>
      <w:r w:rsidR="00E20147">
        <w:rPr>
          <w:lang w:val="uk-UA"/>
        </w:rPr>
        <w:lastRenderedPageBreak/>
        <w:t xml:space="preserve">на міжнародному рівні, що в кінцевому рахунку відбивається на конкурентоспроможності нашої держави у світовому вимірі. </w:t>
      </w:r>
    </w:p>
    <w:p w:rsidR="003E2BCC" w:rsidRDefault="009246F0" w:rsidP="003E2BCC">
      <w:pPr>
        <w:rPr>
          <w:lang w:val="uk-UA"/>
        </w:rPr>
      </w:pPr>
      <w:r>
        <w:rPr>
          <w:lang w:val="uk-UA"/>
        </w:rPr>
        <w:t>У</w:t>
      </w:r>
      <w:r w:rsidR="003E2BCC">
        <w:rPr>
          <w:lang w:val="uk-UA"/>
        </w:rPr>
        <w:t xml:space="preserve">спішна реалізація маркетингової стратегії закладу вищої освіти забезпечується застосуванням сукупності інструментів комунікаційного впливу на вибір абітурієнтами саме цього закладу. </w:t>
      </w:r>
      <w:r w:rsidR="003E2BCC" w:rsidRPr="00904EF9">
        <w:rPr>
          <w:lang w:val="uk-UA"/>
        </w:rPr>
        <w:t xml:space="preserve">Тож, актуалізація досліджень щодо пошуку результативних напрямів реалізації комунікаційної політики закладу вищої освіти обґрунтовується </w:t>
      </w:r>
      <w:r w:rsidR="003E2BCC">
        <w:rPr>
          <w:lang w:val="uk-UA"/>
        </w:rPr>
        <w:t xml:space="preserve">наявністю </w:t>
      </w:r>
      <w:r w:rsidR="003E2BCC" w:rsidRPr="00904EF9">
        <w:rPr>
          <w:lang w:val="uk-UA"/>
        </w:rPr>
        <w:t>сформован</w:t>
      </w:r>
      <w:r w:rsidR="003E2BCC">
        <w:rPr>
          <w:lang w:val="uk-UA"/>
        </w:rPr>
        <w:t>ого</w:t>
      </w:r>
      <w:r w:rsidR="003E2BCC" w:rsidRPr="00904EF9">
        <w:rPr>
          <w:lang w:val="uk-UA"/>
        </w:rPr>
        <w:t xml:space="preserve"> у цільового сегменту  адекватного трактування та сприйняття наданої інформації </w:t>
      </w:r>
      <w:r w:rsidR="003E2BCC">
        <w:rPr>
          <w:lang w:val="uk-UA"/>
        </w:rPr>
        <w:t>як реакцію на застосування інструментів маркетингової комунікаційної політики  через обрані канали комунікації та забезпечення ефективного зворотного зв'язку з прийняттям рішення на користь організатора комунікаційного процесу.</w:t>
      </w:r>
    </w:p>
    <w:p w:rsidR="003E2BCC" w:rsidRDefault="003E2BCC" w:rsidP="003E2BCC">
      <w:pPr>
        <w:autoSpaceDE w:val="0"/>
        <w:autoSpaceDN w:val="0"/>
        <w:adjustRightInd w:val="0"/>
        <w:rPr>
          <w:rFonts w:ascii="TimesNewRomanPSMT" w:hAnsi="TimesNewRomanPSMT" w:cs="TimesNewRomanPSMT"/>
          <w:sz w:val="29"/>
          <w:szCs w:val="29"/>
          <w:lang w:val="uk-UA"/>
        </w:rPr>
      </w:pPr>
      <w:r>
        <w:rPr>
          <w:lang w:val="uk-UA"/>
        </w:rPr>
        <w:t>Розглядаючи комунікаційну політику як засіб досягнення стратегічних маркетингових цілей підприємства, організації, зокрема, закладу вищої освіти, варто досліджувати та удосконалювати її комплекс з орієнтацією на цілі роботи з цільовими сегментами.</w:t>
      </w:r>
    </w:p>
    <w:p w:rsidR="003E2BCC" w:rsidRDefault="003E2BCC" w:rsidP="003E2BCC">
      <w:pPr>
        <w:autoSpaceDE w:val="0"/>
        <w:autoSpaceDN w:val="0"/>
        <w:adjustRightInd w:val="0"/>
        <w:rPr>
          <w:color w:val="FF0000"/>
          <w:lang w:val="uk-UA"/>
        </w:rPr>
      </w:pPr>
      <w:r w:rsidRPr="002F32D9">
        <w:rPr>
          <w:rFonts w:ascii="TimesNewRomanPSMT" w:hAnsi="TimesNewRomanPSMT" w:cs="TimesNewRomanPSMT"/>
          <w:sz w:val="29"/>
          <w:szCs w:val="29"/>
          <w:lang w:val="uk-UA"/>
        </w:rPr>
        <w:t xml:space="preserve">У </w:t>
      </w:r>
      <w:r>
        <w:rPr>
          <w:rFonts w:ascii="TimesNewRomanPSMT" w:hAnsi="TimesNewRomanPSMT" w:cs="TimesNewRomanPSMT"/>
          <w:sz w:val="29"/>
          <w:szCs w:val="29"/>
          <w:lang w:val="uk-UA"/>
        </w:rPr>
        <w:t>наукових працях</w:t>
      </w:r>
      <w:r w:rsidRPr="002F32D9">
        <w:rPr>
          <w:rFonts w:ascii="TimesNewRomanPSMT" w:hAnsi="TimesNewRomanPSMT" w:cs="TimesNewRomanPSMT"/>
          <w:sz w:val="29"/>
          <w:szCs w:val="29"/>
          <w:lang w:val="uk-UA"/>
        </w:rPr>
        <w:t xml:space="preserve"> </w:t>
      </w:r>
      <w:proofErr w:type="spellStart"/>
      <w:r w:rsidRPr="002F32D9">
        <w:rPr>
          <w:rFonts w:ascii="TimesNewRomanPSMT" w:hAnsi="TimesNewRomanPSMT" w:cs="TimesNewRomanPSMT"/>
          <w:sz w:val="29"/>
          <w:szCs w:val="29"/>
          <w:lang w:val="uk-UA"/>
        </w:rPr>
        <w:t>Волкової</w:t>
      </w:r>
      <w:proofErr w:type="spellEnd"/>
      <w:r w:rsidRPr="002F32D9">
        <w:rPr>
          <w:rFonts w:ascii="TimesNewRomanPSMT" w:hAnsi="TimesNewRomanPSMT" w:cs="TimesNewRomanPSMT"/>
          <w:sz w:val="29"/>
          <w:szCs w:val="29"/>
          <w:lang w:val="uk-UA"/>
        </w:rPr>
        <w:t xml:space="preserve"> В.В. та </w:t>
      </w:r>
      <w:proofErr w:type="spellStart"/>
      <w:r w:rsidRPr="002F32D9">
        <w:rPr>
          <w:rFonts w:ascii="TimesNewRomanPSMT" w:hAnsi="TimesNewRomanPSMT" w:cs="TimesNewRomanPSMT"/>
          <w:sz w:val="29"/>
          <w:szCs w:val="29"/>
          <w:lang w:val="uk-UA"/>
        </w:rPr>
        <w:t>Огліх</w:t>
      </w:r>
      <w:proofErr w:type="spellEnd"/>
      <w:r w:rsidRPr="002F32D9">
        <w:rPr>
          <w:rFonts w:ascii="TimesNewRomanPSMT" w:hAnsi="TimesNewRomanPSMT" w:cs="TimesNewRomanPSMT"/>
          <w:sz w:val="29"/>
          <w:szCs w:val="29"/>
          <w:lang w:val="uk-UA"/>
        </w:rPr>
        <w:t xml:space="preserve"> В.В. під комунікаційною політикою </w:t>
      </w:r>
      <w:r>
        <w:rPr>
          <w:rFonts w:ascii="TimesNewRomanPSMT" w:hAnsi="TimesNewRomanPSMT" w:cs="TimesNewRomanPSMT"/>
          <w:sz w:val="29"/>
          <w:szCs w:val="29"/>
          <w:lang w:val="uk-UA"/>
        </w:rPr>
        <w:t xml:space="preserve">саме ЗВО </w:t>
      </w:r>
      <w:r w:rsidRPr="002F32D9">
        <w:rPr>
          <w:rFonts w:ascii="TimesNewRomanPSMT" w:hAnsi="TimesNewRomanPSMT" w:cs="TimesNewRomanPSMT"/>
          <w:sz w:val="29"/>
          <w:szCs w:val="29"/>
          <w:lang w:val="uk-UA"/>
        </w:rPr>
        <w:t xml:space="preserve">визначається система внутрішніх і зовнішніх </w:t>
      </w:r>
      <w:proofErr w:type="spellStart"/>
      <w:r w:rsidRPr="002F32D9">
        <w:rPr>
          <w:rFonts w:ascii="TimesNewRomanPSMT" w:hAnsi="TimesNewRomanPSMT" w:cs="TimesNewRomanPSMT"/>
          <w:sz w:val="29"/>
          <w:szCs w:val="29"/>
          <w:lang w:val="uk-UA"/>
        </w:rPr>
        <w:t>зв’язків</w:t>
      </w:r>
      <w:proofErr w:type="spellEnd"/>
      <w:r w:rsidRPr="002F32D9">
        <w:rPr>
          <w:rFonts w:ascii="TimesNewRomanPSMT" w:hAnsi="TimesNewRomanPSMT" w:cs="TimesNewRomanPSMT"/>
          <w:sz w:val="29"/>
          <w:szCs w:val="29"/>
          <w:lang w:val="uk-UA"/>
        </w:rPr>
        <w:t xml:space="preserve">, сформованих у процесі становлення та розвитку, яка свідомо та цілеспрямовано підтримується та удосконалюється закладом для створення високого іміджевого, репутаційного та рейтингового рівня, а також для формування стійкого попиту на його освітні </w:t>
      </w:r>
      <w:r w:rsidRPr="002F32D9">
        <w:rPr>
          <w:lang w:val="uk-UA"/>
        </w:rPr>
        <w:t xml:space="preserve">послуги </w:t>
      </w:r>
      <w:r w:rsidRPr="00975C10">
        <w:rPr>
          <w:lang w:val="uk-UA"/>
        </w:rPr>
        <w:t>[</w:t>
      </w:r>
      <w:r w:rsidR="00975C10" w:rsidRPr="00975C10">
        <w:rPr>
          <w:lang w:val="uk-UA"/>
        </w:rPr>
        <w:t>1</w:t>
      </w:r>
      <w:r w:rsidRPr="00975C10">
        <w:rPr>
          <w:lang w:val="uk-UA"/>
        </w:rPr>
        <w:t>].</w:t>
      </w:r>
    </w:p>
    <w:p w:rsidR="009246F0" w:rsidRDefault="009246F0" w:rsidP="009246F0">
      <w:pPr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Таким чином, результати теоретичного аналізу сутності маркетингової комунікаційної політики дозволили визначити її кінцеву мету саме для закладів вищої освіти, яку можна</w:t>
      </w:r>
      <w:r>
        <w:rPr>
          <w:lang w:val="uk-UA"/>
        </w:rPr>
        <w:t xml:space="preserve"> розуміти</w:t>
      </w:r>
      <w:r>
        <w:rPr>
          <w:lang w:val="uk-UA"/>
        </w:rPr>
        <w:t xml:space="preserve"> як</w:t>
      </w:r>
      <w:r>
        <w:rPr>
          <w:lang w:val="uk-UA"/>
        </w:rPr>
        <w:t xml:space="preserve"> приріст чисельності здобувачів освіти та підвищення іміджу ЗВО внаслідок використання раціонально розробленої системи заходів з формування та підтримки високого іміджевого, репутаційного та рейтингового рівня ЗВО задля забезпечення ефективного попиту на освітні послуги та привернення уваги </w:t>
      </w:r>
      <w:proofErr w:type="spellStart"/>
      <w:r>
        <w:rPr>
          <w:lang w:val="uk-UA"/>
        </w:rPr>
        <w:t>стейкхолдерів</w:t>
      </w:r>
      <w:proofErr w:type="spellEnd"/>
      <w:r>
        <w:rPr>
          <w:lang w:val="uk-UA"/>
        </w:rPr>
        <w:t>.</w:t>
      </w:r>
    </w:p>
    <w:p w:rsidR="00975C10" w:rsidRDefault="003E2BCC" w:rsidP="003E2BCC">
      <w:pPr>
        <w:widowControl w:val="0"/>
        <w:tabs>
          <w:tab w:val="left" w:pos="851"/>
        </w:tabs>
        <w:autoSpaceDE w:val="0"/>
        <w:autoSpaceDN w:val="0"/>
        <w:adjustRightInd w:val="0"/>
        <w:rPr>
          <w:rFonts w:cs="Arimo"/>
          <w:lang w:val="uk-UA"/>
        </w:rPr>
      </w:pPr>
      <w:r>
        <w:rPr>
          <w:rFonts w:cs="Arimo"/>
          <w:lang w:val="uk-UA"/>
        </w:rPr>
        <w:t>Процес визначення сукупності інструментів комплексу маркетингових комунікацій</w:t>
      </w:r>
      <w:r w:rsidR="00975C10">
        <w:rPr>
          <w:rFonts w:cs="Arimo"/>
          <w:lang w:val="uk-UA"/>
        </w:rPr>
        <w:t xml:space="preserve"> (базових, синтетичних та новітніх)</w:t>
      </w:r>
      <w:r>
        <w:rPr>
          <w:rFonts w:cs="Arimo"/>
          <w:lang w:val="uk-UA"/>
        </w:rPr>
        <w:t xml:space="preserve"> детально розкрито у </w:t>
      </w:r>
      <w:r>
        <w:rPr>
          <w:rFonts w:cs="Arimo"/>
          <w:lang w:val="uk-UA"/>
        </w:rPr>
        <w:lastRenderedPageBreak/>
        <w:t xml:space="preserve">дослідженнях Т.В. Ільченко та Л.М. </w:t>
      </w:r>
      <w:proofErr w:type="spellStart"/>
      <w:r>
        <w:rPr>
          <w:rFonts w:cs="Arimo"/>
          <w:lang w:val="uk-UA"/>
        </w:rPr>
        <w:t>Помазан</w:t>
      </w:r>
      <w:proofErr w:type="spellEnd"/>
      <w:r>
        <w:rPr>
          <w:rFonts w:cs="Arimo"/>
          <w:lang w:val="uk-UA"/>
        </w:rPr>
        <w:t>, в яких наведено доцільність їх застосування у практиці промислових підприємств </w:t>
      </w:r>
      <w:r w:rsidRPr="00975C10">
        <w:rPr>
          <w:rFonts w:cs="Arimo"/>
          <w:lang w:val="en-US"/>
        </w:rPr>
        <w:t>[</w:t>
      </w:r>
      <w:r w:rsidR="00975C10" w:rsidRPr="00975C10">
        <w:rPr>
          <w:rFonts w:cs="Arimo"/>
          <w:lang w:val="uk-UA"/>
        </w:rPr>
        <w:t>2</w:t>
      </w:r>
      <w:r w:rsidRPr="00975C10">
        <w:rPr>
          <w:rFonts w:cs="Arimo"/>
          <w:lang w:val="en-US"/>
        </w:rPr>
        <w:t>]</w:t>
      </w:r>
      <w:r w:rsidRPr="00975C10">
        <w:rPr>
          <w:rFonts w:cs="Arimo"/>
          <w:lang w:val="uk-UA"/>
        </w:rPr>
        <w:t xml:space="preserve">. </w:t>
      </w:r>
    </w:p>
    <w:p w:rsidR="003E2BCC" w:rsidRDefault="003E2BCC" w:rsidP="003E2BCC">
      <w:pPr>
        <w:widowControl w:val="0"/>
        <w:tabs>
          <w:tab w:val="left" w:pos="851"/>
        </w:tabs>
        <w:autoSpaceDE w:val="0"/>
        <w:autoSpaceDN w:val="0"/>
        <w:adjustRightInd w:val="0"/>
        <w:rPr>
          <w:rFonts w:cs="Arimo"/>
          <w:lang w:val="uk-UA"/>
        </w:rPr>
      </w:pPr>
      <w:r>
        <w:rPr>
          <w:rFonts w:cs="Arimo"/>
          <w:lang w:val="uk-UA"/>
        </w:rPr>
        <w:t>Запропонована авторами система класифікації інструментів маркетингової комунікаційної політики є підставою сформованого авторського бачення доцільності застосування новітніх інстр</w:t>
      </w:r>
      <w:r w:rsidR="009246F0">
        <w:rPr>
          <w:rFonts w:cs="Arimo"/>
          <w:lang w:val="uk-UA"/>
        </w:rPr>
        <w:t>ументів у діяльності ЗВО, табл. </w:t>
      </w:r>
      <w:r>
        <w:rPr>
          <w:rFonts w:cs="Arimo"/>
          <w:lang w:val="uk-UA"/>
        </w:rPr>
        <w:t>1.</w:t>
      </w:r>
    </w:p>
    <w:p w:rsidR="003E2BCC" w:rsidRDefault="003E2BCC" w:rsidP="003E2BCC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rFonts w:cs="Arimo"/>
          <w:lang w:val="uk-UA"/>
        </w:rPr>
      </w:pPr>
      <w:r>
        <w:rPr>
          <w:rFonts w:cs="Arimo"/>
          <w:lang w:val="uk-UA"/>
        </w:rPr>
        <w:t>Таблиця 1</w:t>
      </w:r>
    </w:p>
    <w:p w:rsidR="003E2BCC" w:rsidRDefault="003E2BCC" w:rsidP="003E2BCC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jc w:val="center"/>
        <w:rPr>
          <w:rFonts w:cs="Arimo"/>
          <w:b/>
          <w:lang w:val="uk-UA"/>
        </w:rPr>
      </w:pPr>
      <w:r w:rsidRPr="005F40DD">
        <w:rPr>
          <w:rFonts w:cs="Arimo"/>
          <w:b/>
          <w:lang w:val="uk-UA"/>
        </w:rPr>
        <w:t>Пропозиції до застосування інструментів маркетингової комунікаційної політики у діяльності ЗВО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6"/>
        <w:gridCol w:w="4048"/>
        <w:gridCol w:w="1704"/>
        <w:gridCol w:w="1800"/>
      </w:tblGrid>
      <w:tr w:rsidR="003E2BCC" w:rsidRPr="00F92334" w:rsidTr="00975C10">
        <w:tc>
          <w:tcPr>
            <w:tcW w:w="1078" w:type="pct"/>
          </w:tcPr>
          <w:p w:rsidR="003E2BCC" w:rsidRPr="007C390A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7C390A">
              <w:rPr>
                <w:rFonts w:cs="Arimo"/>
                <w:sz w:val="22"/>
                <w:szCs w:val="22"/>
                <w:lang w:val="uk-UA"/>
              </w:rPr>
              <w:t>Інструмент комплексу комунікацій</w:t>
            </w:r>
          </w:p>
        </w:tc>
        <w:tc>
          <w:tcPr>
            <w:tcW w:w="2102" w:type="pct"/>
            <w:vAlign w:val="center"/>
          </w:tcPr>
          <w:p w:rsidR="003E2BCC" w:rsidRPr="007C390A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7C390A">
              <w:rPr>
                <w:rFonts w:cs="Arimo"/>
                <w:sz w:val="22"/>
                <w:szCs w:val="22"/>
                <w:lang w:val="uk-UA"/>
              </w:rPr>
              <w:t>Характеристика, приклад використання</w:t>
            </w:r>
          </w:p>
        </w:tc>
        <w:tc>
          <w:tcPr>
            <w:tcW w:w="885" w:type="pct"/>
          </w:tcPr>
          <w:p w:rsidR="003E2BCC" w:rsidRPr="007C390A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7C390A">
              <w:rPr>
                <w:rFonts w:cs="Arimo"/>
                <w:sz w:val="22"/>
                <w:szCs w:val="22"/>
                <w:lang w:val="uk-UA"/>
              </w:rPr>
              <w:t xml:space="preserve">Етап </w:t>
            </w:r>
          </w:p>
          <w:p w:rsidR="003E2BCC" w:rsidRPr="007C390A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7C390A">
              <w:rPr>
                <w:rFonts w:cs="Arimo"/>
                <w:sz w:val="22"/>
                <w:szCs w:val="22"/>
                <w:lang w:val="uk-UA"/>
              </w:rPr>
              <w:t>вступної кампанії</w:t>
            </w:r>
          </w:p>
        </w:tc>
        <w:tc>
          <w:tcPr>
            <w:tcW w:w="935" w:type="pct"/>
            <w:vAlign w:val="center"/>
          </w:tcPr>
          <w:p w:rsidR="003E2BCC" w:rsidRPr="007C390A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7C390A">
              <w:rPr>
                <w:rFonts w:cs="Arimo"/>
                <w:sz w:val="22"/>
                <w:szCs w:val="22"/>
                <w:lang w:val="uk-UA"/>
              </w:rPr>
              <w:t>Результат або ефект</w:t>
            </w:r>
          </w:p>
        </w:tc>
      </w:tr>
      <w:tr w:rsidR="009246F0" w:rsidRPr="00F92334" w:rsidTr="00975C10">
        <w:tc>
          <w:tcPr>
            <w:tcW w:w="1078" w:type="pct"/>
          </w:tcPr>
          <w:p w:rsidR="009246F0" w:rsidRPr="007C390A" w:rsidRDefault="009246F0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>
              <w:rPr>
                <w:rFonts w:cs="Arimo"/>
                <w:sz w:val="22"/>
                <w:szCs w:val="22"/>
                <w:lang w:val="uk-UA"/>
              </w:rPr>
              <w:t>1</w:t>
            </w:r>
          </w:p>
        </w:tc>
        <w:tc>
          <w:tcPr>
            <w:tcW w:w="2102" w:type="pct"/>
            <w:vAlign w:val="center"/>
          </w:tcPr>
          <w:p w:rsidR="009246F0" w:rsidRPr="007C390A" w:rsidRDefault="009246F0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>
              <w:rPr>
                <w:rFonts w:cs="Arimo"/>
                <w:sz w:val="22"/>
                <w:szCs w:val="22"/>
                <w:lang w:val="uk-UA"/>
              </w:rPr>
              <w:t>2</w:t>
            </w:r>
          </w:p>
        </w:tc>
        <w:tc>
          <w:tcPr>
            <w:tcW w:w="885" w:type="pct"/>
          </w:tcPr>
          <w:p w:rsidR="009246F0" w:rsidRPr="007C390A" w:rsidRDefault="009246F0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>
              <w:rPr>
                <w:rFonts w:cs="Arimo"/>
                <w:sz w:val="22"/>
                <w:szCs w:val="22"/>
                <w:lang w:val="uk-UA"/>
              </w:rPr>
              <w:t>3</w:t>
            </w:r>
          </w:p>
        </w:tc>
        <w:tc>
          <w:tcPr>
            <w:tcW w:w="935" w:type="pct"/>
            <w:vAlign w:val="center"/>
          </w:tcPr>
          <w:p w:rsidR="009246F0" w:rsidRPr="007C390A" w:rsidRDefault="009246F0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>
              <w:rPr>
                <w:rFonts w:cs="Arimo"/>
                <w:sz w:val="22"/>
                <w:szCs w:val="22"/>
                <w:lang w:val="uk-UA"/>
              </w:rPr>
              <w:t>4</w:t>
            </w:r>
          </w:p>
        </w:tc>
      </w:tr>
      <w:tr w:rsidR="003E2BCC" w:rsidRPr="00F92334" w:rsidTr="00975C10">
        <w:tc>
          <w:tcPr>
            <w:tcW w:w="1078" w:type="pct"/>
            <w:vAlign w:val="center"/>
          </w:tcPr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mo"/>
                <w:bCs/>
                <w:sz w:val="22"/>
                <w:szCs w:val="22"/>
              </w:rPr>
            </w:pPr>
            <w:proofErr w:type="spellStart"/>
            <w:r w:rsidRPr="00F92334">
              <w:rPr>
                <w:rFonts w:cs="Arimo"/>
                <w:bCs/>
                <w:sz w:val="22"/>
                <w:szCs w:val="22"/>
                <w:lang w:val="uk-UA"/>
              </w:rPr>
              <w:t>Трендсеттінг</w:t>
            </w:r>
            <w:proofErr w:type="spellEnd"/>
            <w:r w:rsidRPr="00F92334">
              <w:rPr>
                <w:rFonts w:cs="Arimo"/>
                <w:bCs/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F92334">
              <w:rPr>
                <w:rFonts w:cs="Arimo"/>
                <w:bCs/>
                <w:sz w:val="22"/>
                <w:szCs w:val="22"/>
                <w:lang w:val="uk-UA"/>
              </w:rPr>
              <w:t>трендвотчінг</w:t>
            </w:r>
            <w:proofErr w:type="spellEnd"/>
          </w:p>
        </w:tc>
        <w:tc>
          <w:tcPr>
            <w:tcW w:w="2102" w:type="pct"/>
            <w:vAlign w:val="center"/>
          </w:tcPr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rFonts w:cs="Arimo"/>
                <w:sz w:val="22"/>
                <w:szCs w:val="22"/>
              </w:rPr>
            </w:pPr>
            <w:r w:rsidRPr="00F92334">
              <w:rPr>
                <w:rFonts w:cs="Arimo"/>
                <w:sz w:val="22"/>
                <w:szCs w:val="22"/>
                <w:lang w:val="uk-UA"/>
              </w:rPr>
              <w:t xml:space="preserve">Популяризація нового віяння, бренду або технології. </w:t>
            </w:r>
          </w:p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rFonts w:cs="Arimo"/>
                <w:sz w:val="22"/>
                <w:szCs w:val="22"/>
              </w:rPr>
            </w:pPr>
            <w:r w:rsidRPr="00F92334">
              <w:rPr>
                <w:rFonts w:cs="Arimo"/>
                <w:sz w:val="22"/>
                <w:szCs w:val="22"/>
                <w:lang w:val="uk-UA"/>
              </w:rPr>
              <w:t>Можливе застосування у практиці ЗВО  шляхом відкриття нових спеціальностей, удосконалення освітніх програм, впровадження новітніх методів навчання.</w:t>
            </w:r>
          </w:p>
        </w:tc>
        <w:tc>
          <w:tcPr>
            <w:tcW w:w="885" w:type="pct"/>
            <w:vAlign w:val="center"/>
          </w:tcPr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F92334">
              <w:rPr>
                <w:rFonts w:cs="Arimo"/>
                <w:sz w:val="22"/>
                <w:szCs w:val="22"/>
                <w:lang w:val="uk-UA"/>
              </w:rPr>
              <w:t>Ситуаційно.</w:t>
            </w:r>
          </w:p>
        </w:tc>
        <w:tc>
          <w:tcPr>
            <w:tcW w:w="935" w:type="pct"/>
            <w:vAlign w:val="center"/>
          </w:tcPr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F92334">
              <w:rPr>
                <w:rFonts w:cs="Arimo"/>
                <w:sz w:val="22"/>
                <w:szCs w:val="22"/>
                <w:lang w:val="uk-UA"/>
              </w:rPr>
              <w:t>Підвищення рейтингу ЗВО,</w:t>
            </w:r>
          </w:p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F92334">
              <w:rPr>
                <w:rFonts w:cs="Arimo"/>
                <w:sz w:val="22"/>
                <w:szCs w:val="22"/>
                <w:lang w:val="uk-UA"/>
              </w:rPr>
              <w:t>покращення іміджу.</w:t>
            </w:r>
          </w:p>
        </w:tc>
      </w:tr>
      <w:tr w:rsidR="003E2BCC" w:rsidRPr="00F92334" w:rsidTr="00975C10">
        <w:tc>
          <w:tcPr>
            <w:tcW w:w="1078" w:type="pct"/>
            <w:vAlign w:val="center"/>
          </w:tcPr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mo"/>
                <w:bCs/>
                <w:sz w:val="22"/>
                <w:szCs w:val="22"/>
              </w:rPr>
            </w:pPr>
            <w:r w:rsidRPr="00F92334">
              <w:rPr>
                <w:rFonts w:cs="Arimo"/>
                <w:bCs/>
                <w:sz w:val="22"/>
                <w:szCs w:val="22"/>
                <w:lang w:val="en-US"/>
              </w:rPr>
              <w:t>WOM</w:t>
            </w:r>
            <w:r w:rsidRPr="00F92334">
              <w:rPr>
                <w:rFonts w:cs="Arimo"/>
                <w:bCs/>
                <w:sz w:val="22"/>
                <w:szCs w:val="22"/>
                <w:lang w:val="uk-UA"/>
              </w:rPr>
              <w:t>-технологія</w:t>
            </w:r>
          </w:p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mo"/>
                <w:bCs/>
                <w:sz w:val="22"/>
                <w:szCs w:val="22"/>
                <w:lang w:val="uk-UA"/>
              </w:rPr>
            </w:pPr>
          </w:p>
        </w:tc>
        <w:tc>
          <w:tcPr>
            <w:tcW w:w="2102" w:type="pct"/>
            <w:vAlign w:val="center"/>
          </w:tcPr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rFonts w:cs="Arimo"/>
                <w:sz w:val="22"/>
                <w:szCs w:val="22"/>
              </w:rPr>
            </w:pPr>
            <w:r w:rsidRPr="00F92334">
              <w:rPr>
                <w:rFonts w:cs="Arimo"/>
                <w:sz w:val="22"/>
                <w:szCs w:val="22"/>
                <w:lang w:val="en-US"/>
              </w:rPr>
              <w:t xml:space="preserve">Word of mouth </w:t>
            </w:r>
            <w:r w:rsidRPr="00F92334">
              <w:rPr>
                <w:rFonts w:cs="Arimo"/>
                <w:sz w:val="22"/>
                <w:szCs w:val="22"/>
              </w:rPr>
              <w:t xml:space="preserve">-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спосіб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обм</w:t>
            </w:r>
            <w:r w:rsidRPr="00F92334">
              <w:rPr>
                <w:rFonts w:cs="Arimo"/>
                <w:sz w:val="22"/>
                <w:szCs w:val="22"/>
                <w:lang w:val="uk-UA"/>
              </w:rPr>
              <w:t>іну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інформаці</w:t>
            </w:r>
            <w:r w:rsidRPr="00F92334">
              <w:rPr>
                <w:rFonts w:cs="Arimo"/>
                <w:sz w:val="22"/>
                <w:szCs w:val="22"/>
                <w:lang w:val="uk-UA"/>
              </w:rPr>
              <w:t>єю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</w:t>
            </w:r>
            <w:r w:rsidRPr="00F92334">
              <w:rPr>
                <w:rFonts w:cs="Arimo"/>
                <w:sz w:val="22"/>
                <w:szCs w:val="22"/>
                <w:lang w:val="uk-UA"/>
              </w:rPr>
              <w:t>під час</w:t>
            </w:r>
            <w:r w:rsidRPr="00F9233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особистого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спілкування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. </w:t>
            </w:r>
          </w:p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rFonts w:cs="Arimo"/>
                <w:sz w:val="22"/>
                <w:szCs w:val="22"/>
              </w:rPr>
            </w:pPr>
            <w:r w:rsidRPr="00F92334">
              <w:rPr>
                <w:rFonts w:cs="Arimo"/>
                <w:sz w:val="22"/>
                <w:szCs w:val="22"/>
                <w:lang w:val="uk-UA"/>
              </w:rPr>
              <w:t xml:space="preserve">Приклади застосування: форуми з можливістю залишати відгуки;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відслідковування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</w:t>
            </w:r>
            <w:r w:rsidRPr="00F92334">
              <w:rPr>
                <w:rFonts w:cs="Arimo"/>
                <w:sz w:val="22"/>
                <w:szCs w:val="22"/>
                <w:lang w:val="en-US"/>
              </w:rPr>
              <w:t>o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нлайн-середовища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та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обговорень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прихильників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,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противників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освітніх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послуг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чи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ЗВО,  думок тих,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хто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ставиться до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нього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нейтрально;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однакова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увага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і до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позитивних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відгуків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, і до критики;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обов'язкові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відповіді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на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критичні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відгуки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і похвалу;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залучення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здобувачів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освіти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та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стейкхолдерів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до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відкритих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обговорень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освітніх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програм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та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якості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послуг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;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репости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F92334">
              <w:rPr>
                <w:rFonts w:cs="Arimo"/>
                <w:sz w:val="22"/>
                <w:szCs w:val="22"/>
              </w:rPr>
              <w:t>реклами</w:t>
            </w:r>
            <w:proofErr w:type="spellEnd"/>
            <w:r w:rsidRPr="00F92334">
              <w:rPr>
                <w:rFonts w:cs="Arimo"/>
                <w:sz w:val="22"/>
                <w:szCs w:val="22"/>
              </w:rPr>
              <w:t>.</w:t>
            </w:r>
          </w:p>
        </w:tc>
        <w:tc>
          <w:tcPr>
            <w:tcW w:w="885" w:type="pct"/>
            <w:vAlign w:val="center"/>
          </w:tcPr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F92334">
              <w:rPr>
                <w:rFonts w:cs="Arimo"/>
                <w:sz w:val="22"/>
                <w:szCs w:val="22"/>
                <w:lang w:val="uk-UA"/>
              </w:rPr>
              <w:t>Ситуаційно.</w:t>
            </w:r>
          </w:p>
        </w:tc>
        <w:tc>
          <w:tcPr>
            <w:tcW w:w="935" w:type="pct"/>
            <w:vAlign w:val="center"/>
          </w:tcPr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F92334">
              <w:rPr>
                <w:rFonts w:cs="Arimo"/>
                <w:sz w:val="22"/>
                <w:szCs w:val="22"/>
                <w:lang w:val="uk-UA"/>
              </w:rPr>
              <w:t>Підвищення обізнаності цільового сегменту.</w:t>
            </w:r>
          </w:p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F92334">
              <w:rPr>
                <w:rFonts w:cs="Arimo"/>
                <w:sz w:val="22"/>
                <w:szCs w:val="22"/>
                <w:lang w:val="uk-UA"/>
              </w:rPr>
              <w:t>Підвищення рейтингу ЗВО,</w:t>
            </w:r>
          </w:p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F92334">
              <w:rPr>
                <w:rFonts w:cs="Arimo"/>
                <w:sz w:val="22"/>
                <w:szCs w:val="22"/>
                <w:lang w:val="uk-UA"/>
              </w:rPr>
              <w:t>покращення іміджу.</w:t>
            </w:r>
          </w:p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F92334">
              <w:rPr>
                <w:rFonts w:cs="Arimo"/>
                <w:sz w:val="22"/>
                <w:szCs w:val="22"/>
                <w:lang w:val="uk-UA"/>
              </w:rPr>
              <w:t>Проява індивідуального підходу, застосування інструментів маркетингу стосунків.</w:t>
            </w:r>
          </w:p>
        </w:tc>
      </w:tr>
      <w:tr w:rsidR="003E2BCC" w:rsidRPr="00F92334" w:rsidTr="00975C10">
        <w:tc>
          <w:tcPr>
            <w:tcW w:w="1078" w:type="pct"/>
            <w:vAlign w:val="center"/>
          </w:tcPr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mo"/>
                <w:bCs/>
                <w:sz w:val="22"/>
                <w:szCs w:val="22"/>
              </w:rPr>
            </w:pPr>
            <w:r w:rsidRPr="00F92334">
              <w:rPr>
                <w:rFonts w:cs="Arimo"/>
                <w:bCs/>
                <w:sz w:val="22"/>
                <w:szCs w:val="22"/>
                <w:lang w:val="en-US"/>
              </w:rPr>
              <w:t>Buzz</w:t>
            </w:r>
            <w:r w:rsidRPr="00F92334">
              <w:rPr>
                <w:rFonts w:cs="Arimo"/>
                <w:bCs/>
                <w:sz w:val="22"/>
                <w:szCs w:val="22"/>
                <w:lang w:val="uk-UA"/>
              </w:rPr>
              <w:t>-маркетинг</w:t>
            </w:r>
          </w:p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mo"/>
                <w:bCs/>
                <w:sz w:val="22"/>
                <w:szCs w:val="22"/>
                <w:lang w:val="uk-UA"/>
              </w:rPr>
            </w:pPr>
          </w:p>
        </w:tc>
        <w:tc>
          <w:tcPr>
            <w:tcW w:w="2102" w:type="pct"/>
            <w:vAlign w:val="center"/>
          </w:tcPr>
          <w:p w:rsidR="003E2BCC" w:rsidRPr="002B0EA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rFonts w:cs="Arimo"/>
                <w:sz w:val="22"/>
                <w:szCs w:val="22"/>
                <w:lang w:val="uk-UA"/>
              </w:rPr>
            </w:pPr>
            <w:r>
              <w:rPr>
                <w:rFonts w:cs="Arimo"/>
                <w:sz w:val="22"/>
                <w:szCs w:val="22"/>
                <w:lang w:val="uk-UA"/>
              </w:rPr>
              <w:t xml:space="preserve">Сутність реалізації </w:t>
            </w:r>
            <w:proofErr w:type="spellStart"/>
            <w:r w:rsidRPr="002B0EA4">
              <w:rPr>
                <w:rFonts w:cs="Arimo"/>
                <w:sz w:val="22"/>
                <w:szCs w:val="22"/>
              </w:rPr>
              <w:t>Buzz</w:t>
            </w:r>
            <w:proofErr w:type="spellEnd"/>
            <w:r w:rsidRPr="002B0EA4">
              <w:rPr>
                <w:rFonts w:cs="Arimo"/>
                <w:sz w:val="22"/>
                <w:szCs w:val="22"/>
              </w:rPr>
              <w:t>-маркетинг</w:t>
            </w:r>
            <w:r>
              <w:rPr>
                <w:rFonts w:cs="Arimo"/>
                <w:sz w:val="22"/>
                <w:szCs w:val="22"/>
                <w:lang w:val="uk-UA"/>
              </w:rPr>
              <w:t>у</w:t>
            </w:r>
            <w:r w:rsidRPr="002B0EA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2B0EA4">
              <w:rPr>
                <w:rFonts w:cs="Arimo"/>
                <w:sz w:val="22"/>
                <w:szCs w:val="22"/>
              </w:rPr>
              <w:t>полягає</w:t>
            </w:r>
            <w:proofErr w:type="spellEnd"/>
            <w:r w:rsidRPr="002B0EA4">
              <w:rPr>
                <w:rFonts w:cs="Arimo"/>
                <w:sz w:val="22"/>
                <w:szCs w:val="22"/>
              </w:rPr>
              <w:t xml:space="preserve"> в </w:t>
            </w:r>
            <w:proofErr w:type="spellStart"/>
            <w:r w:rsidRPr="002B0EA4">
              <w:rPr>
                <w:rFonts w:cs="Arimo"/>
                <w:sz w:val="22"/>
                <w:szCs w:val="22"/>
              </w:rPr>
              <w:t>поширенні</w:t>
            </w:r>
            <w:proofErr w:type="spellEnd"/>
            <w:r w:rsidRPr="002B0EA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2B0EA4">
              <w:rPr>
                <w:rFonts w:cs="Arimo"/>
                <w:sz w:val="22"/>
                <w:szCs w:val="22"/>
              </w:rPr>
              <w:t>позитивних</w:t>
            </w:r>
            <w:proofErr w:type="spellEnd"/>
            <w:r w:rsidRPr="002B0EA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2B0EA4">
              <w:rPr>
                <w:rFonts w:cs="Arimo"/>
                <w:sz w:val="22"/>
                <w:szCs w:val="22"/>
              </w:rPr>
              <w:t>або</w:t>
            </w:r>
            <w:proofErr w:type="spellEnd"/>
            <w:r w:rsidRPr="002B0EA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2B0EA4">
              <w:rPr>
                <w:rFonts w:cs="Arimo"/>
                <w:sz w:val="22"/>
                <w:szCs w:val="22"/>
              </w:rPr>
              <w:t>негативних</w:t>
            </w:r>
            <w:proofErr w:type="spellEnd"/>
            <w:r w:rsidRPr="002B0EA4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2B0EA4">
              <w:rPr>
                <w:rFonts w:cs="Arimo"/>
                <w:sz w:val="22"/>
                <w:szCs w:val="22"/>
              </w:rPr>
              <w:t>відгуків</w:t>
            </w:r>
            <w:proofErr w:type="spellEnd"/>
            <w:r w:rsidRPr="002B0EA4">
              <w:rPr>
                <w:rFonts w:cs="Arimo"/>
                <w:sz w:val="22"/>
                <w:szCs w:val="22"/>
              </w:rPr>
              <w:t xml:space="preserve">, думок про </w:t>
            </w:r>
            <w:r>
              <w:rPr>
                <w:rFonts w:cs="Arimo"/>
                <w:sz w:val="22"/>
                <w:szCs w:val="22"/>
                <w:lang w:val="uk-UA"/>
              </w:rPr>
              <w:t>освітню послугу або ЗВО.</w:t>
            </w:r>
          </w:p>
          <w:p w:rsidR="003E2BCC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rFonts w:cs="Arimo"/>
                <w:sz w:val="22"/>
                <w:szCs w:val="22"/>
                <w:lang w:val="uk-UA"/>
              </w:rPr>
            </w:pPr>
            <w:r>
              <w:rPr>
                <w:rFonts w:cs="Arimo"/>
                <w:sz w:val="22"/>
                <w:szCs w:val="22"/>
                <w:lang w:val="uk-UA"/>
              </w:rPr>
              <w:t>Приклад застосування: в чатах у месенджерах, де спостерігається скупчення цільової аудиторії, розташовується або реклама ЗВО або інформація щодо його діяльності. Як правило, під такою публікацією будуть коментарі. В коментарях відписуються маркетологи та таким чином розповсюджують необхідну інформацію.</w:t>
            </w:r>
          </w:p>
          <w:p w:rsidR="00975C10" w:rsidRDefault="00975C10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rFonts w:cs="Arimo"/>
                <w:sz w:val="22"/>
                <w:szCs w:val="22"/>
                <w:lang w:val="uk-UA"/>
              </w:rPr>
            </w:pPr>
          </w:p>
          <w:p w:rsidR="00975C10" w:rsidRPr="00F92334" w:rsidRDefault="00975C10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rFonts w:cs="Arimo"/>
                <w:sz w:val="22"/>
                <w:szCs w:val="22"/>
                <w:lang w:val="uk-UA"/>
              </w:rPr>
            </w:pPr>
          </w:p>
        </w:tc>
        <w:tc>
          <w:tcPr>
            <w:tcW w:w="885" w:type="pct"/>
            <w:vAlign w:val="center"/>
          </w:tcPr>
          <w:p w:rsidR="003E2BCC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F92334">
              <w:rPr>
                <w:rFonts w:cs="Arimo"/>
                <w:sz w:val="22"/>
                <w:szCs w:val="22"/>
                <w:lang w:val="uk-UA"/>
              </w:rPr>
              <w:t>Ситуаційно.</w:t>
            </w:r>
          </w:p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>
              <w:rPr>
                <w:rFonts w:cs="Arimo"/>
                <w:sz w:val="22"/>
                <w:szCs w:val="22"/>
                <w:lang w:val="uk-UA"/>
              </w:rPr>
              <w:t>Активно – під час прийому заяв.</w:t>
            </w:r>
          </w:p>
        </w:tc>
        <w:tc>
          <w:tcPr>
            <w:tcW w:w="935" w:type="pct"/>
            <w:vAlign w:val="center"/>
          </w:tcPr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F92334">
              <w:rPr>
                <w:rFonts w:cs="Arimo"/>
                <w:sz w:val="22"/>
                <w:szCs w:val="22"/>
                <w:lang w:val="uk-UA"/>
              </w:rPr>
              <w:t>Підвищення обізнаності цільового сегменту.</w:t>
            </w:r>
          </w:p>
        </w:tc>
      </w:tr>
      <w:tr w:rsidR="00975C10" w:rsidRPr="00F92334" w:rsidTr="00975C10">
        <w:tc>
          <w:tcPr>
            <w:tcW w:w="1078" w:type="pct"/>
            <w:vAlign w:val="center"/>
          </w:tcPr>
          <w:p w:rsidR="00975C10" w:rsidRPr="009246F0" w:rsidRDefault="00975C10" w:rsidP="005C64F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bCs/>
                <w:sz w:val="22"/>
                <w:szCs w:val="22"/>
                <w:lang w:val="uk-UA"/>
              </w:rPr>
            </w:pPr>
            <w:r>
              <w:rPr>
                <w:rFonts w:cs="Arimo"/>
                <w:bCs/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2102" w:type="pct"/>
            <w:vAlign w:val="center"/>
          </w:tcPr>
          <w:p w:rsidR="00975C10" w:rsidRDefault="00975C10" w:rsidP="005C64F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>
              <w:rPr>
                <w:rFonts w:cs="Arimo"/>
                <w:sz w:val="22"/>
                <w:szCs w:val="22"/>
                <w:lang w:val="uk-UA"/>
              </w:rPr>
              <w:t>2</w:t>
            </w:r>
          </w:p>
        </w:tc>
        <w:tc>
          <w:tcPr>
            <w:tcW w:w="885" w:type="pct"/>
            <w:vAlign w:val="center"/>
          </w:tcPr>
          <w:p w:rsidR="00975C10" w:rsidRPr="00F92334" w:rsidRDefault="00975C10" w:rsidP="005C64F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>
              <w:rPr>
                <w:rFonts w:cs="Arimo"/>
                <w:sz w:val="22"/>
                <w:szCs w:val="22"/>
                <w:lang w:val="uk-UA"/>
              </w:rPr>
              <w:t>3</w:t>
            </w:r>
          </w:p>
        </w:tc>
        <w:tc>
          <w:tcPr>
            <w:tcW w:w="935" w:type="pct"/>
            <w:vAlign w:val="center"/>
          </w:tcPr>
          <w:p w:rsidR="00975C10" w:rsidRPr="00F92334" w:rsidRDefault="00975C10" w:rsidP="005C64F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>
              <w:rPr>
                <w:rFonts w:cs="Arimo"/>
                <w:sz w:val="22"/>
                <w:szCs w:val="22"/>
                <w:lang w:val="uk-UA"/>
              </w:rPr>
              <w:t>4</w:t>
            </w:r>
          </w:p>
        </w:tc>
      </w:tr>
      <w:tr w:rsidR="003E2BCC" w:rsidRPr="00F92334" w:rsidTr="00975C10">
        <w:tc>
          <w:tcPr>
            <w:tcW w:w="1078" w:type="pct"/>
            <w:vAlign w:val="center"/>
          </w:tcPr>
          <w:p w:rsidR="003E2BCC" w:rsidRPr="002B0EA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mo"/>
                <w:bCs/>
                <w:sz w:val="22"/>
                <w:szCs w:val="22"/>
              </w:rPr>
            </w:pPr>
            <w:r w:rsidRPr="002B0EA4">
              <w:rPr>
                <w:rFonts w:cs="Arimo"/>
                <w:bCs/>
                <w:sz w:val="22"/>
                <w:szCs w:val="22"/>
                <w:lang w:val="en-US"/>
              </w:rPr>
              <w:t>Event-</w:t>
            </w:r>
            <w:r w:rsidRPr="002B0EA4">
              <w:rPr>
                <w:rFonts w:cs="Arimo"/>
                <w:bCs/>
                <w:sz w:val="22"/>
                <w:szCs w:val="22"/>
              </w:rPr>
              <w:t xml:space="preserve">маркетинг </w:t>
            </w:r>
          </w:p>
        </w:tc>
        <w:tc>
          <w:tcPr>
            <w:tcW w:w="2102" w:type="pct"/>
            <w:vAlign w:val="center"/>
          </w:tcPr>
          <w:p w:rsidR="003E2BCC" w:rsidRPr="002B0EA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rFonts w:cs="Arimo"/>
                <w:sz w:val="22"/>
                <w:szCs w:val="22"/>
              </w:rPr>
            </w:pPr>
            <w:r w:rsidRPr="002B0EA4">
              <w:rPr>
                <w:rFonts w:cs="Arimo"/>
                <w:sz w:val="22"/>
                <w:szCs w:val="22"/>
                <w:lang w:val="uk-UA"/>
              </w:rPr>
              <w:t>Просування освітніх послуг за до</w:t>
            </w:r>
            <w:r>
              <w:rPr>
                <w:rFonts w:cs="Arimo"/>
                <w:sz w:val="22"/>
                <w:szCs w:val="22"/>
                <w:lang w:val="uk-UA"/>
              </w:rPr>
              <w:t xml:space="preserve">помогою створення та проведення </w:t>
            </w:r>
            <w:r w:rsidRPr="002B0EA4">
              <w:rPr>
                <w:rFonts w:cs="Arimo"/>
                <w:sz w:val="22"/>
                <w:szCs w:val="22"/>
                <w:lang w:val="uk-UA"/>
              </w:rPr>
              <w:t>спеціальних заходів: прес-конференція;</w:t>
            </w:r>
            <w:r>
              <w:rPr>
                <w:rFonts w:cs="Arimo"/>
                <w:sz w:val="22"/>
                <w:szCs w:val="22"/>
                <w:lang w:val="uk-UA"/>
              </w:rPr>
              <w:t xml:space="preserve"> </w:t>
            </w:r>
            <w:r w:rsidRPr="002B0EA4">
              <w:rPr>
                <w:rFonts w:cs="Arimo"/>
                <w:sz w:val="22"/>
                <w:szCs w:val="22"/>
                <w:lang w:val="uk-UA"/>
              </w:rPr>
              <w:t>тренінг; семінар; масовий концерт; фестиваль; корпоративні свята; міжнародні виставки.</w:t>
            </w:r>
          </w:p>
        </w:tc>
        <w:tc>
          <w:tcPr>
            <w:tcW w:w="885" w:type="pct"/>
            <w:vAlign w:val="center"/>
          </w:tcPr>
          <w:p w:rsidR="003E2BCC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F92334">
              <w:rPr>
                <w:rFonts w:cs="Arimo"/>
                <w:sz w:val="22"/>
                <w:szCs w:val="22"/>
                <w:lang w:val="uk-UA"/>
              </w:rPr>
              <w:t>Ситуаційно.</w:t>
            </w:r>
          </w:p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</w:p>
        </w:tc>
        <w:tc>
          <w:tcPr>
            <w:tcW w:w="935" w:type="pct"/>
            <w:vAlign w:val="center"/>
          </w:tcPr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F92334">
              <w:rPr>
                <w:rFonts w:cs="Arimo"/>
                <w:sz w:val="22"/>
                <w:szCs w:val="22"/>
                <w:lang w:val="uk-UA"/>
              </w:rPr>
              <w:t>Підвищення рейтингу ЗВО, покращення іміджу.</w:t>
            </w:r>
          </w:p>
        </w:tc>
      </w:tr>
      <w:tr w:rsidR="003E2BCC" w:rsidRPr="00F92334" w:rsidTr="00975C10">
        <w:tc>
          <w:tcPr>
            <w:tcW w:w="1078" w:type="pct"/>
            <w:vAlign w:val="center"/>
          </w:tcPr>
          <w:p w:rsidR="003E2BCC" w:rsidRPr="008F06B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mo"/>
                <w:bCs/>
                <w:sz w:val="22"/>
                <w:szCs w:val="22"/>
              </w:rPr>
            </w:pPr>
            <w:r w:rsidRPr="008F06B4">
              <w:rPr>
                <w:rFonts w:cs="Arimo"/>
                <w:bCs/>
                <w:sz w:val="22"/>
                <w:szCs w:val="22"/>
                <w:lang w:val="en-US"/>
              </w:rPr>
              <w:t xml:space="preserve">Product placement </w:t>
            </w:r>
          </w:p>
        </w:tc>
        <w:tc>
          <w:tcPr>
            <w:tcW w:w="2102" w:type="pct"/>
            <w:vAlign w:val="center"/>
          </w:tcPr>
          <w:p w:rsidR="003E2BCC" w:rsidRPr="008F06B4" w:rsidRDefault="003E2BCC" w:rsidP="00975C1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rFonts w:cs="Arimo"/>
                <w:sz w:val="22"/>
                <w:szCs w:val="22"/>
                <w:lang w:val="uk-UA"/>
              </w:rPr>
            </w:pPr>
            <w:r>
              <w:rPr>
                <w:rFonts w:cs="Arimo"/>
                <w:sz w:val="22"/>
                <w:szCs w:val="22"/>
                <w:lang w:val="uk-UA"/>
              </w:rPr>
              <w:t xml:space="preserve">Сутність використання цього прийому полягає в тому, що пряма реклама освітніх послуг ЗВО відсутня, але є пригадування щодо спеціальностей </w:t>
            </w:r>
            <w:r w:rsidR="00975C10">
              <w:rPr>
                <w:rFonts w:cs="Arimo"/>
                <w:sz w:val="22"/>
                <w:szCs w:val="22"/>
                <w:lang w:val="uk-UA"/>
              </w:rPr>
              <w:t>ЗВО або розташування в кадрі його зображення чи логотипу (якщо це відео), таким чином у свідомості цільової аудиторії формується «правильний», позитивний образ освітнього закладу.</w:t>
            </w:r>
          </w:p>
        </w:tc>
        <w:tc>
          <w:tcPr>
            <w:tcW w:w="885" w:type="pct"/>
            <w:vAlign w:val="center"/>
          </w:tcPr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F92334">
              <w:rPr>
                <w:rFonts w:cs="Arimo"/>
                <w:sz w:val="22"/>
                <w:szCs w:val="22"/>
                <w:lang w:val="uk-UA"/>
              </w:rPr>
              <w:t>Ситуаційно.</w:t>
            </w:r>
          </w:p>
        </w:tc>
        <w:tc>
          <w:tcPr>
            <w:tcW w:w="935" w:type="pct"/>
            <w:vAlign w:val="center"/>
          </w:tcPr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F92334">
              <w:rPr>
                <w:rFonts w:cs="Arimo"/>
                <w:sz w:val="22"/>
                <w:szCs w:val="22"/>
                <w:lang w:val="uk-UA"/>
              </w:rPr>
              <w:t>Підвищення рейтингу ЗВО,</w:t>
            </w:r>
          </w:p>
          <w:p w:rsidR="003E2BCC" w:rsidRPr="00F92334" w:rsidRDefault="003E2BCC" w:rsidP="009246F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>
              <w:rPr>
                <w:rFonts w:cs="Arimo"/>
                <w:sz w:val="22"/>
                <w:szCs w:val="22"/>
                <w:lang w:val="uk-UA"/>
              </w:rPr>
              <w:t xml:space="preserve">покращення іміджу, </w:t>
            </w:r>
            <w:r w:rsidR="00975C10">
              <w:rPr>
                <w:rFonts w:cs="Arimo"/>
                <w:sz w:val="22"/>
                <w:szCs w:val="22"/>
                <w:lang w:val="uk-UA"/>
              </w:rPr>
              <w:t>викликання зацікавленості у цільової аудиторії.</w:t>
            </w:r>
          </w:p>
        </w:tc>
      </w:tr>
      <w:tr w:rsidR="003E2BCC" w:rsidRPr="00893E6D" w:rsidTr="00975C10">
        <w:tc>
          <w:tcPr>
            <w:tcW w:w="1078" w:type="pct"/>
            <w:vAlign w:val="center"/>
          </w:tcPr>
          <w:p w:rsidR="003E2BCC" w:rsidRPr="00893E6D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mo"/>
                <w:bCs/>
                <w:sz w:val="22"/>
                <w:szCs w:val="22"/>
              </w:rPr>
            </w:pPr>
            <w:r w:rsidRPr="00893E6D">
              <w:rPr>
                <w:rFonts w:cs="Arimo"/>
                <w:bCs/>
                <w:sz w:val="22"/>
                <w:szCs w:val="22"/>
                <w:lang w:val="en-US"/>
              </w:rPr>
              <w:t xml:space="preserve">Life Placement </w:t>
            </w:r>
          </w:p>
          <w:p w:rsidR="003E2BCC" w:rsidRPr="00893E6D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mo"/>
                <w:bCs/>
                <w:sz w:val="22"/>
                <w:szCs w:val="22"/>
                <w:lang w:val="uk-UA"/>
              </w:rPr>
            </w:pPr>
          </w:p>
        </w:tc>
        <w:tc>
          <w:tcPr>
            <w:tcW w:w="2102" w:type="pct"/>
            <w:vAlign w:val="center"/>
          </w:tcPr>
          <w:p w:rsidR="003E2BCC" w:rsidRPr="00893E6D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rFonts w:cs="Arimo"/>
                <w:sz w:val="22"/>
                <w:szCs w:val="22"/>
                <w:lang w:val="uk-UA"/>
              </w:rPr>
            </w:pPr>
            <w:proofErr w:type="spellStart"/>
            <w:r w:rsidRPr="00893E6D">
              <w:rPr>
                <w:rFonts w:cs="Arimo"/>
                <w:sz w:val="22"/>
                <w:szCs w:val="22"/>
                <w:lang w:val="uk-UA"/>
              </w:rPr>
              <w:t>Life</w:t>
            </w:r>
            <w:proofErr w:type="spellEnd"/>
            <w:r w:rsidRPr="00893E6D">
              <w:rPr>
                <w:rFonts w:cs="Arim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93E6D">
              <w:rPr>
                <w:rFonts w:cs="Arimo"/>
                <w:sz w:val="22"/>
                <w:szCs w:val="22"/>
                <w:lang w:val="uk-UA"/>
              </w:rPr>
              <w:t>Placement</w:t>
            </w:r>
            <w:proofErr w:type="spellEnd"/>
            <w:r w:rsidRPr="00893E6D">
              <w:rPr>
                <w:rFonts w:cs="Arimo"/>
                <w:sz w:val="22"/>
                <w:szCs w:val="22"/>
                <w:lang w:val="uk-UA"/>
              </w:rPr>
              <w:t xml:space="preserve"> </w:t>
            </w:r>
            <w:r>
              <w:rPr>
                <w:rFonts w:cs="Arimo"/>
                <w:sz w:val="22"/>
                <w:szCs w:val="22"/>
                <w:lang w:val="uk-UA"/>
              </w:rPr>
              <w:t xml:space="preserve">є одним з інструментів «партизанського маркетингу», використання якого передбачає створення цілком реалістичної ситуації під час скупчення цільової аудиторії (масовий захід, виставка, </w:t>
            </w:r>
            <w:proofErr w:type="spellStart"/>
            <w:r>
              <w:rPr>
                <w:rFonts w:cs="Arimo"/>
                <w:sz w:val="22"/>
                <w:szCs w:val="22"/>
                <w:lang w:val="uk-UA"/>
              </w:rPr>
              <w:t>ярмарка</w:t>
            </w:r>
            <w:proofErr w:type="spellEnd"/>
            <w:r>
              <w:rPr>
                <w:rFonts w:cs="Arimo"/>
                <w:sz w:val="22"/>
                <w:szCs w:val="22"/>
                <w:lang w:val="uk-UA"/>
              </w:rPr>
              <w:t>, конференція тощо). А</w:t>
            </w:r>
            <w:r w:rsidRPr="00893E6D">
              <w:rPr>
                <w:rFonts w:cs="Arimo"/>
                <w:sz w:val="22"/>
                <w:szCs w:val="22"/>
                <w:lang w:val="uk-UA"/>
              </w:rPr>
              <w:t xml:space="preserve">ктори </w:t>
            </w:r>
            <w:r>
              <w:rPr>
                <w:rFonts w:cs="Arimo"/>
                <w:sz w:val="22"/>
                <w:szCs w:val="22"/>
                <w:lang w:val="uk-UA"/>
              </w:rPr>
              <w:t>висловлюють</w:t>
            </w:r>
            <w:r w:rsidRPr="00893E6D">
              <w:rPr>
                <w:rFonts w:cs="Arimo"/>
                <w:sz w:val="22"/>
                <w:szCs w:val="22"/>
                <w:lang w:val="uk-UA"/>
              </w:rPr>
              <w:t xml:space="preserve"> перед </w:t>
            </w:r>
            <w:r>
              <w:rPr>
                <w:rFonts w:cs="Arimo"/>
                <w:sz w:val="22"/>
                <w:szCs w:val="22"/>
                <w:lang w:val="uk-UA"/>
              </w:rPr>
              <w:t>цільовою аудиторією</w:t>
            </w:r>
            <w:r w:rsidRPr="00893E6D">
              <w:rPr>
                <w:rFonts w:cs="Arimo"/>
                <w:sz w:val="22"/>
                <w:szCs w:val="22"/>
                <w:lang w:val="uk-UA"/>
              </w:rPr>
              <w:t xml:space="preserve"> позитивні емоції </w:t>
            </w:r>
            <w:r>
              <w:rPr>
                <w:rFonts w:cs="Arimo"/>
                <w:sz w:val="22"/>
                <w:szCs w:val="22"/>
                <w:lang w:val="uk-UA"/>
              </w:rPr>
              <w:t>та відгуки щодо їх навчання у ЗВО</w:t>
            </w:r>
            <w:r w:rsidRPr="00893E6D">
              <w:rPr>
                <w:rFonts w:cs="Arimo"/>
                <w:sz w:val="22"/>
                <w:szCs w:val="22"/>
                <w:lang w:val="uk-UA"/>
              </w:rPr>
              <w:t xml:space="preserve">. У процесі такої гри вони можуть залучати до бесіди </w:t>
            </w:r>
            <w:r>
              <w:rPr>
                <w:rFonts w:cs="Arimo"/>
                <w:sz w:val="22"/>
                <w:szCs w:val="22"/>
                <w:lang w:val="uk-UA"/>
              </w:rPr>
              <w:t>абітурієнтів</w:t>
            </w:r>
            <w:r w:rsidRPr="00893E6D">
              <w:rPr>
                <w:rFonts w:cs="Arimo"/>
                <w:sz w:val="22"/>
                <w:szCs w:val="22"/>
                <w:lang w:val="uk-UA"/>
              </w:rPr>
              <w:t xml:space="preserve">, описуючи всі </w:t>
            </w:r>
            <w:r>
              <w:rPr>
                <w:rFonts w:cs="Arimo"/>
                <w:sz w:val="22"/>
                <w:szCs w:val="22"/>
                <w:lang w:val="uk-UA"/>
              </w:rPr>
              <w:t>переваги навчання на освітніх програмах обраного ЗВО</w:t>
            </w:r>
            <w:r w:rsidRPr="00893E6D">
              <w:rPr>
                <w:rFonts w:cs="Arimo"/>
                <w:sz w:val="22"/>
                <w:szCs w:val="22"/>
                <w:lang w:val="uk-UA"/>
              </w:rPr>
              <w:t>.</w:t>
            </w:r>
          </w:p>
        </w:tc>
        <w:tc>
          <w:tcPr>
            <w:tcW w:w="885" w:type="pct"/>
            <w:vAlign w:val="center"/>
          </w:tcPr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F92334">
              <w:rPr>
                <w:rFonts w:cs="Arimo"/>
                <w:sz w:val="22"/>
                <w:szCs w:val="22"/>
                <w:lang w:val="uk-UA"/>
              </w:rPr>
              <w:t>Ситуаційно.</w:t>
            </w:r>
          </w:p>
        </w:tc>
        <w:tc>
          <w:tcPr>
            <w:tcW w:w="935" w:type="pct"/>
            <w:vAlign w:val="center"/>
          </w:tcPr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F92334">
              <w:rPr>
                <w:rFonts w:cs="Arimo"/>
                <w:sz w:val="22"/>
                <w:szCs w:val="22"/>
                <w:lang w:val="uk-UA"/>
              </w:rPr>
              <w:t>Підвищення рейтингу ЗВО,</w:t>
            </w:r>
          </w:p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>
              <w:rPr>
                <w:rFonts w:cs="Arimo"/>
                <w:sz w:val="22"/>
                <w:szCs w:val="22"/>
                <w:lang w:val="uk-UA"/>
              </w:rPr>
              <w:t>покращення іміджу, викликання зацікавленості у цільової аудиторії.</w:t>
            </w:r>
          </w:p>
        </w:tc>
      </w:tr>
      <w:tr w:rsidR="003E2BCC" w:rsidRPr="00893E6D" w:rsidTr="00975C10">
        <w:tc>
          <w:tcPr>
            <w:tcW w:w="1078" w:type="pct"/>
            <w:vAlign w:val="center"/>
          </w:tcPr>
          <w:p w:rsidR="003E2BCC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mo"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rFonts w:cs="Arimo"/>
                <w:bCs/>
                <w:sz w:val="22"/>
                <w:szCs w:val="22"/>
                <w:lang w:val="uk-UA"/>
              </w:rPr>
              <w:t>Флешмоб</w:t>
            </w:r>
            <w:proofErr w:type="spellEnd"/>
          </w:p>
        </w:tc>
        <w:tc>
          <w:tcPr>
            <w:tcW w:w="2102" w:type="pct"/>
            <w:vAlign w:val="center"/>
          </w:tcPr>
          <w:p w:rsidR="003E2BCC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rFonts w:cs="Arimo"/>
                <w:sz w:val="22"/>
                <w:szCs w:val="22"/>
                <w:lang w:val="uk-UA"/>
              </w:rPr>
            </w:pPr>
            <w:r>
              <w:rPr>
                <w:rFonts w:cs="Arimo"/>
                <w:sz w:val="22"/>
                <w:szCs w:val="22"/>
                <w:lang w:val="uk-UA"/>
              </w:rPr>
              <w:t>У практиці комунікаційної кампанії ЗВО можна використати, наприклад, танець під музику, яка асоціюється із ЗВО.</w:t>
            </w:r>
          </w:p>
          <w:p w:rsidR="003E2BCC" w:rsidRPr="00893E6D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rFonts w:cs="Arimo"/>
                <w:sz w:val="22"/>
                <w:szCs w:val="22"/>
                <w:lang w:val="uk-UA"/>
              </w:rPr>
            </w:pPr>
            <w:r>
              <w:rPr>
                <w:rFonts w:cs="Arimo"/>
                <w:sz w:val="22"/>
                <w:szCs w:val="22"/>
                <w:lang w:val="uk-UA"/>
              </w:rPr>
              <w:t xml:space="preserve">Є широка практика використання інтернет </w:t>
            </w:r>
            <w:proofErr w:type="spellStart"/>
            <w:r>
              <w:rPr>
                <w:rFonts w:cs="Arimo"/>
                <w:sz w:val="22"/>
                <w:szCs w:val="22"/>
                <w:lang w:val="uk-UA"/>
              </w:rPr>
              <w:t>флешмобів</w:t>
            </w:r>
            <w:proofErr w:type="spellEnd"/>
            <w:r>
              <w:rPr>
                <w:rFonts w:cs="Arimo"/>
                <w:sz w:val="22"/>
                <w:szCs w:val="22"/>
                <w:lang w:val="uk-UA"/>
              </w:rPr>
              <w:t xml:space="preserve"> у соціальних мережах, до яких можуть долучатися ЗВО, тим самим розповсюджуючи інформацію про своє існування. Наприклад, патріотичний </w:t>
            </w:r>
            <w:proofErr w:type="spellStart"/>
            <w:r>
              <w:rPr>
                <w:rFonts w:cs="Arimo"/>
                <w:sz w:val="22"/>
                <w:szCs w:val="22"/>
                <w:lang w:val="uk-UA"/>
              </w:rPr>
              <w:t>флешмоб</w:t>
            </w:r>
            <w:proofErr w:type="spellEnd"/>
            <w:r>
              <w:rPr>
                <w:rFonts w:cs="Arimo"/>
                <w:sz w:val="22"/>
                <w:szCs w:val="22"/>
                <w:lang w:val="uk-UA"/>
              </w:rPr>
              <w:t>, присвячений дню вишиванки, або дню захисників та захисниць.</w:t>
            </w:r>
          </w:p>
        </w:tc>
        <w:tc>
          <w:tcPr>
            <w:tcW w:w="885" w:type="pct"/>
            <w:vAlign w:val="center"/>
          </w:tcPr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F92334">
              <w:rPr>
                <w:rFonts w:cs="Arimo"/>
                <w:sz w:val="22"/>
                <w:szCs w:val="22"/>
                <w:lang w:val="uk-UA"/>
              </w:rPr>
              <w:t>Ситуаційно.</w:t>
            </w:r>
          </w:p>
        </w:tc>
        <w:tc>
          <w:tcPr>
            <w:tcW w:w="935" w:type="pct"/>
            <w:vAlign w:val="center"/>
          </w:tcPr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F92334">
              <w:rPr>
                <w:rFonts w:cs="Arimo"/>
                <w:sz w:val="22"/>
                <w:szCs w:val="22"/>
                <w:lang w:val="uk-UA"/>
              </w:rPr>
              <w:t>Підвищення рейтингу ЗВО,</w:t>
            </w:r>
          </w:p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>
              <w:rPr>
                <w:rFonts w:cs="Arimo"/>
                <w:sz w:val="22"/>
                <w:szCs w:val="22"/>
                <w:lang w:val="uk-UA"/>
              </w:rPr>
              <w:t>покращення іміджу, викликання зацікавленості у цільової аудиторії.</w:t>
            </w:r>
          </w:p>
        </w:tc>
      </w:tr>
      <w:tr w:rsidR="003E2BCC" w:rsidRPr="00893E6D" w:rsidTr="00975C10">
        <w:tc>
          <w:tcPr>
            <w:tcW w:w="1078" w:type="pct"/>
            <w:vAlign w:val="center"/>
          </w:tcPr>
          <w:p w:rsidR="003E2BCC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mo"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rFonts w:cs="Arimo"/>
                <w:bCs/>
                <w:sz w:val="22"/>
                <w:szCs w:val="22"/>
                <w:lang w:val="uk-UA"/>
              </w:rPr>
              <w:t>Тизер</w:t>
            </w:r>
            <w:proofErr w:type="spellEnd"/>
          </w:p>
        </w:tc>
        <w:tc>
          <w:tcPr>
            <w:tcW w:w="2102" w:type="pct"/>
            <w:vAlign w:val="center"/>
          </w:tcPr>
          <w:p w:rsidR="003E2BCC" w:rsidRPr="007971D2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rFonts w:cs="Arimo"/>
                <w:sz w:val="22"/>
                <w:szCs w:val="22"/>
                <w:lang w:val="uk-UA"/>
              </w:rPr>
            </w:pPr>
            <w:proofErr w:type="spellStart"/>
            <w:r w:rsidRPr="007971D2">
              <w:rPr>
                <w:rFonts w:cs="Arimo"/>
                <w:sz w:val="22"/>
                <w:szCs w:val="22"/>
              </w:rPr>
              <w:t>Тизер</w:t>
            </w:r>
            <w:proofErr w:type="spellEnd"/>
            <w:r w:rsidRPr="007971D2">
              <w:rPr>
                <w:rFonts w:cs="Arimo"/>
                <w:sz w:val="22"/>
                <w:szCs w:val="22"/>
              </w:rPr>
              <w:t xml:space="preserve"> </w:t>
            </w:r>
            <w:r>
              <w:rPr>
                <w:rFonts w:cs="Arimo"/>
                <w:sz w:val="22"/>
                <w:szCs w:val="22"/>
                <w:lang w:val="uk-UA"/>
              </w:rPr>
              <w:t>уявляє собою</w:t>
            </w:r>
            <w:r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mo"/>
                <w:sz w:val="22"/>
                <w:szCs w:val="22"/>
              </w:rPr>
              <w:t>рекламне</w:t>
            </w:r>
            <w:proofErr w:type="spellEnd"/>
            <w:r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mo"/>
                <w:sz w:val="22"/>
                <w:szCs w:val="22"/>
              </w:rPr>
              <w:t>повідомлення</w:t>
            </w:r>
            <w:proofErr w:type="spellEnd"/>
            <w:r>
              <w:rPr>
                <w:rFonts w:cs="Arimo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cs="Arimo"/>
                <w:sz w:val="22"/>
                <w:szCs w:val="22"/>
              </w:rPr>
              <w:t>формі</w:t>
            </w:r>
            <w:proofErr w:type="spellEnd"/>
            <w:r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7971D2">
              <w:rPr>
                <w:rFonts w:cs="Arimo"/>
                <w:sz w:val="22"/>
                <w:szCs w:val="22"/>
              </w:rPr>
              <w:t>загадк</w:t>
            </w:r>
            <w:proofErr w:type="spellEnd"/>
            <w:r>
              <w:rPr>
                <w:rFonts w:cs="Arimo"/>
                <w:sz w:val="22"/>
                <w:szCs w:val="22"/>
                <w:lang w:val="uk-UA"/>
              </w:rPr>
              <w:t>и</w:t>
            </w:r>
            <w:r w:rsidRPr="007971D2">
              <w:rPr>
                <w:rFonts w:cs="Arimo"/>
                <w:sz w:val="22"/>
                <w:szCs w:val="22"/>
              </w:rPr>
              <w:t xml:space="preserve">, </w:t>
            </w:r>
            <w:r>
              <w:rPr>
                <w:rFonts w:cs="Arimo"/>
                <w:sz w:val="22"/>
                <w:szCs w:val="22"/>
                <w:lang w:val="uk-UA"/>
              </w:rPr>
              <w:t>яка</w:t>
            </w:r>
            <w:r w:rsidRPr="007971D2">
              <w:rPr>
                <w:rFonts w:cs="Arimo"/>
                <w:sz w:val="22"/>
                <w:szCs w:val="22"/>
              </w:rPr>
              <w:t xml:space="preserve"> </w:t>
            </w:r>
            <w:r>
              <w:rPr>
                <w:rFonts w:cs="Arimo"/>
                <w:sz w:val="22"/>
                <w:szCs w:val="22"/>
                <w:lang w:val="uk-UA"/>
              </w:rPr>
              <w:t xml:space="preserve">може </w:t>
            </w:r>
            <w:proofErr w:type="spellStart"/>
            <w:r w:rsidRPr="007971D2">
              <w:rPr>
                <w:rFonts w:cs="Arimo"/>
                <w:sz w:val="22"/>
                <w:szCs w:val="22"/>
              </w:rPr>
              <w:t>містит</w:t>
            </w:r>
            <w:proofErr w:type="spellEnd"/>
            <w:r>
              <w:rPr>
                <w:rFonts w:cs="Arimo"/>
                <w:sz w:val="22"/>
                <w:szCs w:val="22"/>
                <w:lang w:val="uk-UA"/>
              </w:rPr>
              <w:t>и</w:t>
            </w:r>
            <w:r w:rsidRPr="007971D2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7971D2">
              <w:rPr>
                <w:rFonts w:cs="Arimo"/>
                <w:sz w:val="22"/>
                <w:szCs w:val="22"/>
              </w:rPr>
              <w:t>частину</w:t>
            </w:r>
            <w:proofErr w:type="spellEnd"/>
            <w:r w:rsidRPr="007971D2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7971D2">
              <w:rPr>
                <w:rFonts w:cs="Arimo"/>
                <w:sz w:val="22"/>
                <w:szCs w:val="22"/>
              </w:rPr>
              <w:t>інформації</w:t>
            </w:r>
            <w:proofErr w:type="spellEnd"/>
            <w:r w:rsidRPr="007971D2">
              <w:rPr>
                <w:rFonts w:cs="Arimo"/>
                <w:sz w:val="22"/>
                <w:szCs w:val="22"/>
              </w:rPr>
              <w:t xml:space="preserve"> про </w:t>
            </w:r>
            <w:r>
              <w:rPr>
                <w:rFonts w:cs="Arimo"/>
                <w:sz w:val="22"/>
                <w:szCs w:val="22"/>
                <w:lang w:val="uk-UA"/>
              </w:rPr>
              <w:t>освітню послугу або умови вступу</w:t>
            </w:r>
            <w:r w:rsidRPr="007971D2">
              <w:rPr>
                <w:rFonts w:cs="Arimo"/>
                <w:sz w:val="22"/>
                <w:szCs w:val="22"/>
              </w:rPr>
              <w:t xml:space="preserve">, але </w:t>
            </w:r>
            <w:r>
              <w:rPr>
                <w:rFonts w:cs="Arimo"/>
                <w:sz w:val="22"/>
                <w:szCs w:val="22"/>
                <w:lang w:val="uk-UA"/>
              </w:rPr>
              <w:t>прямим чином не вказує на них</w:t>
            </w:r>
            <w:r w:rsidRPr="007971D2">
              <w:rPr>
                <w:rFonts w:cs="Arimo"/>
                <w:sz w:val="22"/>
                <w:szCs w:val="22"/>
              </w:rPr>
              <w:t xml:space="preserve">. </w:t>
            </w:r>
            <w:proofErr w:type="spellStart"/>
            <w:r w:rsidRPr="007971D2">
              <w:rPr>
                <w:rFonts w:cs="Arimo"/>
                <w:sz w:val="22"/>
                <w:szCs w:val="22"/>
              </w:rPr>
              <w:t>Тизери</w:t>
            </w:r>
            <w:proofErr w:type="spellEnd"/>
            <w:r w:rsidRPr="007971D2">
              <w:rPr>
                <w:rFonts w:cs="Arimo"/>
                <w:sz w:val="22"/>
                <w:szCs w:val="22"/>
              </w:rPr>
              <w:t xml:space="preserve"> </w:t>
            </w:r>
            <w:r>
              <w:rPr>
                <w:rFonts w:cs="Arimo"/>
                <w:sz w:val="22"/>
                <w:szCs w:val="22"/>
                <w:lang w:val="uk-UA"/>
              </w:rPr>
              <w:t xml:space="preserve">доцільно застосовувати </w:t>
            </w:r>
            <w:r w:rsidRPr="007971D2">
              <w:rPr>
                <w:rFonts w:cs="Arimo"/>
                <w:sz w:val="22"/>
                <w:szCs w:val="22"/>
              </w:rPr>
              <w:t xml:space="preserve">на </w:t>
            </w:r>
            <w:proofErr w:type="spellStart"/>
            <w:r w:rsidRPr="007971D2">
              <w:rPr>
                <w:rFonts w:cs="Arimo"/>
                <w:sz w:val="22"/>
                <w:szCs w:val="22"/>
              </w:rPr>
              <w:t>ранньому</w:t>
            </w:r>
            <w:proofErr w:type="spellEnd"/>
            <w:r w:rsidRPr="007971D2">
              <w:rPr>
                <w:rFonts w:cs="Arimo"/>
                <w:sz w:val="22"/>
                <w:szCs w:val="22"/>
              </w:rPr>
              <w:t xml:space="preserve"> </w:t>
            </w:r>
            <w:proofErr w:type="spellStart"/>
            <w:r w:rsidRPr="007971D2">
              <w:rPr>
                <w:rFonts w:cs="Arimo"/>
                <w:sz w:val="22"/>
                <w:szCs w:val="22"/>
              </w:rPr>
              <w:t>етапі</w:t>
            </w:r>
            <w:proofErr w:type="spellEnd"/>
            <w:r w:rsidRPr="007971D2">
              <w:rPr>
                <w:rFonts w:cs="Arimo"/>
                <w:sz w:val="22"/>
                <w:szCs w:val="22"/>
              </w:rPr>
              <w:t xml:space="preserve"> </w:t>
            </w:r>
            <w:r>
              <w:rPr>
                <w:rFonts w:cs="Arimo"/>
                <w:sz w:val="22"/>
                <w:szCs w:val="22"/>
                <w:lang w:val="uk-UA"/>
              </w:rPr>
              <w:t>вступної кампанії, оскільки</w:t>
            </w:r>
            <w:r w:rsidRPr="007971D2">
              <w:rPr>
                <w:rFonts w:cs="Arimo"/>
                <w:sz w:val="22"/>
                <w:szCs w:val="22"/>
              </w:rPr>
              <w:t xml:space="preserve"> </w:t>
            </w:r>
            <w:r>
              <w:rPr>
                <w:rFonts w:cs="Arimo"/>
                <w:sz w:val="22"/>
                <w:szCs w:val="22"/>
                <w:lang w:val="uk-UA"/>
              </w:rPr>
              <w:t>вони</w:t>
            </w:r>
            <w:r w:rsidRPr="007971D2">
              <w:rPr>
                <w:rFonts w:cs="Arimo"/>
                <w:sz w:val="22"/>
                <w:szCs w:val="22"/>
              </w:rPr>
              <w:t xml:space="preserve"> </w:t>
            </w:r>
            <w:r>
              <w:rPr>
                <w:rFonts w:cs="Arimo"/>
                <w:sz w:val="22"/>
                <w:szCs w:val="22"/>
                <w:lang w:val="uk-UA"/>
              </w:rPr>
              <w:t>створюють інтригу та підживлюють інтерес до ЗВО.</w:t>
            </w:r>
          </w:p>
        </w:tc>
        <w:tc>
          <w:tcPr>
            <w:tcW w:w="885" w:type="pct"/>
            <w:vAlign w:val="center"/>
          </w:tcPr>
          <w:p w:rsidR="003E2BCC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 w:rsidRPr="00F92334">
              <w:rPr>
                <w:rFonts w:cs="Arimo"/>
                <w:sz w:val="22"/>
                <w:szCs w:val="22"/>
                <w:lang w:val="uk-UA"/>
              </w:rPr>
              <w:t>Ситуаційно.</w:t>
            </w:r>
          </w:p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>
              <w:rPr>
                <w:rFonts w:cs="Arimo"/>
                <w:sz w:val="22"/>
                <w:szCs w:val="22"/>
                <w:lang w:val="uk-UA"/>
              </w:rPr>
              <w:t>Активно – на ранньому етапі вступної кампанії та під час прийому заяв.</w:t>
            </w:r>
          </w:p>
        </w:tc>
        <w:tc>
          <w:tcPr>
            <w:tcW w:w="935" w:type="pct"/>
            <w:vAlign w:val="center"/>
          </w:tcPr>
          <w:p w:rsidR="003E2BCC" w:rsidRPr="00F92334" w:rsidRDefault="003E2BCC" w:rsidP="003E2BC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mo"/>
                <w:sz w:val="22"/>
                <w:szCs w:val="22"/>
                <w:lang w:val="uk-UA"/>
              </w:rPr>
            </w:pPr>
            <w:r>
              <w:rPr>
                <w:rFonts w:cs="Arimo"/>
                <w:sz w:val="22"/>
                <w:szCs w:val="22"/>
                <w:lang w:val="uk-UA"/>
              </w:rPr>
              <w:t>Викликання зацікавленості у цільової аудиторії.</w:t>
            </w:r>
          </w:p>
        </w:tc>
      </w:tr>
    </w:tbl>
    <w:p w:rsidR="003E2BCC" w:rsidRDefault="003E2BCC" w:rsidP="003E2BCC">
      <w:pPr>
        <w:ind w:firstLine="0"/>
      </w:pPr>
    </w:p>
    <w:p w:rsidR="00975C10" w:rsidRPr="00975C10" w:rsidRDefault="00975C10" w:rsidP="00975C10">
      <w:pPr>
        <w:rPr>
          <w:rFonts w:cs="Arimo"/>
          <w:lang w:val="uk-UA"/>
        </w:rPr>
      </w:pPr>
      <w:r w:rsidRPr="00975C10">
        <w:rPr>
          <w:lang w:val="uk-UA"/>
        </w:rPr>
        <w:t>Отже,</w:t>
      </w:r>
      <w:r w:rsidRPr="00975C10">
        <w:rPr>
          <w:lang w:val="uk-UA"/>
        </w:rPr>
        <w:t xml:space="preserve"> найбільшого поширення у комплексі комунікації ЗВО набувають базові інструменти (реклама, персональний продаж, стимулювання збуту, </w:t>
      </w:r>
      <w:proofErr w:type="spellStart"/>
      <w:r w:rsidRPr="00975C10">
        <w:rPr>
          <w:lang w:val="uk-UA"/>
        </w:rPr>
        <w:t>паблік</w:t>
      </w:r>
      <w:proofErr w:type="spellEnd"/>
      <w:r w:rsidRPr="00975C10">
        <w:rPr>
          <w:lang w:val="uk-UA"/>
        </w:rPr>
        <w:t xml:space="preserve"> </w:t>
      </w:r>
      <w:proofErr w:type="spellStart"/>
      <w:r w:rsidRPr="00975C10">
        <w:rPr>
          <w:lang w:val="uk-UA"/>
        </w:rPr>
        <w:t>рілейшнз</w:t>
      </w:r>
      <w:proofErr w:type="spellEnd"/>
      <w:r w:rsidRPr="00975C10">
        <w:rPr>
          <w:lang w:val="uk-UA"/>
        </w:rPr>
        <w:t xml:space="preserve">). Синтетичні (виставки та </w:t>
      </w:r>
      <w:proofErr w:type="spellStart"/>
      <w:r w:rsidRPr="00975C10">
        <w:rPr>
          <w:lang w:val="uk-UA"/>
        </w:rPr>
        <w:t>брендінг</w:t>
      </w:r>
      <w:proofErr w:type="spellEnd"/>
      <w:r w:rsidRPr="00975C10">
        <w:rPr>
          <w:lang w:val="uk-UA"/>
        </w:rPr>
        <w:t>) та новітні (</w:t>
      </w:r>
      <w:proofErr w:type="spellStart"/>
      <w:r w:rsidRPr="00975C10">
        <w:rPr>
          <w:rFonts w:cs="Arimo"/>
          <w:bCs/>
          <w:lang w:val="uk-UA"/>
        </w:rPr>
        <w:t>трендсеттінг</w:t>
      </w:r>
      <w:proofErr w:type="spellEnd"/>
      <w:r w:rsidRPr="00975C10">
        <w:rPr>
          <w:rFonts w:cs="Arimo"/>
          <w:bCs/>
          <w:lang w:val="uk-UA"/>
        </w:rPr>
        <w:t xml:space="preserve">, </w:t>
      </w:r>
      <w:r w:rsidRPr="00975C10">
        <w:rPr>
          <w:rFonts w:cs="Arimo"/>
          <w:bCs/>
          <w:lang w:val="en-US"/>
        </w:rPr>
        <w:t>WOM</w:t>
      </w:r>
      <w:r w:rsidRPr="00975C10">
        <w:rPr>
          <w:rFonts w:cs="Arimo"/>
          <w:bCs/>
          <w:lang w:val="uk-UA"/>
        </w:rPr>
        <w:t>-</w:t>
      </w:r>
      <w:r w:rsidRPr="00975C10">
        <w:rPr>
          <w:rFonts w:cs="Arimo"/>
          <w:bCs/>
          <w:lang w:val="uk-UA"/>
        </w:rPr>
        <w:lastRenderedPageBreak/>
        <w:t xml:space="preserve">технологія, </w:t>
      </w:r>
      <w:r w:rsidRPr="00975C10">
        <w:rPr>
          <w:rFonts w:cs="Arimo"/>
          <w:bCs/>
          <w:lang w:val="en-US"/>
        </w:rPr>
        <w:t>Buzz</w:t>
      </w:r>
      <w:r w:rsidRPr="00975C10">
        <w:rPr>
          <w:rFonts w:cs="Arimo"/>
          <w:bCs/>
          <w:lang w:val="uk-UA"/>
        </w:rPr>
        <w:t xml:space="preserve">-маркетинг, </w:t>
      </w:r>
      <w:r w:rsidRPr="00975C10">
        <w:rPr>
          <w:rFonts w:cs="Arimo"/>
          <w:bCs/>
          <w:lang w:val="en-US"/>
        </w:rPr>
        <w:t>Event-</w:t>
      </w:r>
      <w:r w:rsidRPr="00975C10">
        <w:rPr>
          <w:rFonts w:cs="Arimo"/>
          <w:bCs/>
        </w:rPr>
        <w:t>маркетинг</w:t>
      </w:r>
      <w:r w:rsidRPr="00975C10">
        <w:rPr>
          <w:rFonts w:cs="Arimo"/>
          <w:bCs/>
          <w:lang w:val="uk-UA"/>
        </w:rPr>
        <w:t xml:space="preserve">, </w:t>
      </w:r>
      <w:r w:rsidRPr="00975C10">
        <w:rPr>
          <w:rFonts w:cs="Arimo"/>
          <w:bCs/>
          <w:lang w:val="en-US"/>
        </w:rPr>
        <w:t>Product placement</w:t>
      </w:r>
      <w:r w:rsidRPr="00975C10">
        <w:rPr>
          <w:rFonts w:cs="Arimo"/>
          <w:bCs/>
          <w:lang w:val="uk-UA"/>
        </w:rPr>
        <w:t xml:space="preserve">, </w:t>
      </w:r>
      <w:r w:rsidRPr="00975C10">
        <w:rPr>
          <w:rFonts w:cs="Arimo"/>
          <w:bCs/>
          <w:lang w:val="en-US"/>
        </w:rPr>
        <w:t>Life Placement</w:t>
      </w:r>
      <w:r w:rsidRPr="00975C10">
        <w:rPr>
          <w:rFonts w:cs="Arimo"/>
          <w:bCs/>
          <w:lang w:val="uk-UA"/>
        </w:rPr>
        <w:t xml:space="preserve">, </w:t>
      </w:r>
      <w:proofErr w:type="spellStart"/>
      <w:r w:rsidRPr="00975C10">
        <w:rPr>
          <w:rFonts w:cs="Arimo"/>
          <w:bCs/>
          <w:lang w:val="uk-UA"/>
        </w:rPr>
        <w:t>флешмоб</w:t>
      </w:r>
      <w:proofErr w:type="spellEnd"/>
      <w:r w:rsidRPr="00975C10">
        <w:rPr>
          <w:rFonts w:cs="Arimo"/>
          <w:bCs/>
          <w:lang w:val="uk-UA"/>
        </w:rPr>
        <w:t xml:space="preserve">, </w:t>
      </w:r>
      <w:proofErr w:type="spellStart"/>
      <w:r w:rsidRPr="00975C10">
        <w:rPr>
          <w:rFonts w:cs="Arimo"/>
          <w:bCs/>
          <w:lang w:val="uk-UA"/>
        </w:rPr>
        <w:t>тизер</w:t>
      </w:r>
      <w:proofErr w:type="spellEnd"/>
      <w:r w:rsidRPr="00975C10">
        <w:rPr>
          <w:rFonts w:cs="Arimo"/>
          <w:bCs/>
          <w:lang w:val="uk-UA"/>
        </w:rPr>
        <w:t xml:space="preserve">) інструменти можуть бути використані ситуаційно, у залежності від стратегічних цілей ЗВО, але також є важливими, оскільки у своїй сукупній дії спрямовуються на підвищення </w:t>
      </w:r>
      <w:r w:rsidRPr="00975C10">
        <w:rPr>
          <w:rFonts w:cs="Arimo"/>
          <w:bCs/>
          <w:lang w:val="uk-UA"/>
        </w:rPr>
        <w:t xml:space="preserve">його </w:t>
      </w:r>
      <w:r w:rsidRPr="00975C10">
        <w:rPr>
          <w:rFonts w:cs="Arimo"/>
          <w:bCs/>
          <w:lang w:val="uk-UA"/>
        </w:rPr>
        <w:t xml:space="preserve">рейтингу та іміджу. </w:t>
      </w:r>
      <w:r w:rsidRPr="00975C10">
        <w:rPr>
          <w:rFonts w:cs="Arimo"/>
          <w:lang w:val="uk-UA"/>
        </w:rPr>
        <w:t xml:space="preserve">Ефект від використання сукупності базових інструментів може бути оцінений як приріст чисельності вступників за рахунок утворення міцних та тривалих відносин з цільовою аудиторією та </w:t>
      </w:r>
      <w:proofErr w:type="spellStart"/>
      <w:r w:rsidRPr="00975C10">
        <w:rPr>
          <w:rFonts w:cs="Arimo"/>
          <w:lang w:val="uk-UA"/>
        </w:rPr>
        <w:t>стейкхолдерами</w:t>
      </w:r>
      <w:proofErr w:type="spellEnd"/>
      <w:r w:rsidRPr="00975C10">
        <w:rPr>
          <w:rFonts w:cs="Arimo"/>
          <w:lang w:val="uk-UA"/>
        </w:rPr>
        <w:t xml:space="preserve"> та забезпечення</w:t>
      </w:r>
      <w:r>
        <w:rPr>
          <w:rFonts w:cs="Arimo"/>
          <w:lang w:val="uk-UA"/>
        </w:rPr>
        <w:t>м</w:t>
      </w:r>
      <w:r w:rsidRPr="00975C10">
        <w:rPr>
          <w:rFonts w:cs="Arimo"/>
          <w:lang w:val="uk-UA"/>
        </w:rPr>
        <w:t xml:space="preserve"> сприятливих умов для вступу та надання освітніх послуг. Новітні інструменти маркетингової комунікаційної політики спрямовані, у більшості, на підвищення рейтингу та іміджу ЗВО шляхом поширення позитивної інформації щодо його діяльності та підвищення рівня зацікавленості цільової аудиторії до перспектив вступу</w:t>
      </w:r>
      <w:r w:rsidRPr="00975C10">
        <w:rPr>
          <w:rFonts w:cs="Arimo"/>
          <w:lang w:val="uk-UA"/>
        </w:rPr>
        <w:t>.</w:t>
      </w:r>
    </w:p>
    <w:p w:rsidR="00975C10" w:rsidRPr="00975C10" w:rsidRDefault="00975C10" w:rsidP="00975C10">
      <w:pPr>
        <w:ind w:firstLine="0"/>
        <w:jc w:val="center"/>
        <w:rPr>
          <w:b/>
          <w:sz w:val="24"/>
          <w:lang w:val="uk-UA"/>
        </w:rPr>
      </w:pPr>
      <w:r w:rsidRPr="00975C10">
        <w:rPr>
          <w:b/>
          <w:sz w:val="24"/>
          <w:lang w:val="uk-UA"/>
        </w:rPr>
        <w:t>Література</w:t>
      </w:r>
    </w:p>
    <w:p w:rsidR="00975C10" w:rsidRPr="00975C10" w:rsidRDefault="00975C10" w:rsidP="00975C1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975C10">
        <w:rPr>
          <w:bCs/>
          <w:sz w:val="24"/>
          <w:lang w:val="uk-UA"/>
        </w:rPr>
        <w:t xml:space="preserve">Волкова В.В., </w:t>
      </w:r>
      <w:proofErr w:type="spellStart"/>
      <w:r w:rsidRPr="00975C10">
        <w:rPr>
          <w:bCs/>
          <w:sz w:val="24"/>
          <w:lang w:val="uk-UA"/>
        </w:rPr>
        <w:t>Огліх</w:t>
      </w:r>
      <w:proofErr w:type="spellEnd"/>
      <w:r w:rsidRPr="00975C10">
        <w:rPr>
          <w:bCs/>
          <w:sz w:val="24"/>
          <w:lang w:val="uk-UA"/>
        </w:rPr>
        <w:t xml:space="preserve"> В.В. </w:t>
      </w:r>
      <w:proofErr w:type="spellStart"/>
      <w:r w:rsidRPr="00975C10">
        <w:rPr>
          <w:bCs/>
          <w:sz w:val="24"/>
        </w:rPr>
        <w:t>Комунікаційна</w:t>
      </w:r>
      <w:proofErr w:type="spellEnd"/>
      <w:r w:rsidRPr="00975C10">
        <w:rPr>
          <w:bCs/>
          <w:sz w:val="24"/>
        </w:rPr>
        <w:t xml:space="preserve"> </w:t>
      </w:r>
      <w:proofErr w:type="spellStart"/>
      <w:r w:rsidRPr="00975C10">
        <w:rPr>
          <w:bCs/>
          <w:sz w:val="24"/>
        </w:rPr>
        <w:t>політика</w:t>
      </w:r>
      <w:proofErr w:type="spellEnd"/>
      <w:r w:rsidRPr="00975C10">
        <w:rPr>
          <w:bCs/>
          <w:sz w:val="24"/>
        </w:rPr>
        <w:t xml:space="preserve"> </w:t>
      </w:r>
      <w:proofErr w:type="spellStart"/>
      <w:r w:rsidRPr="00975C10">
        <w:rPr>
          <w:bCs/>
          <w:sz w:val="24"/>
        </w:rPr>
        <w:t>закладів</w:t>
      </w:r>
      <w:proofErr w:type="spellEnd"/>
      <w:r w:rsidRPr="00975C10">
        <w:rPr>
          <w:bCs/>
          <w:sz w:val="24"/>
        </w:rPr>
        <w:t xml:space="preserve"> </w:t>
      </w:r>
      <w:proofErr w:type="spellStart"/>
      <w:r w:rsidRPr="00975C10">
        <w:rPr>
          <w:bCs/>
          <w:sz w:val="24"/>
        </w:rPr>
        <w:t>вищої</w:t>
      </w:r>
      <w:proofErr w:type="spellEnd"/>
      <w:r w:rsidRPr="00975C10">
        <w:rPr>
          <w:bCs/>
          <w:sz w:val="24"/>
        </w:rPr>
        <w:t xml:space="preserve"> </w:t>
      </w:r>
      <w:proofErr w:type="spellStart"/>
      <w:r w:rsidRPr="00975C10">
        <w:rPr>
          <w:bCs/>
          <w:sz w:val="24"/>
        </w:rPr>
        <w:t>освіти</w:t>
      </w:r>
      <w:proofErr w:type="spellEnd"/>
      <w:r w:rsidRPr="00975C10">
        <w:rPr>
          <w:bCs/>
          <w:sz w:val="24"/>
        </w:rPr>
        <w:t xml:space="preserve"> </w:t>
      </w:r>
      <w:proofErr w:type="spellStart"/>
      <w:r w:rsidRPr="00975C10">
        <w:rPr>
          <w:bCs/>
          <w:sz w:val="24"/>
        </w:rPr>
        <w:t>України</w:t>
      </w:r>
      <w:proofErr w:type="spellEnd"/>
      <w:r w:rsidRPr="00975C10">
        <w:rPr>
          <w:bCs/>
          <w:sz w:val="24"/>
        </w:rPr>
        <w:t xml:space="preserve"> як основа </w:t>
      </w:r>
      <w:proofErr w:type="spellStart"/>
      <w:r w:rsidRPr="00975C10">
        <w:rPr>
          <w:bCs/>
          <w:sz w:val="24"/>
        </w:rPr>
        <w:t>їх</w:t>
      </w:r>
      <w:proofErr w:type="spellEnd"/>
      <w:r w:rsidRPr="00975C10">
        <w:rPr>
          <w:bCs/>
          <w:sz w:val="24"/>
        </w:rPr>
        <w:t xml:space="preserve"> </w:t>
      </w:r>
      <w:proofErr w:type="spellStart"/>
      <w:r w:rsidRPr="00975C10">
        <w:rPr>
          <w:bCs/>
          <w:sz w:val="24"/>
        </w:rPr>
        <w:t>успішного</w:t>
      </w:r>
      <w:proofErr w:type="spellEnd"/>
      <w:r w:rsidRPr="00975C10">
        <w:rPr>
          <w:bCs/>
          <w:sz w:val="24"/>
        </w:rPr>
        <w:t xml:space="preserve"> </w:t>
      </w:r>
      <w:proofErr w:type="spellStart"/>
      <w:r w:rsidRPr="00975C10">
        <w:rPr>
          <w:bCs/>
          <w:sz w:val="24"/>
        </w:rPr>
        <w:t>функціонування</w:t>
      </w:r>
      <w:proofErr w:type="spellEnd"/>
      <w:r w:rsidRPr="00975C10">
        <w:rPr>
          <w:sz w:val="24"/>
          <w:shd w:val="clear" w:color="auto" w:fill="F9F9F9"/>
          <w:lang w:val="uk-UA"/>
        </w:rPr>
        <w:t>.</w:t>
      </w:r>
      <w:r w:rsidRPr="00975C10">
        <w:rPr>
          <w:sz w:val="24"/>
          <w:shd w:val="clear" w:color="auto" w:fill="F9F9F9"/>
        </w:rPr>
        <w:t> </w:t>
      </w:r>
      <w:proofErr w:type="spellStart"/>
      <w:r w:rsidRPr="00975C10">
        <w:rPr>
          <w:i/>
          <w:sz w:val="24"/>
        </w:rPr>
        <w:t>Економічний</w:t>
      </w:r>
      <w:proofErr w:type="spellEnd"/>
      <w:r w:rsidRPr="00975C10">
        <w:rPr>
          <w:i/>
          <w:sz w:val="24"/>
        </w:rPr>
        <w:t xml:space="preserve"> </w:t>
      </w:r>
      <w:proofErr w:type="spellStart"/>
      <w:r w:rsidRPr="00975C10">
        <w:rPr>
          <w:i/>
          <w:sz w:val="24"/>
        </w:rPr>
        <w:t>простір</w:t>
      </w:r>
      <w:proofErr w:type="spellEnd"/>
      <w:r w:rsidRPr="00975C10">
        <w:rPr>
          <w:sz w:val="24"/>
          <w:shd w:val="clear" w:color="auto" w:fill="F9F9F9"/>
        </w:rPr>
        <w:t xml:space="preserve">. </w:t>
      </w:r>
      <w:r w:rsidRPr="00975C10">
        <w:rPr>
          <w:sz w:val="24"/>
        </w:rPr>
        <w:t xml:space="preserve">2019. № 148. С. 172-185. </w:t>
      </w:r>
      <w:r w:rsidRPr="00975C10">
        <w:rPr>
          <w:sz w:val="24"/>
          <w:lang w:val="en-US"/>
        </w:rPr>
        <w:t>URL</w:t>
      </w:r>
      <w:r w:rsidRPr="00975C10">
        <w:rPr>
          <w:sz w:val="24"/>
          <w:shd w:val="clear" w:color="auto" w:fill="F9F9F9"/>
        </w:rPr>
        <w:t>: </w:t>
      </w:r>
      <w:hyperlink r:id="rId7" w:history="1">
        <w:r w:rsidRPr="00975C10">
          <w:rPr>
            <w:sz w:val="24"/>
            <w:u w:val="single"/>
          </w:rPr>
          <w:t>http://nbuv.gov.ua/UJRN/ecpros_2019_148_16</w:t>
        </w:r>
      </w:hyperlink>
    </w:p>
    <w:p w:rsidR="00975C10" w:rsidRPr="00975C10" w:rsidRDefault="00975C10" w:rsidP="00975C1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rPr>
          <w:sz w:val="24"/>
        </w:rPr>
      </w:pPr>
      <w:proofErr w:type="spellStart"/>
      <w:r w:rsidRPr="00975C10">
        <w:rPr>
          <w:color w:val="000000"/>
          <w:sz w:val="24"/>
        </w:rPr>
        <w:t>Ільченко</w:t>
      </w:r>
      <w:proofErr w:type="spellEnd"/>
      <w:r w:rsidRPr="00975C10">
        <w:rPr>
          <w:color w:val="000000"/>
          <w:sz w:val="24"/>
        </w:rPr>
        <w:t xml:space="preserve">, Т., Помазан, Л. </w:t>
      </w:r>
      <w:proofErr w:type="spellStart"/>
      <w:r w:rsidRPr="00975C10">
        <w:rPr>
          <w:color w:val="000000"/>
          <w:sz w:val="24"/>
        </w:rPr>
        <w:t>Маркетингова</w:t>
      </w:r>
      <w:proofErr w:type="spellEnd"/>
      <w:r w:rsidRPr="00975C10">
        <w:rPr>
          <w:color w:val="000000"/>
          <w:sz w:val="24"/>
        </w:rPr>
        <w:t xml:space="preserve"> </w:t>
      </w:r>
      <w:proofErr w:type="spellStart"/>
      <w:r w:rsidRPr="00975C10">
        <w:rPr>
          <w:color w:val="000000"/>
          <w:sz w:val="24"/>
        </w:rPr>
        <w:t>комунікаційна</w:t>
      </w:r>
      <w:proofErr w:type="spellEnd"/>
      <w:r w:rsidRPr="00975C10">
        <w:rPr>
          <w:color w:val="000000"/>
          <w:sz w:val="24"/>
        </w:rPr>
        <w:t xml:space="preserve"> </w:t>
      </w:r>
      <w:proofErr w:type="spellStart"/>
      <w:r w:rsidRPr="00975C10">
        <w:rPr>
          <w:color w:val="000000"/>
          <w:sz w:val="24"/>
        </w:rPr>
        <w:t>політика</w:t>
      </w:r>
      <w:proofErr w:type="spellEnd"/>
      <w:r w:rsidRPr="00975C10">
        <w:rPr>
          <w:color w:val="000000"/>
          <w:sz w:val="24"/>
        </w:rPr>
        <w:t xml:space="preserve">: </w:t>
      </w:r>
      <w:proofErr w:type="spellStart"/>
      <w:r w:rsidRPr="00975C10">
        <w:rPr>
          <w:color w:val="000000"/>
          <w:sz w:val="24"/>
        </w:rPr>
        <w:t>сутність</w:t>
      </w:r>
      <w:proofErr w:type="spellEnd"/>
      <w:r w:rsidRPr="00975C10">
        <w:rPr>
          <w:color w:val="000000"/>
          <w:sz w:val="24"/>
        </w:rPr>
        <w:t xml:space="preserve"> та </w:t>
      </w:r>
      <w:proofErr w:type="spellStart"/>
      <w:r w:rsidRPr="00975C10">
        <w:rPr>
          <w:color w:val="000000"/>
          <w:sz w:val="24"/>
        </w:rPr>
        <w:t>особливості</w:t>
      </w:r>
      <w:proofErr w:type="spellEnd"/>
      <w:r w:rsidRPr="00975C10">
        <w:rPr>
          <w:color w:val="000000"/>
          <w:sz w:val="24"/>
        </w:rPr>
        <w:t xml:space="preserve"> на </w:t>
      </w:r>
      <w:proofErr w:type="spellStart"/>
      <w:r w:rsidRPr="00975C10">
        <w:rPr>
          <w:color w:val="000000"/>
          <w:sz w:val="24"/>
        </w:rPr>
        <w:t>промисловому</w:t>
      </w:r>
      <w:proofErr w:type="spellEnd"/>
      <w:r w:rsidRPr="00975C10">
        <w:rPr>
          <w:color w:val="000000"/>
          <w:sz w:val="24"/>
        </w:rPr>
        <w:t xml:space="preserve"> </w:t>
      </w:r>
      <w:proofErr w:type="spellStart"/>
      <w:r w:rsidRPr="00975C10">
        <w:rPr>
          <w:color w:val="000000"/>
          <w:sz w:val="24"/>
        </w:rPr>
        <w:t>підприємстві</w:t>
      </w:r>
      <w:proofErr w:type="spellEnd"/>
      <w:r w:rsidRPr="00975C10">
        <w:rPr>
          <w:color w:val="000000"/>
          <w:sz w:val="24"/>
        </w:rPr>
        <w:t>. </w:t>
      </w:r>
      <w:proofErr w:type="spellStart"/>
      <w:r w:rsidRPr="00975C10">
        <w:rPr>
          <w:i/>
          <w:iCs/>
          <w:color w:val="000000"/>
          <w:sz w:val="24"/>
        </w:rPr>
        <w:t>Економіка</w:t>
      </w:r>
      <w:proofErr w:type="spellEnd"/>
      <w:r w:rsidRPr="00975C10">
        <w:rPr>
          <w:i/>
          <w:iCs/>
          <w:color w:val="000000"/>
          <w:sz w:val="24"/>
        </w:rPr>
        <w:t xml:space="preserve"> та </w:t>
      </w:r>
      <w:proofErr w:type="spellStart"/>
      <w:r w:rsidRPr="00975C10">
        <w:rPr>
          <w:i/>
          <w:iCs/>
          <w:color w:val="000000"/>
          <w:sz w:val="24"/>
        </w:rPr>
        <w:t>суспільство</w:t>
      </w:r>
      <w:proofErr w:type="spellEnd"/>
      <w:r w:rsidRPr="00975C10">
        <w:rPr>
          <w:color w:val="000000"/>
          <w:sz w:val="24"/>
        </w:rPr>
        <w:t xml:space="preserve">. 2022 (43). </w:t>
      </w:r>
      <w:r w:rsidRPr="00975C10">
        <w:rPr>
          <w:color w:val="000000"/>
          <w:sz w:val="24"/>
          <w:lang w:val="en-US"/>
        </w:rPr>
        <w:t>URL</w:t>
      </w:r>
      <w:r w:rsidRPr="00975C10">
        <w:rPr>
          <w:color w:val="000000"/>
          <w:sz w:val="24"/>
          <w:lang w:val="uk-UA"/>
        </w:rPr>
        <w:t>: </w:t>
      </w:r>
      <w:hyperlink r:id="rId8" w:history="1">
        <w:r w:rsidRPr="00975C10">
          <w:rPr>
            <w:color w:val="0000FF"/>
            <w:sz w:val="24"/>
            <w:u w:val="single"/>
          </w:rPr>
          <w:t>https://doi.org/10.32782/2524-0072/2022-43-47</w:t>
        </w:r>
      </w:hyperlink>
    </w:p>
    <w:p w:rsidR="005B3256" w:rsidRPr="00975C10" w:rsidRDefault="005B3256" w:rsidP="00975C10">
      <w:pPr>
        <w:ind w:firstLine="0"/>
        <w:rPr>
          <w:sz w:val="24"/>
        </w:rPr>
      </w:pPr>
    </w:p>
    <w:sectPr w:rsidR="005B3256" w:rsidRPr="00975C10" w:rsidSect="00086BB5">
      <w:headerReference w:type="default" r:id="rId9"/>
      <w:pgSz w:w="11906" w:h="16838"/>
      <w:pgMar w:top="1134" w:right="1134" w:bottom="1134" w:left="1134" w:header="340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0F" w:rsidRDefault="0077730F" w:rsidP="00086BB5">
      <w:pPr>
        <w:spacing w:line="240" w:lineRule="auto"/>
      </w:pPr>
      <w:r>
        <w:separator/>
      </w:r>
    </w:p>
  </w:endnote>
  <w:endnote w:type="continuationSeparator" w:id="0">
    <w:p w:rsidR="0077730F" w:rsidRDefault="0077730F" w:rsidP="00086B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m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0F" w:rsidRDefault="0077730F" w:rsidP="00086BB5">
      <w:pPr>
        <w:spacing w:line="240" w:lineRule="auto"/>
      </w:pPr>
      <w:r>
        <w:separator/>
      </w:r>
    </w:p>
  </w:footnote>
  <w:footnote w:type="continuationSeparator" w:id="0">
    <w:p w:rsidR="0077730F" w:rsidRDefault="0077730F" w:rsidP="00086B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821610"/>
      <w:docPartObj>
        <w:docPartGallery w:val="Page Numbers (Top of Page)"/>
        <w:docPartUnique/>
      </w:docPartObj>
    </w:sdtPr>
    <w:sdtContent>
      <w:p w:rsidR="00086BB5" w:rsidRDefault="00086BB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E2C">
          <w:rPr>
            <w:noProof/>
          </w:rPr>
          <w:t>5</w:t>
        </w:r>
        <w:r>
          <w:fldChar w:fldCharType="end"/>
        </w:r>
      </w:p>
    </w:sdtContent>
  </w:sdt>
  <w:p w:rsidR="00086BB5" w:rsidRDefault="00086B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D358410"/>
    <w:multiLevelType w:val="hybridMultilevel"/>
    <w:tmpl w:val="BC219A4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CC"/>
    <w:rsid w:val="00086BB5"/>
    <w:rsid w:val="003E2BCC"/>
    <w:rsid w:val="005B3256"/>
    <w:rsid w:val="0077730F"/>
    <w:rsid w:val="00811A51"/>
    <w:rsid w:val="009246F0"/>
    <w:rsid w:val="00975C10"/>
    <w:rsid w:val="00A06E2C"/>
    <w:rsid w:val="00AF22CC"/>
    <w:rsid w:val="00E20147"/>
    <w:rsid w:val="00FC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3CA94-6308-4192-9EB2-B25C3E5B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B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BB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BB5"/>
  </w:style>
  <w:style w:type="paragraph" w:styleId="a6">
    <w:name w:val="footer"/>
    <w:basedOn w:val="a"/>
    <w:link w:val="a7"/>
    <w:uiPriority w:val="99"/>
    <w:unhideWhenUsed/>
    <w:rsid w:val="00086BB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782/2524-0072/2022-43-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ecpros_2019_148_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2023-05-25T12:43:00Z</dcterms:created>
  <dcterms:modified xsi:type="dcterms:W3CDTF">2023-05-31T15:27:00Z</dcterms:modified>
</cp:coreProperties>
</file>