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1C0C6" w14:textId="1FD2CDC6" w:rsidR="009D31C9" w:rsidRPr="0063325D" w:rsidRDefault="009D31C9" w:rsidP="0022231B">
      <w:pPr>
        <w:tabs>
          <w:tab w:val="left" w:pos="1044"/>
          <w:tab w:val="right" w:pos="9639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32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31B">
        <w:rPr>
          <w:rFonts w:ascii="Times New Roman" w:hAnsi="Times New Roman" w:cs="Times New Roman"/>
          <w:b/>
          <w:bCs/>
          <w:sz w:val="28"/>
          <w:szCs w:val="28"/>
        </w:rPr>
        <w:t>Рацин І.І.</w:t>
      </w:r>
    </w:p>
    <w:p w14:paraId="7A225DDB" w14:textId="4D1FA650" w:rsidR="009D31C9" w:rsidRPr="0063325D" w:rsidRDefault="009D31C9" w:rsidP="009D31C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325D">
        <w:rPr>
          <w:rFonts w:ascii="Times New Roman" w:hAnsi="Times New Roman" w:cs="Times New Roman"/>
          <w:sz w:val="28"/>
          <w:szCs w:val="28"/>
        </w:rPr>
        <w:t xml:space="preserve">аспірант </w:t>
      </w:r>
      <w:bookmarkStart w:id="0" w:name="_Hlk174544056"/>
      <w:r w:rsidRPr="0063325D">
        <w:rPr>
          <w:rFonts w:ascii="Times New Roman" w:hAnsi="Times New Roman" w:cs="Times New Roman"/>
          <w:sz w:val="28"/>
          <w:szCs w:val="28"/>
        </w:rPr>
        <w:t>кафедри міжнародних економічний відносин</w:t>
      </w:r>
      <w:bookmarkEnd w:id="0"/>
    </w:p>
    <w:p w14:paraId="6A7A655A" w14:textId="2E010156" w:rsidR="009D31C9" w:rsidRPr="0063325D" w:rsidRDefault="009D31C9" w:rsidP="009D31C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325D">
        <w:rPr>
          <w:rFonts w:ascii="Times New Roman" w:hAnsi="Times New Roman" w:cs="Times New Roman"/>
          <w:sz w:val="28"/>
          <w:szCs w:val="28"/>
        </w:rPr>
        <w:t>ДВНЗ «Ужгородський національний університет»</w:t>
      </w:r>
      <w:r w:rsidR="0022231B">
        <w:rPr>
          <w:rFonts w:ascii="Times New Roman" w:hAnsi="Times New Roman" w:cs="Times New Roman"/>
          <w:sz w:val="28"/>
          <w:szCs w:val="28"/>
        </w:rPr>
        <w:br/>
      </w:r>
      <w:r w:rsidR="0022231B">
        <w:rPr>
          <w:rFonts w:ascii="Times New Roman" w:hAnsi="Times New Roman" w:cs="Times New Roman"/>
          <w:sz w:val="28"/>
          <w:szCs w:val="28"/>
        </w:rPr>
        <w:br/>
      </w:r>
      <w:r w:rsidR="0022231B" w:rsidRPr="0022231B">
        <w:rPr>
          <w:rFonts w:ascii="Times New Roman" w:hAnsi="Times New Roman" w:cs="Times New Roman"/>
          <w:b/>
          <w:sz w:val="28"/>
          <w:szCs w:val="28"/>
        </w:rPr>
        <w:t>Брензович К.С.</w:t>
      </w:r>
      <w:r w:rsidR="0022231B">
        <w:rPr>
          <w:rFonts w:ascii="Times New Roman" w:hAnsi="Times New Roman" w:cs="Times New Roman"/>
          <w:b/>
          <w:sz w:val="28"/>
          <w:szCs w:val="28"/>
        </w:rPr>
        <w:br/>
      </w:r>
      <w:r w:rsidR="00F73D91">
        <w:rPr>
          <w:rFonts w:ascii="Times New Roman" w:hAnsi="Times New Roman" w:cs="Times New Roman"/>
          <w:sz w:val="28"/>
          <w:szCs w:val="28"/>
        </w:rPr>
        <w:t>к</w:t>
      </w:r>
      <w:r w:rsidR="00490552">
        <w:rPr>
          <w:rFonts w:ascii="Times New Roman" w:hAnsi="Times New Roman" w:cs="Times New Roman"/>
          <w:sz w:val="28"/>
          <w:szCs w:val="28"/>
        </w:rPr>
        <w:t>андидат економічних наук, доцент</w:t>
      </w:r>
      <w:r w:rsidR="00123507">
        <w:rPr>
          <w:rFonts w:ascii="Times New Roman" w:hAnsi="Times New Roman" w:cs="Times New Roman"/>
          <w:sz w:val="28"/>
          <w:szCs w:val="28"/>
        </w:rPr>
        <w:t>,</w:t>
      </w:r>
    </w:p>
    <w:p w14:paraId="258AE695" w14:textId="1AB1B58E" w:rsidR="009D31C9" w:rsidRPr="00F73D91" w:rsidRDefault="00123507" w:rsidP="00F73D9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F73D91" w:rsidRPr="00F73D91">
        <w:rPr>
          <w:rFonts w:ascii="Times New Roman" w:hAnsi="Times New Roman" w:cs="Times New Roman"/>
          <w:sz w:val="28"/>
          <w:szCs w:val="28"/>
        </w:rPr>
        <w:t>кафедри міжнародних економічний відносин</w:t>
      </w:r>
    </w:p>
    <w:p w14:paraId="321B0BED" w14:textId="3607F585" w:rsidR="00F73D91" w:rsidRPr="00123507" w:rsidRDefault="00123507" w:rsidP="001235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507">
        <w:rPr>
          <w:rFonts w:ascii="Times New Roman" w:hAnsi="Times New Roman" w:cs="Times New Roman"/>
          <w:sz w:val="28"/>
          <w:szCs w:val="28"/>
        </w:rPr>
        <w:t>ДВНЗ «Ужгородський національний університет»</w:t>
      </w:r>
      <w:r w:rsidRPr="00123507">
        <w:rPr>
          <w:rFonts w:ascii="Times New Roman" w:hAnsi="Times New Roman" w:cs="Times New Roman"/>
          <w:sz w:val="28"/>
          <w:szCs w:val="28"/>
        </w:rPr>
        <w:br/>
      </w:r>
    </w:p>
    <w:p w14:paraId="22531BA9" w14:textId="389E75D4" w:rsidR="002D4124" w:rsidRPr="0022231B" w:rsidRDefault="0022231B" w:rsidP="00F73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ВПЛИВ ТНК ЄС НА ЕКОНОМІЧНИЙ РОЗВИТОК УКРАЇНИ</w:t>
      </w:r>
    </w:p>
    <w:p w14:paraId="6055F373" w14:textId="77777777" w:rsidR="004E3E1C" w:rsidRPr="00AB18EE" w:rsidRDefault="004E3E1C" w:rsidP="004E3E1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10FBBD" w14:textId="3C8325B1" w:rsidR="00A81451" w:rsidRPr="00FE1C3D" w:rsidRDefault="00F73D91" w:rsidP="00BB6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A81451" w:rsidRPr="00FE1C3D">
        <w:rPr>
          <w:rFonts w:ascii="Times New Roman" w:hAnsi="Times New Roman" w:cs="Times New Roman"/>
          <w:sz w:val="28"/>
          <w:szCs w:val="28"/>
        </w:rPr>
        <w:t>ТНК</w:t>
      </w:r>
      <w:r w:rsidRPr="00FE1C3D">
        <w:rPr>
          <w:rFonts w:ascii="Times New Roman" w:hAnsi="Times New Roman" w:cs="Times New Roman"/>
          <w:sz w:val="28"/>
          <w:szCs w:val="28"/>
        </w:rPr>
        <w:t>, що базуються у</w:t>
      </w:r>
      <w:r w:rsidR="00A81451" w:rsidRPr="00FE1C3D">
        <w:rPr>
          <w:rFonts w:ascii="Times New Roman" w:hAnsi="Times New Roman" w:cs="Times New Roman"/>
          <w:sz w:val="28"/>
          <w:szCs w:val="28"/>
        </w:rPr>
        <w:t xml:space="preserve"> ЄС</w:t>
      </w:r>
      <w:r w:rsidRPr="00FE1C3D">
        <w:rPr>
          <w:rFonts w:ascii="Times New Roman" w:hAnsi="Times New Roman" w:cs="Times New Roman"/>
          <w:sz w:val="28"/>
          <w:szCs w:val="28"/>
        </w:rPr>
        <w:t>,</w:t>
      </w:r>
      <w:r w:rsidR="00A81451" w:rsidRPr="00FE1C3D">
        <w:rPr>
          <w:rFonts w:ascii="Times New Roman" w:hAnsi="Times New Roman" w:cs="Times New Roman"/>
          <w:sz w:val="28"/>
          <w:szCs w:val="28"/>
        </w:rPr>
        <w:t xml:space="preserve"> </w:t>
      </w:r>
      <w:r w:rsidRPr="00FE1C3D">
        <w:rPr>
          <w:rFonts w:ascii="Times New Roman" w:hAnsi="Times New Roman" w:cs="Times New Roman"/>
          <w:sz w:val="28"/>
          <w:szCs w:val="28"/>
        </w:rPr>
        <w:t xml:space="preserve">є важливим фактором, що створює можливості </w:t>
      </w:r>
      <w:r w:rsidR="00123507">
        <w:rPr>
          <w:rFonts w:ascii="Times New Roman" w:hAnsi="Times New Roman" w:cs="Times New Roman"/>
          <w:sz w:val="28"/>
          <w:szCs w:val="28"/>
        </w:rPr>
        <w:t xml:space="preserve">для </w:t>
      </w:r>
      <w:r w:rsidRPr="00FE1C3D">
        <w:rPr>
          <w:rFonts w:ascii="Times New Roman" w:hAnsi="Times New Roman" w:cs="Times New Roman"/>
          <w:sz w:val="28"/>
          <w:szCs w:val="28"/>
        </w:rPr>
        <w:t>розвитку та європеїзації економіки нашої держави</w:t>
      </w:r>
      <w:r w:rsidR="00AB18EE" w:rsidRPr="00FE1C3D">
        <w:rPr>
          <w:rFonts w:ascii="Times New Roman" w:hAnsi="Times New Roman" w:cs="Times New Roman"/>
          <w:sz w:val="28"/>
          <w:szCs w:val="28"/>
        </w:rPr>
        <w:t xml:space="preserve">. </w:t>
      </w:r>
      <w:r w:rsidR="00A81451" w:rsidRPr="00FE1C3D">
        <w:rPr>
          <w:rFonts w:ascii="Times New Roman" w:hAnsi="Times New Roman" w:cs="Times New Roman"/>
          <w:sz w:val="28"/>
          <w:szCs w:val="28"/>
        </w:rPr>
        <w:t>Транснаціональні корпорації (ТНК) Європейського Союзу відіграють ключову роль в інтеграції України в європейський економічний простір</w:t>
      </w:r>
      <w:r w:rsidRPr="00FE1C3D">
        <w:rPr>
          <w:rFonts w:ascii="Times New Roman" w:hAnsi="Times New Roman" w:cs="Times New Roman"/>
          <w:sz w:val="28"/>
          <w:szCs w:val="28"/>
        </w:rPr>
        <w:t>,</w:t>
      </w:r>
      <w:r w:rsidR="00A81451" w:rsidRPr="00FE1C3D">
        <w:rPr>
          <w:rFonts w:ascii="Times New Roman" w:hAnsi="Times New Roman" w:cs="Times New Roman"/>
          <w:sz w:val="28"/>
          <w:szCs w:val="28"/>
        </w:rPr>
        <w:t xml:space="preserve"> сприяю</w:t>
      </w:r>
      <w:r w:rsidRPr="00FE1C3D">
        <w:rPr>
          <w:rFonts w:ascii="Times New Roman" w:hAnsi="Times New Roman" w:cs="Times New Roman"/>
          <w:sz w:val="28"/>
          <w:szCs w:val="28"/>
        </w:rPr>
        <w:t>чи</w:t>
      </w:r>
      <w:r w:rsidR="00A81451" w:rsidRPr="00FE1C3D">
        <w:rPr>
          <w:rFonts w:ascii="Times New Roman" w:hAnsi="Times New Roman" w:cs="Times New Roman"/>
          <w:sz w:val="28"/>
          <w:szCs w:val="28"/>
        </w:rPr>
        <w:t xml:space="preserve"> модернізації національної економіки, залученню прямих іноземних інвестицій, стимулюю</w:t>
      </w:r>
      <w:r w:rsidRPr="00FE1C3D">
        <w:rPr>
          <w:rFonts w:ascii="Times New Roman" w:hAnsi="Times New Roman" w:cs="Times New Roman"/>
          <w:sz w:val="28"/>
          <w:szCs w:val="28"/>
        </w:rPr>
        <w:t>чи</w:t>
      </w:r>
      <w:r w:rsidR="00A81451" w:rsidRPr="00FE1C3D">
        <w:rPr>
          <w:rFonts w:ascii="Times New Roman" w:hAnsi="Times New Roman" w:cs="Times New Roman"/>
          <w:sz w:val="28"/>
          <w:szCs w:val="28"/>
        </w:rPr>
        <w:t xml:space="preserve"> розвиток малого та середнього бізнесу через створення нових ринків і можливостей для партнерства [1].</w:t>
      </w:r>
      <w:r w:rsidR="00BB65D2" w:rsidRPr="00FE1C3D">
        <w:rPr>
          <w:rFonts w:ascii="Times New Roman" w:hAnsi="Times New Roman" w:cs="Times New Roman"/>
          <w:sz w:val="28"/>
          <w:szCs w:val="28"/>
        </w:rPr>
        <w:t xml:space="preserve"> </w:t>
      </w:r>
      <w:r w:rsidR="00FE1C3D" w:rsidRPr="00FE1C3D">
        <w:rPr>
          <w:rFonts w:ascii="Times New Roman" w:hAnsi="Times New Roman" w:cs="Times New Roman"/>
          <w:sz w:val="28"/>
          <w:szCs w:val="28"/>
        </w:rPr>
        <w:t xml:space="preserve">Таким чином, розвиток економіки України </w:t>
      </w:r>
      <w:r w:rsidR="00123507">
        <w:rPr>
          <w:rFonts w:ascii="Times New Roman" w:hAnsi="Times New Roman" w:cs="Times New Roman"/>
          <w:sz w:val="28"/>
          <w:szCs w:val="28"/>
        </w:rPr>
        <w:t>може бути</w:t>
      </w:r>
      <w:r w:rsidR="00FE1C3D" w:rsidRPr="00FE1C3D">
        <w:rPr>
          <w:rFonts w:ascii="Times New Roman" w:hAnsi="Times New Roman" w:cs="Times New Roman"/>
          <w:sz w:val="28"/>
          <w:szCs w:val="28"/>
        </w:rPr>
        <w:t xml:space="preserve"> більш стрімким за рахунок надходження іноземного капіталу. Також, зросте вплив України та української економіки на міжнародному ринку що дозволить покращити загальні позиції країни на глобальній політичній арені.</w:t>
      </w:r>
    </w:p>
    <w:p w14:paraId="0E6CC9DD" w14:textId="111FADC7" w:rsidR="00F73D91" w:rsidRPr="00FE1C3D" w:rsidRDefault="00A81451" w:rsidP="00FE1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>В умовах геополітичних змін та економічних викликів, роль ТНК ЄС у розвитку економіки України набуває особливої актуальності. Дослідження впливу цих корпорацій дозволяє оцінити перспективи та ризики, пов'язані з їх діяльністю на території України [2].</w:t>
      </w:r>
      <w:r w:rsidR="009776CD" w:rsidRPr="00FE1C3D">
        <w:t xml:space="preserve"> </w:t>
      </w:r>
      <w:r w:rsidR="009776CD" w:rsidRPr="00FE1C3D">
        <w:rPr>
          <w:rFonts w:ascii="Times New Roman" w:hAnsi="Times New Roman" w:cs="Times New Roman"/>
          <w:sz w:val="28"/>
          <w:szCs w:val="28"/>
        </w:rPr>
        <w:t xml:space="preserve">Зокрема в контексті війни в Україні, роль ТНК ЄС у розвитку економіки України набуває особливої актуальності. Військові дії впливають на економічну стабільність, змушуючи як український уряд, так і міжнародні корпорації переглядати стратегії співпраці. В цих умовах </w:t>
      </w:r>
      <w:r w:rsidR="00F73D91" w:rsidRPr="00FE1C3D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9776CD" w:rsidRPr="00FE1C3D">
        <w:rPr>
          <w:rFonts w:ascii="Times New Roman" w:hAnsi="Times New Roman" w:cs="Times New Roman"/>
          <w:sz w:val="28"/>
          <w:szCs w:val="28"/>
        </w:rPr>
        <w:t xml:space="preserve">впливу ТНК дозволяє оцінити не лише перспективи та ризики, пов'язані з їх діяльністю на території України, але й можливості для підтримки економіки </w:t>
      </w:r>
      <w:r w:rsidR="009776CD" w:rsidRPr="00FE1C3D">
        <w:rPr>
          <w:rFonts w:ascii="Times New Roman" w:hAnsi="Times New Roman" w:cs="Times New Roman"/>
          <w:sz w:val="28"/>
          <w:szCs w:val="28"/>
        </w:rPr>
        <w:lastRenderedPageBreak/>
        <w:t xml:space="preserve">країни через зміцнення зв'язків із європейськими корпораціями. </w:t>
      </w:r>
      <w:r w:rsidR="00F73D91" w:rsidRPr="00FE1C3D">
        <w:rPr>
          <w:rFonts w:ascii="Times New Roman" w:hAnsi="Times New Roman" w:cs="Times New Roman"/>
          <w:sz w:val="28"/>
          <w:szCs w:val="28"/>
        </w:rPr>
        <w:t>С</w:t>
      </w:r>
      <w:r w:rsidR="009776CD" w:rsidRPr="00FE1C3D">
        <w:rPr>
          <w:rFonts w:ascii="Times New Roman" w:hAnsi="Times New Roman" w:cs="Times New Roman"/>
          <w:sz w:val="28"/>
          <w:szCs w:val="28"/>
        </w:rPr>
        <w:t>тратегія</w:t>
      </w:r>
      <w:r w:rsidR="00F73D91" w:rsidRPr="00FE1C3D">
        <w:rPr>
          <w:rFonts w:ascii="Times New Roman" w:hAnsi="Times New Roman" w:cs="Times New Roman"/>
          <w:sz w:val="28"/>
          <w:szCs w:val="28"/>
        </w:rPr>
        <w:t xml:space="preserve"> посилення присутності європейських ТНК</w:t>
      </w:r>
      <w:r w:rsidR="009776CD" w:rsidRPr="00FE1C3D">
        <w:rPr>
          <w:rFonts w:ascii="Times New Roman" w:hAnsi="Times New Roman" w:cs="Times New Roman"/>
          <w:sz w:val="28"/>
          <w:szCs w:val="28"/>
        </w:rPr>
        <w:t xml:space="preserve"> допоможе підтримувати економіку </w:t>
      </w:r>
      <w:r w:rsidR="00F73D91" w:rsidRPr="00FE1C3D">
        <w:rPr>
          <w:rFonts w:ascii="Times New Roman" w:hAnsi="Times New Roman" w:cs="Times New Roman"/>
          <w:sz w:val="28"/>
          <w:szCs w:val="28"/>
        </w:rPr>
        <w:t>У</w:t>
      </w:r>
      <w:r w:rsidR="00AD2727" w:rsidRPr="00FE1C3D">
        <w:rPr>
          <w:rFonts w:ascii="Times New Roman" w:hAnsi="Times New Roman" w:cs="Times New Roman"/>
          <w:sz w:val="28"/>
          <w:szCs w:val="28"/>
        </w:rPr>
        <w:t>країни та запобігти створенню дефіциту робочих місць на ринку праці.</w:t>
      </w:r>
    </w:p>
    <w:p w14:paraId="644D355F" w14:textId="3466FB5C" w:rsidR="00F73D91" w:rsidRPr="00FE1C3D" w:rsidRDefault="00F73D91" w:rsidP="00FE1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 xml:space="preserve">Узагальнюючи аналіз переваг від діяльності європейських ТНК для економіки України, проведений у дослідженнях </w:t>
      </w:r>
      <w:r w:rsidRPr="00FE1C3D">
        <w:rPr>
          <w:rFonts w:ascii="Times New Roman" w:hAnsi="Times New Roman" w:cs="Times New Roman"/>
          <w:sz w:val="28"/>
          <w:szCs w:val="28"/>
          <w:lang w:val="ru-RU"/>
        </w:rPr>
        <w:t>[3-</w:t>
      </w:r>
      <w:r w:rsidR="00FD3892">
        <w:rPr>
          <w:rFonts w:ascii="Times New Roman" w:hAnsi="Times New Roman" w:cs="Times New Roman"/>
          <w:sz w:val="28"/>
          <w:szCs w:val="28"/>
        </w:rPr>
        <w:t>7</w:t>
      </w:r>
      <w:r w:rsidRPr="00FE1C3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FE1C3D">
        <w:rPr>
          <w:rFonts w:ascii="Times New Roman" w:hAnsi="Times New Roman" w:cs="Times New Roman"/>
          <w:sz w:val="28"/>
          <w:szCs w:val="28"/>
        </w:rPr>
        <w:t>, можна констатувати:</w:t>
      </w:r>
    </w:p>
    <w:p w14:paraId="0C9437D2" w14:textId="0E49DC88" w:rsidR="00F73D91" w:rsidRPr="00FE1C3D" w:rsidRDefault="00A81451" w:rsidP="00FE1C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>ТНК ЄС забезпечують притік іноземного капіталу, що сприяє розвитку ключових секторів економіки, таких як енергетика, транспорт, сільське господарство та ІТ. Наприклад, компанії з Німеччини, Франції та Італії є серед провідних інвесторів у ці</w:t>
      </w:r>
      <w:r w:rsidR="00C8652B" w:rsidRPr="00FE1C3D">
        <w:rPr>
          <w:rFonts w:ascii="Times New Roman" w:hAnsi="Times New Roman" w:cs="Times New Roman"/>
          <w:sz w:val="28"/>
          <w:szCs w:val="28"/>
        </w:rPr>
        <w:t>й</w:t>
      </w:r>
      <w:r w:rsidRPr="00FE1C3D">
        <w:rPr>
          <w:rFonts w:ascii="Times New Roman" w:hAnsi="Times New Roman" w:cs="Times New Roman"/>
          <w:sz w:val="28"/>
          <w:szCs w:val="28"/>
        </w:rPr>
        <w:t xml:space="preserve"> галузі</w:t>
      </w:r>
      <w:r w:rsidR="00F73D91" w:rsidRPr="00FE1C3D">
        <w:rPr>
          <w:rFonts w:ascii="Times New Roman" w:hAnsi="Times New Roman" w:cs="Times New Roman"/>
          <w:sz w:val="28"/>
          <w:szCs w:val="28"/>
        </w:rPr>
        <w:t>.</w:t>
      </w:r>
      <w:r w:rsidR="00F73571">
        <w:rPr>
          <w:rFonts w:ascii="Times New Roman" w:hAnsi="Times New Roman" w:cs="Times New Roman"/>
          <w:sz w:val="28"/>
          <w:szCs w:val="28"/>
        </w:rPr>
        <w:t xml:space="preserve"> Галузь ІТ відіграє провідну роль в Україні тому цей фактор є одним з ключових.</w:t>
      </w:r>
    </w:p>
    <w:p w14:paraId="2BBBB3C0" w14:textId="740E9146" w:rsidR="00F73D91" w:rsidRPr="00FE1C3D" w:rsidRDefault="00A81451" w:rsidP="00FE1C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>Завдяки присутності ТНК, Україна має доступ до новітніх технологій та управлінських практик, що підвищує ефективність виробництва та конкурентоспроможність української продукції на міжнародних ринках.</w:t>
      </w:r>
      <w:r w:rsidR="00F73571">
        <w:rPr>
          <w:rFonts w:ascii="Times New Roman" w:hAnsi="Times New Roman" w:cs="Times New Roman"/>
          <w:sz w:val="28"/>
          <w:szCs w:val="28"/>
        </w:rPr>
        <w:t xml:space="preserve"> Використання досвіду та капіталу іноземних колег допоможе у розвитку внутрішнього ринку країни. </w:t>
      </w:r>
    </w:p>
    <w:p w14:paraId="327BDA65" w14:textId="0B5227FB" w:rsidR="00F73D91" w:rsidRPr="00FE1C3D" w:rsidRDefault="00A81451" w:rsidP="00FE1C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 xml:space="preserve">ТНК сприяють підвищенню рівня життя через створення високооплачуваних робочих місць та підвищення стандартів праці, особливо в регіонах з низьким рівнем зайнятості. </w:t>
      </w:r>
      <w:r w:rsidR="00F73571">
        <w:rPr>
          <w:rFonts w:ascii="Times New Roman" w:hAnsi="Times New Roman" w:cs="Times New Roman"/>
          <w:sz w:val="28"/>
          <w:szCs w:val="28"/>
        </w:rPr>
        <w:t>Це допоможе уникнути кризи на ринку праці країни.</w:t>
      </w:r>
    </w:p>
    <w:p w14:paraId="46C82548" w14:textId="0FA4DCA1" w:rsidR="00F73D91" w:rsidRPr="00FE1C3D" w:rsidRDefault="00A81451" w:rsidP="00FE1C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 xml:space="preserve">Співпраця з ТНК ЄС відкриває можливості для українських підприємств виходити на міжнародні ринки, покращувати свою продукцію та послуги через взаємодію з провідними корпораціями. Проте, присутність ТНК може призвести до витіснення місцевих компаній з ринку через високу конкуренцію або створення монополістичних умов на певних ринках. </w:t>
      </w:r>
      <w:r w:rsidR="00F73571">
        <w:rPr>
          <w:rFonts w:ascii="Times New Roman" w:hAnsi="Times New Roman" w:cs="Times New Roman"/>
          <w:sz w:val="28"/>
          <w:szCs w:val="28"/>
        </w:rPr>
        <w:t>Щоб цього не допустити потрібно проводити політику державної підтримки національного ринку що буде розглянути нижче.</w:t>
      </w:r>
    </w:p>
    <w:p w14:paraId="55F40EA1" w14:textId="27DAE191" w:rsidR="00F73D91" w:rsidRPr="00FE1C3D" w:rsidRDefault="00A81451" w:rsidP="00FE1C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 xml:space="preserve">Національні компанії змушені адаптуватися до високих стандартів, встановлених ТНК, що вимагає інвестицій у модернізацію, але водночас підвищує загальну якість виробленої продукції та послуг. </w:t>
      </w:r>
      <w:r w:rsidR="00F73571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F73571">
        <w:rPr>
          <w:rFonts w:ascii="Times New Roman" w:hAnsi="Times New Roman" w:cs="Times New Roman"/>
          <w:sz w:val="28"/>
          <w:szCs w:val="28"/>
        </w:rPr>
        <w:lastRenderedPageBreak/>
        <w:t>це сприяє розвитку конкуренції на національному ринку та збільшить конкурентоспроможність українських компаній на міжнародному ринку.</w:t>
      </w:r>
      <w:r w:rsidRPr="00FE1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27129" w14:textId="5D5DF01C" w:rsidR="00F73D91" w:rsidRPr="00FE1C3D" w:rsidRDefault="00A81451" w:rsidP="00FE1C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 xml:space="preserve">ТНК інвестують в інфраструктурні проекти, що покращує транспортні та логістичні можливості країни. Це, в свою чергу, стимулює економічну активність та сприяє розвитку регіонів. </w:t>
      </w:r>
      <w:r w:rsidR="00F73571">
        <w:rPr>
          <w:rFonts w:ascii="Times New Roman" w:hAnsi="Times New Roman" w:cs="Times New Roman"/>
          <w:sz w:val="28"/>
          <w:szCs w:val="28"/>
        </w:rPr>
        <w:t>Розвиток інфраструктури стане одним з ключових напрямків у післявоєнний період країни.</w:t>
      </w:r>
    </w:p>
    <w:p w14:paraId="321971F1" w14:textId="085F0FA4" w:rsidR="00A81451" w:rsidRPr="00FE1C3D" w:rsidRDefault="00A81451" w:rsidP="00FE1C3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3D">
        <w:rPr>
          <w:rFonts w:ascii="Times New Roman" w:hAnsi="Times New Roman" w:cs="Times New Roman"/>
          <w:sz w:val="28"/>
          <w:szCs w:val="28"/>
        </w:rPr>
        <w:t>Завдяки діяльності ТНК, Україна активно інтегрується в європейський культурний простір, що сприяє зростанню міжнародного співробітництва та обміну знаннями. Багато ТНК ЄС впроваджують екологічно відповідальні практики, що сприяє покращенню екологічної ситуації в Україні, проте іноді можуть виникати конфлікти між економічними інтересами та екологічними вимогами.</w:t>
      </w:r>
    </w:p>
    <w:p w14:paraId="71463DE6" w14:textId="0D57E5F5" w:rsidR="00A81451" w:rsidRPr="00A81451" w:rsidRDefault="00FE1C3D" w:rsidP="00A81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 не менш, н</w:t>
      </w:r>
      <w:r w:rsidR="00A81451" w:rsidRPr="00A81451">
        <w:rPr>
          <w:rFonts w:ascii="Times New Roman" w:hAnsi="Times New Roman" w:cs="Times New Roman"/>
          <w:sz w:val="28"/>
          <w:szCs w:val="28"/>
        </w:rPr>
        <w:t xml:space="preserve">адмірна залежність від іноземних корпорацій може призвести до втрати економічної незалежності та </w:t>
      </w:r>
      <w:r w:rsidR="00123507">
        <w:rPr>
          <w:rFonts w:ascii="Times New Roman" w:hAnsi="Times New Roman" w:cs="Times New Roman"/>
          <w:sz w:val="28"/>
          <w:szCs w:val="28"/>
        </w:rPr>
        <w:t xml:space="preserve">появи зовнішнього </w:t>
      </w:r>
      <w:r w:rsidR="00A81451" w:rsidRPr="00A81451">
        <w:rPr>
          <w:rFonts w:ascii="Times New Roman" w:hAnsi="Times New Roman" w:cs="Times New Roman"/>
          <w:sz w:val="28"/>
          <w:szCs w:val="28"/>
        </w:rPr>
        <w:t>впливу на</w:t>
      </w:r>
      <w:r>
        <w:rPr>
          <w:rFonts w:ascii="Times New Roman" w:hAnsi="Times New Roman" w:cs="Times New Roman"/>
          <w:sz w:val="28"/>
          <w:szCs w:val="28"/>
        </w:rPr>
        <w:t xml:space="preserve"> внутрішню політику України. Шляхом «захоплення» внутрішнього ринку, існує ризик, що ТНК та країни їх походження зможуть впливати на внутрішню політику країни, адже отримають більше економічних важелів.</w:t>
      </w:r>
      <w:r w:rsidR="00A81451">
        <w:rPr>
          <w:rFonts w:ascii="Times New Roman" w:hAnsi="Times New Roman" w:cs="Times New Roman"/>
          <w:sz w:val="28"/>
          <w:szCs w:val="28"/>
        </w:rPr>
        <w:t xml:space="preserve"> </w:t>
      </w:r>
      <w:r w:rsidR="00A81451" w:rsidRPr="00A81451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F73D91">
        <w:rPr>
          <w:rFonts w:ascii="Times New Roman" w:hAnsi="Times New Roman" w:cs="Times New Roman"/>
          <w:sz w:val="28"/>
          <w:szCs w:val="28"/>
        </w:rPr>
        <w:t>і</w:t>
      </w:r>
      <w:r w:rsidR="00A81451" w:rsidRPr="00A81451">
        <w:rPr>
          <w:rFonts w:ascii="Times New Roman" w:hAnsi="Times New Roman" w:cs="Times New Roman"/>
          <w:sz w:val="28"/>
          <w:szCs w:val="28"/>
        </w:rPr>
        <w:t>снує ризик того, що значні прибутки ТНК можуть бути виведені з України, що вплине на стабіль</w:t>
      </w:r>
      <w:r w:rsidR="00FD3892">
        <w:rPr>
          <w:rFonts w:ascii="Times New Roman" w:hAnsi="Times New Roman" w:cs="Times New Roman"/>
          <w:sz w:val="28"/>
          <w:szCs w:val="28"/>
        </w:rPr>
        <w:t>ність національної економіки [8</w:t>
      </w:r>
      <w:r w:rsidR="00A81451" w:rsidRPr="00A81451">
        <w:rPr>
          <w:rFonts w:ascii="Times New Roman" w:hAnsi="Times New Roman" w:cs="Times New Roman"/>
          <w:sz w:val="28"/>
          <w:szCs w:val="28"/>
        </w:rPr>
        <w:t>].</w:t>
      </w:r>
      <w:r w:rsidR="00A81451">
        <w:rPr>
          <w:rFonts w:ascii="Times New Roman" w:hAnsi="Times New Roman" w:cs="Times New Roman"/>
          <w:sz w:val="28"/>
          <w:szCs w:val="28"/>
        </w:rPr>
        <w:t xml:space="preserve"> </w:t>
      </w:r>
      <w:r w:rsidR="00A81451" w:rsidRPr="00A81451">
        <w:rPr>
          <w:rFonts w:ascii="Times New Roman" w:hAnsi="Times New Roman" w:cs="Times New Roman"/>
          <w:sz w:val="28"/>
          <w:szCs w:val="28"/>
        </w:rPr>
        <w:t>Інвестиції ТНК можуть бути зосереджені лише в окремих регіонах, що призведе до посилення</w:t>
      </w:r>
      <w:r>
        <w:rPr>
          <w:rFonts w:ascii="Times New Roman" w:hAnsi="Times New Roman" w:cs="Times New Roman"/>
          <w:sz w:val="28"/>
          <w:szCs w:val="28"/>
        </w:rPr>
        <w:t xml:space="preserve"> регіональних диспропорцій. В таких </w:t>
      </w:r>
      <w:r w:rsidR="009A0F2D">
        <w:rPr>
          <w:rFonts w:ascii="Times New Roman" w:hAnsi="Times New Roman" w:cs="Times New Roman"/>
          <w:sz w:val="28"/>
          <w:szCs w:val="28"/>
        </w:rPr>
        <w:t>випадках буде неможливим пропорці</w:t>
      </w:r>
      <w:r w:rsidR="00123507">
        <w:rPr>
          <w:rFonts w:ascii="Times New Roman" w:hAnsi="Times New Roman" w:cs="Times New Roman"/>
          <w:sz w:val="28"/>
          <w:szCs w:val="28"/>
        </w:rPr>
        <w:t>йний</w:t>
      </w:r>
      <w:r w:rsidR="009A0F2D">
        <w:rPr>
          <w:rFonts w:ascii="Times New Roman" w:hAnsi="Times New Roman" w:cs="Times New Roman"/>
          <w:sz w:val="28"/>
          <w:szCs w:val="28"/>
        </w:rPr>
        <w:t xml:space="preserve"> розвиток внутрішньої економіки , що може призвести до занепаду окремих регіонів, які не отримають економічних </w:t>
      </w:r>
      <w:r w:rsidR="00123507">
        <w:rPr>
          <w:rFonts w:ascii="Times New Roman" w:hAnsi="Times New Roman" w:cs="Times New Roman"/>
          <w:sz w:val="28"/>
          <w:szCs w:val="28"/>
        </w:rPr>
        <w:t>дивідендів</w:t>
      </w:r>
      <w:r w:rsidR="009A0F2D">
        <w:rPr>
          <w:rFonts w:ascii="Times New Roman" w:hAnsi="Times New Roman" w:cs="Times New Roman"/>
          <w:sz w:val="28"/>
          <w:szCs w:val="28"/>
        </w:rPr>
        <w:t xml:space="preserve"> від іноземного капіталу, що, в свою чергу, може привести до збільшення державного д</w:t>
      </w:r>
      <w:r w:rsidR="00123507">
        <w:rPr>
          <w:rFonts w:ascii="Times New Roman" w:hAnsi="Times New Roman" w:cs="Times New Roman"/>
          <w:sz w:val="28"/>
          <w:szCs w:val="28"/>
        </w:rPr>
        <w:t>о</w:t>
      </w:r>
      <w:r w:rsidR="009A0F2D">
        <w:rPr>
          <w:rFonts w:ascii="Times New Roman" w:hAnsi="Times New Roman" w:cs="Times New Roman"/>
          <w:sz w:val="28"/>
          <w:szCs w:val="28"/>
        </w:rPr>
        <w:t>тування таких регіонів.</w:t>
      </w:r>
    </w:p>
    <w:p w14:paraId="6E3E3232" w14:textId="6DAE3FE2" w:rsidR="004E2A7A" w:rsidRDefault="00A81451" w:rsidP="00123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CD">
        <w:rPr>
          <w:rFonts w:ascii="Times New Roman" w:hAnsi="Times New Roman" w:cs="Times New Roman"/>
          <w:sz w:val="28"/>
          <w:szCs w:val="28"/>
        </w:rPr>
        <w:t>Україні варто активно розширювати співпрацю з ТНК ЄС у галузях, які мають стратегічне значення для національної економіки, таких як енергетика, транспорт, сільське госпо</w:t>
      </w:r>
      <w:r w:rsidR="00FD3892">
        <w:rPr>
          <w:rFonts w:ascii="Times New Roman" w:hAnsi="Times New Roman" w:cs="Times New Roman"/>
          <w:sz w:val="28"/>
          <w:szCs w:val="28"/>
        </w:rPr>
        <w:t>дарство та високі технології [9</w:t>
      </w:r>
      <w:r w:rsidRPr="009776CD">
        <w:rPr>
          <w:rFonts w:ascii="Times New Roman" w:hAnsi="Times New Roman" w:cs="Times New Roman"/>
          <w:sz w:val="28"/>
          <w:szCs w:val="28"/>
        </w:rPr>
        <w:t>].</w:t>
      </w:r>
      <w:r w:rsidR="004E2A7A">
        <w:rPr>
          <w:rFonts w:ascii="Times New Roman" w:hAnsi="Times New Roman" w:cs="Times New Roman"/>
          <w:sz w:val="28"/>
          <w:szCs w:val="28"/>
        </w:rPr>
        <w:t xml:space="preserve"> </w:t>
      </w:r>
      <w:r w:rsidR="004E2A7A" w:rsidRPr="004E2A7A">
        <w:rPr>
          <w:rFonts w:ascii="Times New Roman" w:hAnsi="Times New Roman" w:cs="Times New Roman"/>
          <w:sz w:val="28"/>
          <w:szCs w:val="28"/>
        </w:rPr>
        <w:t xml:space="preserve">Співпраця з європейськими ТНК у галузі енергетики є критично важливою для України, особливо в умовах війни, яка спричинила значні пошкодження енергетичної </w:t>
      </w:r>
      <w:r w:rsidR="004E2A7A" w:rsidRPr="004E2A7A">
        <w:rPr>
          <w:rFonts w:ascii="Times New Roman" w:hAnsi="Times New Roman" w:cs="Times New Roman"/>
          <w:sz w:val="28"/>
          <w:szCs w:val="28"/>
        </w:rPr>
        <w:lastRenderedPageBreak/>
        <w:t xml:space="preserve">інфраструктури країни. ТНК ЄС, такі як </w:t>
      </w:r>
      <w:r w:rsidR="004E2A7A">
        <w:rPr>
          <w:rFonts w:ascii="Times New Roman" w:hAnsi="Times New Roman" w:cs="Times New Roman"/>
          <w:sz w:val="28"/>
          <w:szCs w:val="28"/>
        </w:rPr>
        <w:t xml:space="preserve"> наприклад </w:t>
      </w:r>
      <w:r w:rsidR="00F73D91">
        <w:rPr>
          <w:rFonts w:ascii="Times New Roman" w:hAnsi="Times New Roman" w:cs="Times New Roman"/>
          <w:sz w:val="28"/>
          <w:szCs w:val="28"/>
        </w:rPr>
        <w:t>«</w:t>
      </w:r>
      <w:r w:rsidR="004E2A7A" w:rsidRPr="004E2A7A">
        <w:rPr>
          <w:rFonts w:ascii="Times New Roman" w:hAnsi="Times New Roman" w:cs="Times New Roman"/>
          <w:sz w:val="28"/>
          <w:szCs w:val="28"/>
        </w:rPr>
        <w:t>Siemens</w:t>
      </w:r>
      <w:r w:rsidR="00F73D91">
        <w:rPr>
          <w:rFonts w:ascii="Times New Roman" w:hAnsi="Times New Roman" w:cs="Times New Roman"/>
          <w:sz w:val="28"/>
          <w:szCs w:val="28"/>
        </w:rPr>
        <w:t>»</w:t>
      </w:r>
      <w:r w:rsidR="004E2A7A" w:rsidRPr="004E2A7A">
        <w:rPr>
          <w:rFonts w:ascii="Times New Roman" w:hAnsi="Times New Roman" w:cs="Times New Roman"/>
          <w:sz w:val="28"/>
          <w:szCs w:val="28"/>
        </w:rPr>
        <w:t xml:space="preserve"> та </w:t>
      </w:r>
      <w:r w:rsidR="00F73D91">
        <w:rPr>
          <w:rFonts w:ascii="Times New Roman" w:hAnsi="Times New Roman" w:cs="Times New Roman"/>
          <w:sz w:val="28"/>
          <w:szCs w:val="28"/>
        </w:rPr>
        <w:t>«</w:t>
      </w:r>
      <w:r w:rsidR="004E2A7A" w:rsidRPr="004E2A7A">
        <w:rPr>
          <w:rFonts w:ascii="Times New Roman" w:hAnsi="Times New Roman" w:cs="Times New Roman"/>
          <w:sz w:val="28"/>
          <w:szCs w:val="28"/>
        </w:rPr>
        <w:t>Enel</w:t>
      </w:r>
      <w:r w:rsidR="00F73D91">
        <w:rPr>
          <w:rFonts w:ascii="Times New Roman" w:hAnsi="Times New Roman" w:cs="Times New Roman"/>
          <w:sz w:val="28"/>
          <w:szCs w:val="28"/>
        </w:rPr>
        <w:t>»</w:t>
      </w:r>
      <w:r w:rsidR="004E2A7A" w:rsidRPr="004E2A7A">
        <w:rPr>
          <w:rFonts w:ascii="Times New Roman" w:hAnsi="Times New Roman" w:cs="Times New Roman"/>
          <w:sz w:val="28"/>
          <w:szCs w:val="28"/>
        </w:rPr>
        <w:t>, можуть забезпечити модернізацію та відновлення української енергетичної системи, що включає інтеграцію відновлюваних джерел енергії, модернізацію електромереж та розвиток технологій енергозбереження</w:t>
      </w:r>
      <w:r w:rsidR="004E2A7A">
        <w:rPr>
          <w:rFonts w:ascii="Times New Roman" w:hAnsi="Times New Roman" w:cs="Times New Roman"/>
          <w:sz w:val="28"/>
          <w:szCs w:val="28"/>
        </w:rPr>
        <w:t xml:space="preserve">. </w:t>
      </w:r>
      <w:r w:rsidR="009A0F2D">
        <w:rPr>
          <w:rFonts w:ascii="Times New Roman" w:hAnsi="Times New Roman" w:cs="Times New Roman"/>
          <w:sz w:val="28"/>
          <w:szCs w:val="28"/>
        </w:rPr>
        <w:t xml:space="preserve">Це допоможе вирішити проблему </w:t>
      </w:r>
      <w:r w:rsidR="00123507">
        <w:rPr>
          <w:rFonts w:ascii="Times New Roman" w:hAnsi="Times New Roman" w:cs="Times New Roman"/>
          <w:sz w:val="28"/>
          <w:szCs w:val="28"/>
        </w:rPr>
        <w:t>енергетичного</w:t>
      </w:r>
      <w:r w:rsidR="009A0F2D">
        <w:rPr>
          <w:rFonts w:ascii="Times New Roman" w:hAnsi="Times New Roman" w:cs="Times New Roman"/>
          <w:sz w:val="28"/>
          <w:szCs w:val="28"/>
        </w:rPr>
        <w:t xml:space="preserve"> дефіциту, яка виникла через бойові дії на території країни, та забезпечити енергетичну стабільність, що </w:t>
      </w:r>
      <w:r w:rsidR="00123507">
        <w:rPr>
          <w:rFonts w:ascii="Times New Roman" w:hAnsi="Times New Roman" w:cs="Times New Roman"/>
          <w:sz w:val="28"/>
          <w:szCs w:val="28"/>
        </w:rPr>
        <w:t xml:space="preserve">створить </w:t>
      </w:r>
      <w:r w:rsidR="009A0F2D">
        <w:rPr>
          <w:rFonts w:ascii="Times New Roman" w:hAnsi="Times New Roman" w:cs="Times New Roman"/>
          <w:sz w:val="28"/>
          <w:szCs w:val="28"/>
        </w:rPr>
        <w:t>можлив</w:t>
      </w:r>
      <w:r w:rsidR="00123507">
        <w:rPr>
          <w:rFonts w:ascii="Times New Roman" w:hAnsi="Times New Roman" w:cs="Times New Roman"/>
          <w:sz w:val="28"/>
          <w:szCs w:val="28"/>
        </w:rPr>
        <w:t>ості</w:t>
      </w:r>
      <w:r w:rsidR="009A0F2D">
        <w:rPr>
          <w:rFonts w:ascii="Times New Roman" w:hAnsi="Times New Roman" w:cs="Times New Roman"/>
          <w:sz w:val="28"/>
          <w:szCs w:val="28"/>
        </w:rPr>
        <w:t xml:space="preserve"> для с</w:t>
      </w:r>
      <w:r w:rsidR="00123507">
        <w:rPr>
          <w:rFonts w:ascii="Times New Roman" w:hAnsi="Times New Roman" w:cs="Times New Roman"/>
          <w:sz w:val="28"/>
          <w:szCs w:val="28"/>
        </w:rPr>
        <w:t xml:space="preserve">талого </w:t>
      </w:r>
      <w:r w:rsidR="009A0F2D">
        <w:rPr>
          <w:rFonts w:ascii="Times New Roman" w:hAnsi="Times New Roman" w:cs="Times New Roman"/>
          <w:sz w:val="28"/>
          <w:szCs w:val="28"/>
        </w:rPr>
        <w:t xml:space="preserve">розвитку та відновлення галузі. </w:t>
      </w:r>
      <w:r w:rsidR="004E2A7A" w:rsidRPr="004E2A7A">
        <w:rPr>
          <w:rFonts w:ascii="Times New Roman" w:hAnsi="Times New Roman" w:cs="Times New Roman"/>
          <w:sz w:val="28"/>
          <w:szCs w:val="28"/>
        </w:rPr>
        <w:t>Впровадження передових технологій, модернізація інфраструктури та інтеграція у європейські ринки сприятимуть підвищенню конкурентоспроможності України на міжнародній арені та забезпечать стійке економічне зростання в умовах глобальних викликів.</w:t>
      </w:r>
    </w:p>
    <w:p w14:paraId="138A809D" w14:textId="50D5B790" w:rsidR="00A81451" w:rsidRPr="00F73D91" w:rsidRDefault="004E2A7A" w:rsidP="00F73D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 не менш, н</w:t>
      </w:r>
      <w:r w:rsidR="00A81451" w:rsidRPr="009776CD">
        <w:rPr>
          <w:rFonts w:ascii="Times New Roman" w:hAnsi="Times New Roman" w:cs="Times New Roman"/>
          <w:sz w:val="28"/>
          <w:szCs w:val="28"/>
        </w:rPr>
        <w:t>еобхідно посилювати правове регулювання діяльності ТНК з метою мінімізації негативних впли</w:t>
      </w:r>
      <w:r w:rsidR="00C8652B" w:rsidRPr="009776CD">
        <w:rPr>
          <w:rFonts w:ascii="Times New Roman" w:hAnsi="Times New Roman" w:cs="Times New Roman"/>
          <w:sz w:val="28"/>
          <w:szCs w:val="28"/>
        </w:rPr>
        <w:t xml:space="preserve">вів та максимізації економічної вигоди </w:t>
      </w:r>
      <w:r w:rsidR="00FD3892">
        <w:rPr>
          <w:rFonts w:ascii="Times New Roman" w:hAnsi="Times New Roman" w:cs="Times New Roman"/>
          <w:sz w:val="28"/>
          <w:szCs w:val="28"/>
        </w:rPr>
        <w:t>для країни [10</w:t>
      </w:r>
      <w:r w:rsidR="00A81451" w:rsidRPr="009776CD">
        <w:rPr>
          <w:rFonts w:ascii="Times New Roman" w:hAnsi="Times New Roman" w:cs="Times New Roman"/>
          <w:sz w:val="28"/>
          <w:szCs w:val="28"/>
        </w:rPr>
        <w:t>]. Український уряд повинен розробити заходи для підтримки національних підприємств, зокрема через фінансові інструменти та програми стимулювання інноваційної діяльності</w:t>
      </w:r>
      <w:r w:rsidR="00BB65D2" w:rsidRPr="009776CD">
        <w:rPr>
          <w:rFonts w:ascii="Times New Roman" w:hAnsi="Times New Roman" w:cs="Times New Roman"/>
          <w:sz w:val="28"/>
          <w:szCs w:val="28"/>
        </w:rPr>
        <w:t>, що можуть вкл</w:t>
      </w:r>
      <w:r w:rsidR="009776CD" w:rsidRPr="009776CD">
        <w:rPr>
          <w:rFonts w:ascii="Times New Roman" w:hAnsi="Times New Roman" w:cs="Times New Roman"/>
          <w:sz w:val="28"/>
          <w:szCs w:val="28"/>
        </w:rPr>
        <w:t>ючати в себе </w:t>
      </w:r>
      <w:r w:rsidR="00F73D91">
        <w:rPr>
          <w:rFonts w:ascii="Times New Roman" w:hAnsi="Times New Roman" w:cs="Times New Roman"/>
          <w:sz w:val="28"/>
          <w:szCs w:val="28"/>
        </w:rPr>
        <w:t>з</w:t>
      </w:r>
      <w:r w:rsidR="00BB65D2" w:rsidRPr="00F73D91">
        <w:rPr>
          <w:rFonts w:ascii="Times New Roman" w:hAnsi="Times New Roman" w:cs="Times New Roman"/>
          <w:sz w:val="28"/>
          <w:szCs w:val="28"/>
        </w:rPr>
        <w:t>меншення податкових навантажень у відповідних галузях для місцевих підприємств</w:t>
      </w:r>
      <w:r w:rsidR="00F73D91">
        <w:rPr>
          <w:rFonts w:ascii="Times New Roman" w:hAnsi="Times New Roman" w:cs="Times New Roman"/>
          <w:sz w:val="28"/>
          <w:szCs w:val="28"/>
        </w:rPr>
        <w:t>, р</w:t>
      </w:r>
      <w:r w:rsidR="00BB65D2" w:rsidRPr="00F73D91">
        <w:rPr>
          <w:rFonts w:ascii="Times New Roman" w:hAnsi="Times New Roman" w:cs="Times New Roman"/>
          <w:sz w:val="28"/>
          <w:szCs w:val="28"/>
        </w:rPr>
        <w:t>озвиток системи грантів та інших економічних стимулів</w:t>
      </w:r>
      <w:r w:rsidR="00F73D91">
        <w:rPr>
          <w:rFonts w:ascii="Times New Roman" w:hAnsi="Times New Roman" w:cs="Times New Roman"/>
          <w:sz w:val="28"/>
          <w:szCs w:val="28"/>
        </w:rPr>
        <w:t>, с</w:t>
      </w:r>
      <w:r w:rsidR="00BB65D2" w:rsidRPr="00F73D91">
        <w:rPr>
          <w:rFonts w:ascii="Times New Roman" w:hAnsi="Times New Roman" w:cs="Times New Roman"/>
          <w:sz w:val="28"/>
          <w:szCs w:val="28"/>
        </w:rPr>
        <w:t>творення системи квотування для певної кількості національних</w:t>
      </w:r>
      <w:r w:rsidR="009A0F2D">
        <w:rPr>
          <w:rFonts w:ascii="Times New Roman" w:hAnsi="Times New Roman" w:cs="Times New Roman"/>
          <w:sz w:val="28"/>
          <w:szCs w:val="28"/>
        </w:rPr>
        <w:t xml:space="preserve"> підприємств у регіоні та інше</w:t>
      </w:r>
      <w:r w:rsidR="00A81451" w:rsidRPr="00F73D91">
        <w:rPr>
          <w:rFonts w:ascii="Times New Roman" w:hAnsi="Times New Roman" w:cs="Times New Roman"/>
          <w:sz w:val="28"/>
          <w:szCs w:val="28"/>
        </w:rPr>
        <w:t>.</w:t>
      </w:r>
    </w:p>
    <w:p w14:paraId="4374BAA9" w14:textId="2287DFD1" w:rsidR="00A81451" w:rsidRDefault="00A81451" w:rsidP="00BD5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A20734" w14:textId="071C0F2C" w:rsidR="00C56C4F" w:rsidRPr="00123507" w:rsidRDefault="00123507" w:rsidP="001235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07">
        <w:rPr>
          <w:rFonts w:ascii="Times New Roman" w:hAnsi="Times New Roman" w:cs="Times New Roman"/>
          <w:b/>
          <w:sz w:val="24"/>
          <w:szCs w:val="24"/>
        </w:rPr>
        <w:lastRenderedPageBreak/>
        <w:t>Література</w:t>
      </w:r>
    </w:p>
    <w:p w14:paraId="069DA22D" w14:textId="5DFFD27A" w:rsidR="00D0637D" w:rsidRPr="00123507" w:rsidRDefault="00D0637D" w:rsidP="00123507">
      <w:pPr>
        <w:pStyle w:val="a7"/>
        <w:numPr>
          <w:ilvl w:val="0"/>
          <w:numId w:val="20"/>
        </w:numPr>
        <w:spacing w:line="360" w:lineRule="auto"/>
        <w:jc w:val="both"/>
      </w:pPr>
      <w:r w:rsidRPr="00123507">
        <w:t xml:space="preserve">Золотарьова Д., Манаєнко І. Вплив транснаціональних корпорацій на національну економіку України. URL: </w:t>
      </w:r>
      <w:hyperlink r:id="rId6" w:tgtFrame="_new" w:history="1">
        <w:r w:rsidRPr="00123507">
          <w:rPr>
            <w:rStyle w:val="a3"/>
          </w:rPr>
          <w:t>http://conf.management.fmm.kpi.ua/proc/article/view/181149</w:t>
        </w:r>
      </w:hyperlink>
      <w:r w:rsidRPr="00123507">
        <w:t xml:space="preserve"> (дата звернення: </w:t>
      </w:r>
      <w:r w:rsidR="00123507" w:rsidRPr="00C04116">
        <w:t xml:space="preserve">20 </w:t>
      </w:r>
      <w:r w:rsidRPr="00C04116">
        <w:t>серп</w:t>
      </w:r>
      <w:r w:rsidR="00123507" w:rsidRPr="00C04116">
        <w:t>ня</w:t>
      </w:r>
      <w:r w:rsidRPr="00C04116">
        <w:t xml:space="preserve"> 2024 р.).</w:t>
      </w:r>
    </w:p>
    <w:p w14:paraId="68633FFC" w14:textId="3B238AA1" w:rsidR="00D0637D" w:rsidRPr="00123507" w:rsidRDefault="00D0637D" w:rsidP="00123507">
      <w:pPr>
        <w:pStyle w:val="a7"/>
        <w:numPr>
          <w:ilvl w:val="0"/>
          <w:numId w:val="20"/>
        </w:numPr>
        <w:spacing w:line="360" w:lineRule="auto"/>
        <w:jc w:val="both"/>
      </w:pPr>
      <w:r w:rsidRPr="00123507">
        <w:t xml:space="preserve">Ліщинська Л.Б., Сіденко Л.Ю. Формування ефективної інвестиційної політики України. URL: </w:t>
      </w:r>
      <w:hyperlink r:id="rId7" w:tgtFrame="_new" w:history="1">
        <w:r w:rsidRPr="00123507">
          <w:rPr>
            <w:rStyle w:val="a3"/>
          </w:rPr>
          <w:t>http://www.rusnauka.com/35_OINBG_2010/Economics/74647.doc.htm</w:t>
        </w:r>
      </w:hyperlink>
      <w:r w:rsidRPr="00123507">
        <w:t xml:space="preserve"> (дата звернення: </w:t>
      </w:r>
      <w:r w:rsidR="00123507">
        <w:t xml:space="preserve">19 </w:t>
      </w:r>
      <w:r w:rsidRPr="00123507">
        <w:t>серп</w:t>
      </w:r>
      <w:r w:rsidR="00123507">
        <w:t xml:space="preserve">ня </w:t>
      </w:r>
      <w:r w:rsidRPr="00123507">
        <w:t>2024 р.).</w:t>
      </w:r>
    </w:p>
    <w:p w14:paraId="429A83C2" w14:textId="2A397C9D" w:rsidR="00D0637D" w:rsidRPr="00123507" w:rsidRDefault="00C04116" w:rsidP="00123507">
      <w:pPr>
        <w:pStyle w:val="a7"/>
        <w:numPr>
          <w:ilvl w:val="0"/>
          <w:numId w:val="20"/>
        </w:numPr>
        <w:spacing w:line="360" w:lineRule="auto"/>
        <w:jc w:val="both"/>
      </w:pPr>
      <w:r w:rsidRPr="00C04116">
        <w:t>Дугієнко Н.О</w:t>
      </w:r>
      <w:r w:rsidR="00123507" w:rsidRPr="00C04116">
        <w:t xml:space="preserve">. </w:t>
      </w:r>
      <w:r w:rsidR="00D0637D" w:rsidRPr="00123507">
        <w:t xml:space="preserve">ТНК в Україні: Діяльність та вплив на економіку. </w:t>
      </w:r>
      <w:r w:rsidR="005C21EE" w:rsidRPr="005C21EE">
        <w:rPr>
          <w:i/>
          <w:iCs/>
        </w:rPr>
        <w:t>Інфраструктура ринку</w:t>
      </w:r>
      <w:r w:rsidR="00123507" w:rsidRPr="005C21EE">
        <w:rPr>
          <w:i/>
          <w:iCs/>
        </w:rPr>
        <w:t xml:space="preserve">. </w:t>
      </w:r>
      <w:r w:rsidR="005C21EE" w:rsidRPr="005C21EE">
        <w:t>2020</w:t>
      </w:r>
      <w:r w:rsidR="00123507" w:rsidRPr="005C21EE">
        <w:t xml:space="preserve">. </w:t>
      </w:r>
      <w:r w:rsidR="005C21EE" w:rsidRPr="005C21EE">
        <w:t>48</w:t>
      </w:r>
      <w:r w:rsidR="00123507" w:rsidRPr="005C21EE">
        <w:t xml:space="preserve">. </w:t>
      </w:r>
      <w:r w:rsidR="00D0637D" w:rsidRPr="00123507">
        <w:t xml:space="preserve">URL: </w:t>
      </w:r>
      <w:hyperlink r:id="rId8" w:history="1">
        <w:r w:rsidRPr="009A5D78">
          <w:rPr>
            <w:rStyle w:val="a3"/>
          </w:rPr>
          <w:t>http://www.market-infr.od.ua/journals/2020/48_2020_ukr/5.pdf</w:t>
        </w:r>
      </w:hyperlink>
      <w:r>
        <w:t xml:space="preserve"> </w:t>
      </w:r>
      <w:r w:rsidRPr="00C04116">
        <w:t xml:space="preserve"> </w:t>
      </w:r>
      <w:r>
        <w:t xml:space="preserve"> </w:t>
      </w:r>
      <w:r w:rsidR="00D0637D" w:rsidRPr="00123507">
        <w:t xml:space="preserve">(дата звернення: </w:t>
      </w:r>
      <w:r w:rsidR="00123507">
        <w:t xml:space="preserve">15 серпня </w:t>
      </w:r>
      <w:r w:rsidR="00D0637D" w:rsidRPr="00123507">
        <w:t>2024 р.).</w:t>
      </w:r>
    </w:p>
    <w:p w14:paraId="3CBD81D1" w14:textId="069913FC" w:rsidR="00D0637D" w:rsidRPr="00123507" w:rsidRDefault="00D0637D" w:rsidP="00123507">
      <w:pPr>
        <w:pStyle w:val="a7"/>
        <w:numPr>
          <w:ilvl w:val="0"/>
          <w:numId w:val="20"/>
        </w:numPr>
        <w:spacing w:line="360" w:lineRule="auto"/>
        <w:jc w:val="both"/>
      </w:pPr>
      <w:r w:rsidRPr="00123507">
        <w:t xml:space="preserve">Основні інвестори в Україну. Звіт про прямі іноземні інвестиції в Україну в 2019 році. </w:t>
      </w:r>
      <w:r w:rsidR="00123507" w:rsidRPr="00C04116">
        <w:rPr>
          <w:i/>
          <w:iCs/>
        </w:rPr>
        <w:t>Держкомстат України</w:t>
      </w:r>
      <w:r w:rsidRPr="00C04116">
        <w:t>.</w:t>
      </w:r>
      <w:r w:rsidRPr="00123507">
        <w:t xml:space="preserve"> URL: </w:t>
      </w:r>
      <w:hyperlink r:id="rId9" w:tgtFrame="_new" w:history="1">
        <w:r w:rsidRPr="00123507">
          <w:rPr>
            <w:rStyle w:val="a3"/>
          </w:rPr>
          <w:t>http://www.ukrstat.gov.ua</w:t>
        </w:r>
      </w:hyperlink>
      <w:r w:rsidRPr="00123507">
        <w:t xml:space="preserve"> (дата звернення: </w:t>
      </w:r>
      <w:r w:rsidR="00123507" w:rsidRPr="00123507">
        <w:t>20 серпня 2024</w:t>
      </w:r>
      <w:r w:rsidR="00123507">
        <w:t xml:space="preserve"> р.</w:t>
      </w:r>
      <w:r w:rsidRPr="00123507">
        <w:t>).</w:t>
      </w:r>
    </w:p>
    <w:p w14:paraId="4D2A0EAF" w14:textId="1357561D" w:rsidR="00D0637D" w:rsidRPr="00123507" w:rsidRDefault="00123507" w:rsidP="00123507">
      <w:pPr>
        <w:pStyle w:val="a7"/>
        <w:numPr>
          <w:ilvl w:val="0"/>
          <w:numId w:val="20"/>
        </w:numPr>
        <w:spacing w:line="360" w:lineRule="auto"/>
        <w:jc w:val="both"/>
      </w:pPr>
      <w:r w:rsidRPr="00C04116">
        <w:t>Салатюк Н.М.</w:t>
      </w:r>
      <w:r>
        <w:t xml:space="preserve"> </w:t>
      </w:r>
      <w:r w:rsidR="00D0637D" w:rsidRPr="00123507">
        <w:t xml:space="preserve">Економічні наслідки та проблеми функціонування ТНК в Україні в умовах глобалізації світової економіки. </w:t>
      </w:r>
      <w:r w:rsidRPr="00123507">
        <w:rPr>
          <w:i/>
          <w:iCs/>
        </w:rPr>
        <w:t>Глобальні та національні проблеми економіки.</w:t>
      </w:r>
      <w:r>
        <w:t xml:space="preserve"> 2017. Вип.17. С.23-26. </w:t>
      </w:r>
      <w:r w:rsidR="00D0637D" w:rsidRPr="00123507">
        <w:t xml:space="preserve">URL: </w:t>
      </w:r>
      <w:hyperlink r:id="rId10" w:tgtFrame="_new" w:history="1">
        <w:r w:rsidR="00D0637D" w:rsidRPr="00123507">
          <w:rPr>
            <w:rStyle w:val="a3"/>
          </w:rPr>
          <w:t>http://www.global-national.in.ua/archive/17-2017/7.pdf</w:t>
        </w:r>
      </w:hyperlink>
      <w:r w:rsidR="00D0637D" w:rsidRPr="00123507">
        <w:t xml:space="preserve"> (дата звернення: </w:t>
      </w:r>
      <w:r>
        <w:t xml:space="preserve">3 </w:t>
      </w:r>
      <w:r w:rsidR="00D0637D" w:rsidRPr="00123507">
        <w:t>серп</w:t>
      </w:r>
      <w:r>
        <w:t>ня</w:t>
      </w:r>
      <w:r w:rsidR="00D0637D" w:rsidRPr="00123507">
        <w:t xml:space="preserve"> 2024 р.).</w:t>
      </w:r>
    </w:p>
    <w:p w14:paraId="61822EA8" w14:textId="4F115428" w:rsidR="00D0637D" w:rsidRPr="00123507" w:rsidRDefault="00D0637D" w:rsidP="00454AF6">
      <w:pPr>
        <w:pStyle w:val="a7"/>
        <w:numPr>
          <w:ilvl w:val="0"/>
          <w:numId w:val="20"/>
        </w:numPr>
        <w:spacing w:line="360" w:lineRule="auto"/>
        <w:jc w:val="both"/>
      </w:pPr>
      <w:r w:rsidRPr="00123507">
        <w:t>Європейський інвестиційний план для України.</w:t>
      </w:r>
      <w:r w:rsidR="00454AF6" w:rsidRPr="00454AF6">
        <w:t xml:space="preserve"> Ukraine Facility</w:t>
      </w:r>
      <w:r w:rsidR="00454AF6">
        <w:t>, 2023</w:t>
      </w:r>
      <w:r w:rsidRPr="00123507">
        <w:t xml:space="preserve"> URL: </w:t>
      </w:r>
      <w:hyperlink r:id="rId11" w:history="1">
        <w:r w:rsidR="00454AF6">
          <w:rPr>
            <w:rStyle w:val="a3"/>
          </w:rPr>
          <w:t>Uk</w:t>
        </w:r>
        <w:bookmarkStart w:id="1" w:name="_GoBack"/>
        <w:bookmarkEnd w:id="1"/>
        <w:r w:rsidR="00454AF6">
          <w:rPr>
            <w:rStyle w:val="a3"/>
          </w:rPr>
          <w:t>r</w:t>
        </w:r>
        <w:r w:rsidR="00454AF6">
          <w:rPr>
            <w:rStyle w:val="a3"/>
          </w:rPr>
          <w:t>aine Facility Plan (me.gov.ua)</w:t>
        </w:r>
      </w:hyperlink>
      <w:r w:rsidR="00454AF6" w:rsidRPr="00123507">
        <w:t xml:space="preserve"> </w:t>
      </w:r>
      <w:r w:rsidRPr="00123507">
        <w:t xml:space="preserve">(дата звернення: </w:t>
      </w:r>
      <w:r w:rsidR="00C04116">
        <w:t xml:space="preserve">3 серпня </w:t>
      </w:r>
      <w:r w:rsidRPr="00123507">
        <w:t>2024 р.).</w:t>
      </w:r>
    </w:p>
    <w:p w14:paraId="5A44D020" w14:textId="520180AF" w:rsidR="00D0637D" w:rsidRPr="00C04116" w:rsidRDefault="00D0637D" w:rsidP="00123507">
      <w:pPr>
        <w:pStyle w:val="a7"/>
        <w:numPr>
          <w:ilvl w:val="0"/>
          <w:numId w:val="20"/>
        </w:numPr>
        <w:spacing w:line="360" w:lineRule="auto"/>
        <w:jc w:val="both"/>
      </w:pPr>
      <w:r w:rsidRPr="00C04116">
        <w:t xml:space="preserve">Іванова М.О. Вплив ТНК на розвиток економіки України: переваги та недоліки. </w:t>
      </w:r>
      <w:r w:rsidR="00C04116" w:rsidRPr="00C04116">
        <w:rPr>
          <w:i/>
          <w:iCs/>
        </w:rPr>
        <w:t>Європейський вектор економічного розвитку.</w:t>
      </w:r>
      <w:r w:rsidR="00C04116" w:rsidRPr="00C04116">
        <w:t xml:space="preserve"> 2014. № 2 (17). </w:t>
      </w:r>
      <w:r w:rsidRPr="00C04116">
        <w:t xml:space="preserve">URL: </w:t>
      </w:r>
      <w:hyperlink r:id="rId12" w:history="1">
        <w:r w:rsidR="00C04116" w:rsidRPr="00C04116">
          <w:rPr>
            <w:rStyle w:val="a3"/>
          </w:rPr>
          <w:t>https://eurodev.duan.edu.ua/images/PDF/2014/2/11.pdf</w:t>
        </w:r>
      </w:hyperlink>
      <w:r w:rsidR="00C04116" w:rsidRPr="00C04116">
        <w:t xml:space="preserve">   </w:t>
      </w:r>
      <w:r w:rsidRPr="00C04116">
        <w:t xml:space="preserve">(дата звернення: </w:t>
      </w:r>
      <w:r w:rsidR="00C04116" w:rsidRPr="00C04116">
        <w:t xml:space="preserve">17 </w:t>
      </w:r>
      <w:r w:rsidRPr="00C04116">
        <w:t>серп</w:t>
      </w:r>
      <w:r w:rsidR="00C04116" w:rsidRPr="00C04116">
        <w:t>ня</w:t>
      </w:r>
      <w:r w:rsidRPr="00C04116">
        <w:t xml:space="preserve"> 2024 р.).</w:t>
      </w:r>
    </w:p>
    <w:p w14:paraId="1CF14773" w14:textId="76D4266D" w:rsidR="00D0637D" w:rsidRPr="00123507" w:rsidRDefault="00D0637D" w:rsidP="00454AF6">
      <w:pPr>
        <w:pStyle w:val="a7"/>
        <w:numPr>
          <w:ilvl w:val="0"/>
          <w:numId w:val="20"/>
        </w:numPr>
        <w:spacing w:line="360" w:lineRule="auto"/>
        <w:jc w:val="both"/>
      </w:pPr>
      <w:r w:rsidRPr="00123507">
        <w:t xml:space="preserve">Статистика прямих іноземних інвестицій в Україну. URL: </w:t>
      </w:r>
      <w:r w:rsidR="00454AF6" w:rsidRPr="00454AF6">
        <w:t xml:space="preserve">https://index.minfin.com.ua/ua/economy/fdi/ </w:t>
      </w:r>
      <w:r w:rsidRPr="00123507">
        <w:t xml:space="preserve">(дата звернення: </w:t>
      </w:r>
      <w:r w:rsidR="00C04116">
        <w:t>19 серпня</w:t>
      </w:r>
      <w:r w:rsidRPr="00123507">
        <w:t xml:space="preserve"> 2024 р.).</w:t>
      </w:r>
    </w:p>
    <w:p w14:paraId="6F4EC8DD" w14:textId="3A37D53A" w:rsidR="00D0637D" w:rsidRPr="00123507" w:rsidRDefault="00D0637D" w:rsidP="00123507">
      <w:pPr>
        <w:pStyle w:val="a7"/>
        <w:numPr>
          <w:ilvl w:val="0"/>
          <w:numId w:val="20"/>
        </w:numPr>
        <w:spacing w:line="360" w:lineRule="auto"/>
        <w:jc w:val="both"/>
      </w:pPr>
      <w:r w:rsidRPr="00123507">
        <w:t xml:space="preserve">Тодощук А.В. Україна в інтеграційних процесах: ризики та переваги. </w:t>
      </w:r>
      <w:r w:rsidR="00C04116" w:rsidRPr="00C04116">
        <w:rPr>
          <w:i/>
          <w:iCs/>
        </w:rPr>
        <w:t>Молодий вчений</w:t>
      </w:r>
      <w:r w:rsidR="00C04116" w:rsidRPr="00454AF6">
        <w:rPr>
          <w:i/>
          <w:iCs/>
          <w:lang w:val="ru-RU"/>
        </w:rPr>
        <w:t>.</w:t>
      </w:r>
      <w:r w:rsidR="00C04116">
        <w:t xml:space="preserve"> </w:t>
      </w:r>
      <w:r w:rsidR="00C04116" w:rsidRPr="00C04116">
        <w:t>2017</w:t>
      </w:r>
      <w:r w:rsidR="00C04116">
        <w:t xml:space="preserve">. </w:t>
      </w:r>
      <w:r w:rsidR="00C04116" w:rsidRPr="00C04116">
        <w:t>№5(45).</w:t>
      </w:r>
      <w:r w:rsidR="00C04116">
        <w:t xml:space="preserve"> </w:t>
      </w:r>
      <w:r w:rsidRPr="00123507">
        <w:t xml:space="preserve">URL: </w:t>
      </w:r>
      <w:hyperlink r:id="rId13" w:history="1">
        <w:r w:rsidR="00C04116" w:rsidRPr="009A5D78">
          <w:rPr>
            <w:rStyle w:val="a3"/>
          </w:rPr>
          <w:t>http://molodyvcheny.in.ua/files/journal/2017/5/168.pdf</w:t>
        </w:r>
      </w:hyperlink>
      <w:r w:rsidR="00C04116" w:rsidRPr="00454AF6">
        <w:rPr>
          <w:lang w:val="ru-RU"/>
        </w:rPr>
        <w:t xml:space="preserve"> </w:t>
      </w:r>
      <w:r w:rsidRPr="00123507">
        <w:t xml:space="preserve"> (дата звернення: </w:t>
      </w:r>
      <w:r w:rsidR="00C04116">
        <w:t xml:space="preserve">15 </w:t>
      </w:r>
      <w:r w:rsidRPr="00123507">
        <w:t>серп</w:t>
      </w:r>
      <w:r w:rsidR="00C04116">
        <w:t>ня</w:t>
      </w:r>
      <w:r w:rsidRPr="00123507">
        <w:t xml:space="preserve"> 2024 р.).</w:t>
      </w:r>
    </w:p>
    <w:p w14:paraId="6F13B340" w14:textId="7C59AF6A" w:rsidR="009615D9" w:rsidRPr="005C21EE" w:rsidRDefault="00D0637D" w:rsidP="005C21EE">
      <w:pPr>
        <w:pStyle w:val="a7"/>
        <w:numPr>
          <w:ilvl w:val="0"/>
          <w:numId w:val="20"/>
        </w:numPr>
        <w:spacing w:line="360" w:lineRule="auto"/>
        <w:jc w:val="both"/>
      </w:pPr>
      <w:r w:rsidRPr="00123507">
        <w:t xml:space="preserve">Гевлич Л.Л., Гевлич І.Г. Державна підтримка вітчизняного малого бізнесу: стан та перспективи. </w:t>
      </w:r>
      <w:r w:rsidR="00C04116" w:rsidRPr="00C04116">
        <w:rPr>
          <w:i/>
          <w:iCs/>
        </w:rPr>
        <w:t>Економіка і суспільство</w:t>
      </w:r>
      <w:r w:rsidR="00C04116">
        <w:t xml:space="preserve">. 2017. №11. </w:t>
      </w:r>
      <w:r w:rsidRPr="00123507">
        <w:t>URL:</w:t>
      </w:r>
      <w:r w:rsidR="00C04116" w:rsidRPr="00C04116">
        <w:t xml:space="preserve"> </w:t>
      </w:r>
      <w:hyperlink r:id="rId14" w:history="1">
        <w:r w:rsidR="00C04116" w:rsidRPr="009A5D78">
          <w:rPr>
            <w:rStyle w:val="a3"/>
          </w:rPr>
          <w:t>https://economyandsociety.in.ua/journals/11_ukr/11.pdf</w:t>
        </w:r>
      </w:hyperlink>
      <w:r w:rsidR="00C04116">
        <w:t xml:space="preserve"> </w:t>
      </w:r>
      <w:r w:rsidRPr="00123507">
        <w:t xml:space="preserve"> (дата звернення: </w:t>
      </w:r>
      <w:r w:rsidR="00C04116">
        <w:t>20 серпня</w:t>
      </w:r>
      <w:r w:rsidRPr="00123507">
        <w:t xml:space="preserve"> 2024 р.).</w:t>
      </w:r>
    </w:p>
    <w:sectPr w:rsidR="009615D9" w:rsidRPr="005C21EE" w:rsidSect="009D31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633FE2" w16cex:dateUtc="2024-08-21T09:55:00Z"/>
  <w16cex:commentExtensible w16cex:durableId="702153D2" w16cex:dateUtc="2024-08-21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50966D" w16cid:durableId="5D633FE2"/>
  <w16cid:commentId w16cid:paraId="5E937079" w16cid:durableId="702153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A2D"/>
    <w:multiLevelType w:val="hybridMultilevel"/>
    <w:tmpl w:val="E11CA0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2FAC"/>
    <w:multiLevelType w:val="hybridMultilevel"/>
    <w:tmpl w:val="23BA23F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C33320"/>
    <w:multiLevelType w:val="hybridMultilevel"/>
    <w:tmpl w:val="3E5263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2E8"/>
    <w:multiLevelType w:val="hybridMultilevel"/>
    <w:tmpl w:val="E910B7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A54"/>
    <w:multiLevelType w:val="hybridMultilevel"/>
    <w:tmpl w:val="104A5BE8"/>
    <w:lvl w:ilvl="0" w:tplc="52CCE2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376"/>
    <w:multiLevelType w:val="hybridMultilevel"/>
    <w:tmpl w:val="DB2490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201A"/>
    <w:multiLevelType w:val="hybridMultilevel"/>
    <w:tmpl w:val="6FE05F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933A9"/>
    <w:multiLevelType w:val="hybridMultilevel"/>
    <w:tmpl w:val="C9348C62"/>
    <w:lvl w:ilvl="0" w:tplc="085C13C8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A07569"/>
    <w:multiLevelType w:val="hybridMultilevel"/>
    <w:tmpl w:val="40BE35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1F3C5F"/>
    <w:multiLevelType w:val="hybridMultilevel"/>
    <w:tmpl w:val="FD625DE0"/>
    <w:lvl w:ilvl="0" w:tplc="107CDC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2434D"/>
    <w:multiLevelType w:val="hybridMultilevel"/>
    <w:tmpl w:val="2BA858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495C"/>
    <w:multiLevelType w:val="hybridMultilevel"/>
    <w:tmpl w:val="4D58987A"/>
    <w:lvl w:ilvl="0" w:tplc="8572F4F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84865"/>
    <w:multiLevelType w:val="hybridMultilevel"/>
    <w:tmpl w:val="35C07A06"/>
    <w:lvl w:ilvl="0" w:tplc="454AA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8F2864"/>
    <w:multiLevelType w:val="hybridMultilevel"/>
    <w:tmpl w:val="7288692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240F"/>
    <w:multiLevelType w:val="hybridMultilevel"/>
    <w:tmpl w:val="16E6E9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15280"/>
    <w:multiLevelType w:val="hybridMultilevel"/>
    <w:tmpl w:val="61382A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D56E3"/>
    <w:multiLevelType w:val="hybridMultilevel"/>
    <w:tmpl w:val="38EE76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3467"/>
    <w:multiLevelType w:val="hybridMultilevel"/>
    <w:tmpl w:val="C2CCB202"/>
    <w:lvl w:ilvl="0" w:tplc="47FAC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417627"/>
    <w:multiLevelType w:val="multilevel"/>
    <w:tmpl w:val="1658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25B65"/>
    <w:multiLevelType w:val="hybridMultilevel"/>
    <w:tmpl w:val="FF504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15AB"/>
    <w:multiLevelType w:val="hybridMultilevel"/>
    <w:tmpl w:val="E45AF86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20"/>
  </w:num>
  <w:num w:numId="5">
    <w:abstractNumId w:val="13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4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1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2"/>
    <w:rsid w:val="00017068"/>
    <w:rsid w:val="00123507"/>
    <w:rsid w:val="001A572D"/>
    <w:rsid w:val="002003C0"/>
    <w:rsid w:val="0022231B"/>
    <w:rsid w:val="00236F1A"/>
    <w:rsid w:val="002D4124"/>
    <w:rsid w:val="002D7B05"/>
    <w:rsid w:val="004169EC"/>
    <w:rsid w:val="00454AF6"/>
    <w:rsid w:val="00490552"/>
    <w:rsid w:val="004E2A7A"/>
    <w:rsid w:val="004E3E1C"/>
    <w:rsid w:val="00541B3B"/>
    <w:rsid w:val="00547C82"/>
    <w:rsid w:val="0055537B"/>
    <w:rsid w:val="00591729"/>
    <w:rsid w:val="005C21EE"/>
    <w:rsid w:val="0063325D"/>
    <w:rsid w:val="00637421"/>
    <w:rsid w:val="00700CD9"/>
    <w:rsid w:val="00774A68"/>
    <w:rsid w:val="00806EAA"/>
    <w:rsid w:val="00851508"/>
    <w:rsid w:val="00860EF3"/>
    <w:rsid w:val="008B2EFA"/>
    <w:rsid w:val="0094072B"/>
    <w:rsid w:val="009444BB"/>
    <w:rsid w:val="009615D9"/>
    <w:rsid w:val="009776CD"/>
    <w:rsid w:val="009A0F2D"/>
    <w:rsid w:val="009D31C9"/>
    <w:rsid w:val="00A81451"/>
    <w:rsid w:val="00AA057B"/>
    <w:rsid w:val="00AB18EE"/>
    <w:rsid w:val="00AC2798"/>
    <w:rsid w:val="00AD2727"/>
    <w:rsid w:val="00B512F3"/>
    <w:rsid w:val="00B850EF"/>
    <w:rsid w:val="00BB3367"/>
    <w:rsid w:val="00BB65D2"/>
    <w:rsid w:val="00BD55FD"/>
    <w:rsid w:val="00C04116"/>
    <w:rsid w:val="00C56C4F"/>
    <w:rsid w:val="00C8652B"/>
    <w:rsid w:val="00CD6325"/>
    <w:rsid w:val="00CF1A52"/>
    <w:rsid w:val="00D0637D"/>
    <w:rsid w:val="00D54D73"/>
    <w:rsid w:val="00D875EA"/>
    <w:rsid w:val="00DC0DA5"/>
    <w:rsid w:val="00DD0380"/>
    <w:rsid w:val="00DD10E1"/>
    <w:rsid w:val="00E12AA7"/>
    <w:rsid w:val="00E751A6"/>
    <w:rsid w:val="00EA4884"/>
    <w:rsid w:val="00EB59A0"/>
    <w:rsid w:val="00F558E2"/>
    <w:rsid w:val="00F73571"/>
    <w:rsid w:val="00F73D91"/>
    <w:rsid w:val="00F84433"/>
    <w:rsid w:val="00FD3892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3A80"/>
  <w15:chartTrackingRefBased/>
  <w15:docId w15:val="{53268ECE-2005-4B67-B12E-C9BA70BD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33"/>
  </w:style>
  <w:style w:type="paragraph" w:styleId="1">
    <w:name w:val="heading 1"/>
    <w:basedOn w:val="a"/>
    <w:next w:val="a"/>
    <w:link w:val="10"/>
    <w:uiPriority w:val="9"/>
    <w:qFormat/>
    <w:rsid w:val="00E12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86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380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4072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06E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652B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styleId="a5">
    <w:name w:val="Strong"/>
    <w:basedOn w:val="a0"/>
    <w:uiPriority w:val="22"/>
    <w:qFormat/>
    <w:rsid w:val="00C8652B"/>
    <w:rPr>
      <w:b/>
      <w:bCs/>
    </w:rPr>
  </w:style>
  <w:style w:type="character" w:styleId="a6">
    <w:name w:val="Emphasis"/>
    <w:basedOn w:val="a0"/>
    <w:uiPriority w:val="20"/>
    <w:qFormat/>
    <w:rsid w:val="00C865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DC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C041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41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41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41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4116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0411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5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AF6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454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-infr.od.ua/journals/2020/48_2020_ukr/5.pdf" TargetMode="External"/><Relationship Id="rId13" Type="http://schemas.openxmlformats.org/officeDocument/2006/relationships/hyperlink" Target="http://molodyvcheny.in.ua/files/journal/2017/5/168.pdf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rusnauka.com/35_OINBG_2010/Economics/74647.doc.htm" TargetMode="External"/><Relationship Id="rId12" Type="http://schemas.openxmlformats.org/officeDocument/2006/relationships/hyperlink" Target="https://eurodev.duan.edu.ua/images/PDF/2014/2/11.pdf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onf.management.fmm.kpi.ua/proc/article/view/181149" TargetMode="External"/><Relationship Id="rId11" Type="http://schemas.openxmlformats.org/officeDocument/2006/relationships/hyperlink" Target="https://www.ukrainefacility.me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lobal-national.in.ua/archive/17-2017/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stat.gov.ua" TargetMode="External"/><Relationship Id="rId14" Type="http://schemas.openxmlformats.org/officeDocument/2006/relationships/hyperlink" Target="https://economyandsociety.in.ua/journals/11_ukr/1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9A08-C94D-4808-949C-38B0A1D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6040</Words>
  <Characters>3444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Ihor Ratsyn</cp:lastModifiedBy>
  <cp:revision>3</cp:revision>
  <dcterms:created xsi:type="dcterms:W3CDTF">2024-08-21T10:05:00Z</dcterms:created>
  <dcterms:modified xsi:type="dcterms:W3CDTF">2024-08-21T17:09:00Z</dcterms:modified>
</cp:coreProperties>
</file>