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711F" w14:textId="77777777" w:rsidR="00414BBB" w:rsidRPr="00C03F22" w:rsidRDefault="00414BBB" w:rsidP="00414BBB">
      <w:pPr>
        <w:spacing w:after="0" w:line="360" w:lineRule="auto"/>
        <w:ind w:firstLine="720"/>
        <w:jc w:val="right"/>
        <w:rPr>
          <w:color w:val="000000" w:themeColor="text1"/>
        </w:rPr>
      </w:pPr>
      <w:r w:rsidRPr="00C03F22">
        <w:rPr>
          <w:color w:val="000000" w:themeColor="text1"/>
        </w:rPr>
        <w:t>Економічні науки</w:t>
      </w:r>
    </w:p>
    <w:p w14:paraId="7F03D82E" w14:textId="77777777" w:rsidR="00EC20F3" w:rsidRPr="00C03F22" w:rsidRDefault="00EC20F3" w:rsidP="00414BBB">
      <w:pPr>
        <w:spacing w:after="0" w:line="360" w:lineRule="auto"/>
        <w:jc w:val="center"/>
        <w:rPr>
          <w:b/>
          <w:bCs/>
          <w:color w:val="000000" w:themeColor="text1"/>
        </w:rPr>
      </w:pPr>
      <w:r w:rsidRPr="00C03F22">
        <w:rPr>
          <w:b/>
          <w:bCs/>
          <w:color w:val="000000" w:themeColor="text1"/>
        </w:rPr>
        <w:t>ІНКЛЮЗИВНІСТЬ ЯК СКЛАДОВА МАКРОЕКОНОМІЧНОЇ СТРАТЕГІЇ РОЗВИТКУ АГРАРНОГО ПІДПРИЄМНИЦТВА</w:t>
      </w:r>
    </w:p>
    <w:p w14:paraId="09D9C7EC" w14:textId="6A5445E2" w:rsidR="00DF0284" w:rsidRPr="00C03F22" w:rsidRDefault="00C301D3" w:rsidP="00A83E73">
      <w:pPr>
        <w:spacing w:after="0" w:line="360" w:lineRule="auto"/>
        <w:rPr>
          <w:color w:val="000000" w:themeColor="text1"/>
        </w:rPr>
      </w:pPr>
      <w:r w:rsidRPr="00C03F22">
        <w:rPr>
          <w:color w:val="000000" w:themeColor="text1"/>
        </w:rPr>
        <w:t>Пилипенко Вячеслав Валентинович, кандидат економічних наук, професор, Сумський національний аграрний університет, м. Суми</w:t>
      </w:r>
      <w:r w:rsidR="0094438E" w:rsidRPr="00C03F22">
        <w:rPr>
          <w:color w:val="000000" w:themeColor="text1"/>
        </w:rPr>
        <w:t>, Україна</w:t>
      </w:r>
      <w:r w:rsidRPr="00C03F22">
        <w:rPr>
          <w:color w:val="000000" w:themeColor="text1"/>
        </w:rPr>
        <w:t>; </w:t>
      </w:r>
      <w:r w:rsidR="001B3DCF" w:rsidRPr="00C03F22">
        <w:rPr>
          <w:color w:val="000000" w:themeColor="text1"/>
        </w:rPr>
        <w:t>ORCID: </w:t>
      </w:r>
      <w:hyperlink r:id="rId5" w:tgtFrame="_blank" w:history="1">
        <w:r w:rsidR="001B3DCF" w:rsidRPr="00C03F22">
          <w:rPr>
            <w:rStyle w:val="a3"/>
            <w:color w:val="000000" w:themeColor="text1"/>
          </w:rPr>
          <w:t>0000-0001-5995-013X</w:t>
        </w:r>
      </w:hyperlink>
    </w:p>
    <w:p w14:paraId="34CE7608" w14:textId="6082A5B4" w:rsidR="00A83E73" w:rsidRPr="00C03F22" w:rsidRDefault="00A83E73" w:rsidP="00A83E73">
      <w:pPr>
        <w:spacing w:after="0" w:line="360" w:lineRule="auto"/>
        <w:rPr>
          <w:color w:val="000000" w:themeColor="text1"/>
          <w:szCs w:val="28"/>
        </w:rPr>
      </w:pPr>
      <w:r w:rsidRPr="00C03F22">
        <w:rPr>
          <w:color w:val="000000" w:themeColor="text1"/>
        </w:rPr>
        <w:t xml:space="preserve">Пилипенко </w:t>
      </w:r>
      <w:r w:rsidR="00DF0284" w:rsidRPr="00C03F22">
        <w:rPr>
          <w:color w:val="000000" w:themeColor="text1"/>
        </w:rPr>
        <w:t>Надія Миколаївна</w:t>
      </w:r>
      <w:r w:rsidRPr="00C03F22">
        <w:rPr>
          <w:color w:val="000000" w:themeColor="text1"/>
        </w:rPr>
        <w:t>,</w:t>
      </w:r>
      <w:r w:rsidR="00DF0284" w:rsidRPr="00C03F22">
        <w:rPr>
          <w:color w:val="000000" w:themeColor="text1"/>
        </w:rPr>
        <w:t xml:space="preserve"> </w:t>
      </w:r>
      <w:r w:rsidRPr="00C03F22">
        <w:rPr>
          <w:color w:val="000000" w:themeColor="text1"/>
        </w:rPr>
        <w:t>кандидат економічних наук, доцент кафедри економіки та підприємництва,</w:t>
      </w:r>
      <w:r w:rsidR="00DF0284" w:rsidRPr="00C03F22">
        <w:rPr>
          <w:color w:val="000000" w:themeColor="text1"/>
        </w:rPr>
        <w:t xml:space="preserve"> </w:t>
      </w:r>
      <w:r w:rsidRPr="00C03F22">
        <w:rPr>
          <w:color w:val="000000" w:themeColor="text1"/>
        </w:rPr>
        <w:t xml:space="preserve">Сумський національний аграрний університет, </w:t>
      </w:r>
      <w:r w:rsidR="0094438E" w:rsidRPr="00C03F22">
        <w:rPr>
          <w:color w:val="000000" w:themeColor="text1"/>
        </w:rPr>
        <w:t xml:space="preserve">м. Суми, </w:t>
      </w:r>
      <w:r w:rsidR="00B629BF">
        <w:rPr>
          <w:color w:val="000000" w:themeColor="text1"/>
        </w:rPr>
        <w:t xml:space="preserve">Україна, </w:t>
      </w:r>
      <w:r w:rsidRPr="00C03F22">
        <w:rPr>
          <w:color w:val="000000" w:themeColor="text1"/>
        </w:rPr>
        <w:t xml:space="preserve">ORCID: </w:t>
      </w:r>
      <w:hyperlink r:id="rId6" w:history="1">
        <w:r w:rsidRPr="00C03F22">
          <w:rPr>
            <w:rStyle w:val="a3"/>
            <w:color w:val="000000" w:themeColor="text1"/>
            <w:szCs w:val="28"/>
          </w:rPr>
          <w:t>0000-0002-1064-389X</w:t>
        </w:r>
      </w:hyperlink>
    </w:p>
    <w:p w14:paraId="51895A4A" w14:textId="77777777" w:rsidR="00EC20F3" w:rsidRPr="00C03F22" w:rsidRDefault="00EC20F3" w:rsidP="00EC20F3">
      <w:pPr>
        <w:jc w:val="center"/>
        <w:rPr>
          <w:b/>
          <w:bCs/>
          <w:color w:val="000000" w:themeColor="text1"/>
        </w:rPr>
      </w:pPr>
    </w:p>
    <w:p w14:paraId="1D59B335" w14:textId="762553A0" w:rsidR="00EC20F3" w:rsidRPr="00C03F22" w:rsidRDefault="00960041" w:rsidP="00EC20F3">
      <w:pPr>
        <w:spacing w:after="0" w:line="360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 xml:space="preserve">Розвиток аграрного підприємництва є одним із ключових напрямів забезпечення продовольчої безпеки, стабільності економіки та сталого розвитку сільських територій. </w:t>
      </w:r>
      <w:r w:rsidR="00EC20F3" w:rsidRPr="00C03F22">
        <w:rPr>
          <w:color w:val="000000" w:themeColor="text1"/>
        </w:rPr>
        <w:t>У сучасних умовах необхідним є впровадження інноваційних підходів до розвитку аграрного підприємництва. Одним із таких підходів є інклюзивність як частина макроекономічної стратегії, яка забезпечує інтеграцію різних груп населення у процеси створення доданої вартості, розширює доступ до ресурсів і ринків, сприяє сталому розвитку.</w:t>
      </w:r>
    </w:p>
    <w:p w14:paraId="28719239" w14:textId="075C8EF3" w:rsidR="0094083D" w:rsidRPr="00C03F22" w:rsidRDefault="00BA5983" w:rsidP="003A22FB">
      <w:pPr>
        <w:spacing w:after="0" w:line="360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>Т</w:t>
      </w:r>
      <w:r w:rsidR="00960041" w:rsidRPr="00C03F22">
        <w:rPr>
          <w:color w:val="000000" w:themeColor="text1"/>
        </w:rPr>
        <w:t xml:space="preserve">радиційні моделі підприємництва в аграрному секторі часто обмежуються вузьким колом суб’єктів, залишаючи поза увагою потенціал соціальної, економічної та екологічної інклюзії. </w:t>
      </w:r>
      <w:r w:rsidR="0094083D" w:rsidRPr="00C03F22">
        <w:rPr>
          <w:color w:val="000000" w:themeColor="text1"/>
        </w:rPr>
        <w:t xml:space="preserve">Інклюзивний підхід передбачає створення умов для рівноправної участі всіх зацікавлених сторін у розвитку аграрного сектору. Це означає забезпечення доступу до фінансових ресурсів, освіти, технологій і ринків для тих, хто традиційно був виключений з основних економічних процесів. </w:t>
      </w:r>
      <w:r w:rsidR="00960041" w:rsidRPr="00C03F22">
        <w:rPr>
          <w:color w:val="000000" w:themeColor="text1"/>
        </w:rPr>
        <w:t>Інклюзивний підхід до розвитку аграрного підприємництва спрямований на інтеграцію різноманітних груп населення, зокрема дрібних фермерів, жінок, молоді, осіб із обмеженими можливостями та інших уразливих категорій, у процеси створення доданої вартості та розширення доступу до ресурсів і ринків.</w:t>
      </w:r>
      <w:r w:rsidRPr="00C03F22">
        <w:rPr>
          <w:color w:val="000000" w:themeColor="text1"/>
        </w:rPr>
        <w:t xml:space="preserve"> </w:t>
      </w:r>
      <w:r w:rsidR="00461B27" w:rsidRPr="00C03F22">
        <w:rPr>
          <w:color w:val="000000" w:themeColor="text1"/>
        </w:rPr>
        <w:t>Цей підхід спрямований на подолання соціальних та економічних бар’єрів, сприяючи розширенню можливостей для всіх учасників аграрного сектору</w:t>
      </w:r>
      <w:r w:rsidR="005E1840" w:rsidRPr="00C03F22">
        <w:rPr>
          <w:color w:val="000000" w:themeColor="text1"/>
        </w:rPr>
        <w:t xml:space="preserve"> [1]</w:t>
      </w:r>
      <w:r w:rsidR="00461B27" w:rsidRPr="00C03F22">
        <w:rPr>
          <w:color w:val="000000" w:themeColor="text1"/>
        </w:rPr>
        <w:t>.</w:t>
      </w:r>
    </w:p>
    <w:p w14:paraId="3B760439" w14:textId="77777777" w:rsidR="00E97768" w:rsidRPr="00C03F22" w:rsidRDefault="003A22FB" w:rsidP="00E97768">
      <w:pPr>
        <w:spacing w:after="0" w:line="360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lastRenderedPageBreak/>
        <w:t>У контексті аграрного підприємництва інклюзивний підхід має низку переваг. По-перше, він дозволяє інтегрувати малих виробників у національні та міжнародні ринки, сприяючи економічному зростанню. По-друге, забезпечення участі жінок і молоді у підприємницьких процесах сприяє вирівнюванню соціальних диспропорцій і розширенню кадрового потенціалу галузі. По-третє, інклюзивні моделі підприємництва підтримують екологічну сталість через впровадження інноваційних і ресурсозберігаючих технологій.</w:t>
      </w:r>
    </w:p>
    <w:p w14:paraId="620836D6" w14:textId="3162EEF5" w:rsidR="00467AE6" w:rsidRPr="00C03F22" w:rsidRDefault="00F37E15" w:rsidP="00E97768">
      <w:pPr>
        <w:spacing w:after="0" w:line="360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 xml:space="preserve">Однією з основних перепон для розвитку інклюзивного підприємництва є обмежений доступ дрібних фермерів і соціально вразливих груп до фінансування. </w:t>
      </w:r>
    </w:p>
    <w:p w14:paraId="79292554" w14:textId="77777777" w:rsidR="00893F22" w:rsidRDefault="00F37E15" w:rsidP="00467AE6">
      <w:pPr>
        <w:spacing w:after="0" w:line="360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>Інклюзивні фінансові інструменти, такі як мікрокредитування, пільгове кредитування та грантові програми, дозволяють залучати нових учасників до аграрного бізнесу (рис.1).</w:t>
      </w:r>
    </w:p>
    <w:p w14:paraId="68584508" w14:textId="62FC03C2" w:rsidR="00362AEF" w:rsidRPr="00C03F22" w:rsidRDefault="00893F22" w:rsidP="00467AE6">
      <w:pPr>
        <w:spacing w:after="0" w:line="360" w:lineRule="auto"/>
        <w:ind w:firstLine="720"/>
        <w:jc w:val="both"/>
        <w:rPr>
          <w:color w:val="000000" w:themeColor="text1"/>
        </w:rPr>
      </w:pPr>
      <w:r w:rsidRPr="00893F22">
        <w:rPr>
          <w:noProof/>
          <w:color w:val="000000" w:themeColor="text1"/>
          <w:sz w:val="16"/>
          <w:szCs w:val="16"/>
        </w:rPr>
        <w:t xml:space="preserve"> </w:t>
      </w:r>
      <w:r w:rsidRPr="00C03F22">
        <w:rPr>
          <w:noProof/>
          <w:color w:val="000000" w:themeColor="text1"/>
        </w:rPr>
        <w:drawing>
          <wp:inline distT="0" distB="0" distL="0" distR="0" wp14:anchorId="0A10CE47" wp14:editId="21A6D91D">
            <wp:extent cx="6099175" cy="2390775"/>
            <wp:effectExtent l="0" t="0" r="0" b="0"/>
            <wp:docPr id="136560037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AFE94CC" w14:textId="77777777" w:rsidR="00362AEF" w:rsidRPr="00C03F22" w:rsidRDefault="00362AEF" w:rsidP="00893F22">
      <w:pPr>
        <w:spacing w:after="0" w:line="240" w:lineRule="auto"/>
        <w:ind w:firstLine="720"/>
        <w:jc w:val="both"/>
        <w:rPr>
          <w:b/>
          <w:bCs/>
          <w:color w:val="000000" w:themeColor="text1"/>
        </w:rPr>
      </w:pPr>
      <w:r w:rsidRPr="00C03F22">
        <w:rPr>
          <w:b/>
          <w:bCs/>
          <w:color w:val="000000" w:themeColor="text1"/>
        </w:rPr>
        <w:t>Рисунок 1. Ключові аспекти інклюзивного підходу</w:t>
      </w:r>
    </w:p>
    <w:p w14:paraId="65BB63E0" w14:textId="2471E2F2" w:rsidR="00893F22" w:rsidRPr="00893F22" w:rsidRDefault="00893F22" w:rsidP="00893F22">
      <w:pPr>
        <w:spacing w:after="0" w:line="240" w:lineRule="auto"/>
        <w:ind w:firstLine="720"/>
        <w:jc w:val="both"/>
        <w:rPr>
          <w:i/>
          <w:iCs/>
          <w:color w:val="000000" w:themeColor="text1"/>
          <w:sz w:val="24"/>
          <w:szCs w:val="24"/>
        </w:rPr>
      </w:pPr>
      <w:r w:rsidRPr="00893F22">
        <w:rPr>
          <w:i/>
          <w:iCs/>
          <w:color w:val="000000" w:themeColor="text1"/>
          <w:sz w:val="24"/>
          <w:szCs w:val="24"/>
        </w:rPr>
        <w:t>Джерело: запропоновано авторами</w:t>
      </w:r>
    </w:p>
    <w:p w14:paraId="1488B803" w14:textId="00089EA9" w:rsidR="00F360A6" w:rsidRPr="00C03F22" w:rsidRDefault="00F360A6" w:rsidP="00893F22">
      <w:pPr>
        <w:spacing w:after="0" w:line="353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>У багатьох країнах жінки, які працюють у сільському господарстві, мають обмежений доступ до ресурсів і рішень. Інклюзивний підхід забезпечує їх участь у процесах прийняття рішень, підтримку жіночих кооперативів і впровадження програм розвитку жіночого підприємництва.</w:t>
      </w:r>
      <w:r w:rsidR="00F37E15" w:rsidRPr="00C03F22">
        <w:rPr>
          <w:color w:val="000000" w:themeColor="text1"/>
        </w:rPr>
        <w:t xml:space="preserve"> </w:t>
      </w:r>
      <w:r w:rsidRPr="00C03F22">
        <w:rPr>
          <w:color w:val="000000" w:themeColor="text1"/>
        </w:rPr>
        <w:t>Включення екологічних аспектів у процеси аграрного підприємництва дозволяє створювати стійкі бізнес-моделі, які враховують інтереси майбутніх поколінь</w:t>
      </w:r>
      <w:r w:rsidR="00050335" w:rsidRPr="00C03F22">
        <w:rPr>
          <w:color w:val="000000" w:themeColor="text1"/>
        </w:rPr>
        <w:t>.</w:t>
      </w:r>
      <w:r w:rsidR="009D0248" w:rsidRPr="00C03F22">
        <w:rPr>
          <w:color w:val="000000" w:themeColor="text1"/>
        </w:rPr>
        <w:t xml:space="preserve"> </w:t>
      </w:r>
      <w:r w:rsidRPr="00C03F22">
        <w:rPr>
          <w:color w:val="000000" w:themeColor="text1"/>
        </w:rPr>
        <w:t xml:space="preserve">Органічне землеробство, раціональне використання ресурсів і впровадження інноваційних екотехнологій </w:t>
      </w:r>
      <w:r w:rsidRPr="00C03F22">
        <w:rPr>
          <w:color w:val="000000" w:themeColor="text1"/>
        </w:rPr>
        <w:lastRenderedPageBreak/>
        <w:t>є основою для сталого розвитку</w:t>
      </w:r>
      <w:r w:rsidR="00050335" w:rsidRPr="00C03F22">
        <w:rPr>
          <w:color w:val="000000" w:themeColor="text1"/>
        </w:rPr>
        <w:t xml:space="preserve"> [2].</w:t>
      </w:r>
      <w:r w:rsidRPr="00C03F22">
        <w:rPr>
          <w:color w:val="000000" w:themeColor="text1"/>
        </w:rPr>
        <w:t xml:space="preserve"> Кооперативний рух є важливим інструментом інклюзивного підприємництва, оскільки дозволяє малим виробникам об’єднувати свої зусилля для досягнення економічної ефективності, зниження витрат і виходу на нові ринки.</w:t>
      </w:r>
    </w:p>
    <w:p w14:paraId="45D3AC7C" w14:textId="77777777" w:rsidR="00F37E15" w:rsidRPr="00C03F22" w:rsidRDefault="00F37E15" w:rsidP="00893F22">
      <w:pPr>
        <w:spacing w:after="0" w:line="353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 xml:space="preserve">Інклюзивність є інтегральною частиною сучасних макроекономічних стратегій, що спрямовані на забезпечення справедливого доступу до ресурсів, створення рівних можливостей і соціальної згуртованості. Фіскальна політика є одним із ключових інструментів підтримки інклюзивності. Надання пільгових кредитів, субсидій та грантів для малих фермерів і соціально вразливих груп створює передумови для розвитку підприємницької активності. Державні програми з підтримки кооперації дозволяють інтегрувати дрібні господарства у більші виробничі ланцюги, забезпечуючи їм доступ до сучасних технологій і ринків збуту. Монетарна політика сприяє розвитку мікрокредитування для фермерів, які не мають достатнього забезпечення для отримання традиційних кредитів. Це особливо важливо для жінок і молоді, які стикаються з обмеженим доступом до фінансових ресурсів через соціальні чи економічні бар’єри. Інституційні інструменти, такі як створення дорадчих служб, розвиток освітніх програм для фермерів і підтримка інноваційних платформ, сприяють підвищенню кваліфікації та обізнаності всіх суб’єктів аграрного підприємництва. </w:t>
      </w:r>
    </w:p>
    <w:p w14:paraId="6DDCAE4B" w14:textId="6E1729C8" w:rsidR="00EC20F3" w:rsidRPr="00C03F22" w:rsidRDefault="00EC20F3" w:rsidP="00893F22">
      <w:pPr>
        <w:spacing w:after="0" w:line="353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>Впровадження інклюзивності у макроекономічну стратегію розвитку аграрного підприємництва має низку переваг. Соціальні вигоди включають підвищення рівня зайнятості у сільській місцевості, зниження рівня бідності та скорочення міграції. Економічні переваги полягають у розширенні бази платників податків, зростанні виробництва та експорту сільськогосподарської продукції. Екологічні вигоди включають впровадження практик органічного землеробства, раціонального використання ресурсів та відновлення природних екосистем</w:t>
      </w:r>
      <w:r w:rsidR="001C42DF" w:rsidRPr="00C03F22">
        <w:rPr>
          <w:color w:val="000000" w:themeColor="text1"/>
        </w:rPr>
        <w:t xml:space="preserve"> [3;4]</w:t>
      </w:r>
      <w:r w:rsidRPr="00C03F22">
        <w:rPr>
          <w:color w:val="000000" w:themeColor="text1"/>
        </w:rPr>
        <w:t>.</w:t>
      </w:r>
    </w:p>
    <w:p w14:paraId="46175999" w14:textId="77777777" w:rsidR="00EC20F3" w:rsidRPr="00C03F22" w:rsidRDefault="00EC20F3" w:rsidP="00893F22">
      <w:pPr>
        <w:spacing w:after="0" w:line="353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 xml:space="preserve">Серед викликів, які можуть виникнути під час впровадження інклюзивного підходу, слід виділити високі адміністративні бар’єри, недостатню прозорість у розподілі фінансових ресурсів, обмежену обізнаність населення про можливості </w:t>
      </w:r>
      <w:r w:rsidRPr="00C03F22">
        <w:rPr>
          <w:color w:val="000000" w:themeColor="text1"/>
        </w:rPr>
        <w:lastRenderedPageBreak/>
        <w:t>підтримки та низький рівень довіри до інституцій. Ці проблеми вимагають вдосконалення механізмів державного регулювання та посилення співпраці між урядом, приватним сектором і громадськими організаціями.</w:t>
      </w:r>
    </w:p>
    <w:p w14:paraId="10D0C98B" w14:textId="44B803B2" w:rsidR="00EC20F3" w:rsidRPr="00C03F22" w:rsidRDefault="00C83C31" w:rsidP="00F3633B">
      <w:pPr>
        <w:spacing w:after="0" w:line="360" w:lineRule="auto"/>
        <w:ind w:firstLine="720"/>
        <w:jc w:val="both"/>
        <w:rPr>
          <w:color w:val="000000" w:themeColor="text1"/>
        </w:rPr>
      </w:pPr>
      <w:r w:rsidRPr="00C03F22">
        <w:rPr>
          <w:color w:val="000000" w:themeColor="text1"/>
        </w:rPr>
        <w:t xml:space="preserve">Інклюзивний підхід до розвитку аграрного підприємництва є не лише соціальною необхідністю, а й стратегічним напрямом для забезпечення конкурентоспроможності та сталого розвитку аграрного сектору. </w:t>
      </w:r>
      <w:r w:rsidR="00EC20F3" w:rsidRPr="00C03F22">
        <w:rPr>
          <w:color w:val="000000" w:themeColor="text1"/>
        </w:rPr>
        <w:t>Інклюзивний підхід до розвитку аграрного підприємництва є невід’ємною складовою сучасної макроекономічної стратегії. Поєднання макроекономічних інструментів із принципами інклюзивності дозволяє створювати стійкі бізнес-моделі, забезпечувати соціальну справедливість і підтримувати екологічну рівновагу. Реалізація цих підходів сприятиме не лише розвитку аграрного сектору, але й підвищенню якості життя населення, зростанню конкурентоспроможності національної економіки та досягненню цілей сталого розвитку.</w:t>
      </w:r>
      <w:r w:rsidR="00F3633B" w:rsidRPr="00C03F22">
        <w:rPr>
          <w:color w:val="000000" w:themeColor="text1"/>
        </w:rPr>
        <w:t xml:space="preserve"> </w:t>
      </w:r>
      <w:r w:rsidR="00D806DF" w:rsidRPr="00C03F22">
        <w:rPr>
          <w:color w:val="000000" w:themeColor="text1"/>
        </w:rPr>
        <w:t xml:space="preserve">Розширення можливостей для участі всіх верств населення у цьому процесі сприятиме формуванню більш справедливого суспільства, економічної стабільності та екологічної рівноваги. </w:t>
      </w:r>
    </w:p>
    <w:p w14:paraId="0FF61C46" w14:textId="77777777" w:rsidR="000128AE" w:rsidRPr="00B629BF" w:rsidRDefault="000128AE" w:rsidP="000128AE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629BF">
        <w:rPr>
          <w:color w:val="000000" w:themeColor="text1"/>
          <w:sz w:val="24"/>
          <w:szCs w:val="24"/>
        </w:rPr>
        <w:t>Список літератури:</w:t>
      </w:r>
    </w:p>
    <w:p w14:paraId="2C7D8313" w14:textId="2DA83732" w:rsidR="009338CC" w:rsidRPr="00B629BF" w:rsidRDefault="009338CC" w:rsidP="003C4CF2">
      <w:pPr>
        <w:pStyle w:val="a5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Viacheslav</w:t>
      </w:r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Pylypenko</w:t>
      </w:r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Nadiia</w:t>
      </w:r>
      <w:proofErr w:type="spellEnd"/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Pylypenko</w:t>
      </w:r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Oleksandr</w:t>
      </w:r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Slobozhan</w:t>
      </w:r>
      <w:proofErr w:type="spellEnd"/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Olena</w:t>
      </w:r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Nahorna</w:t>
      </w:r>
      <w:proofErr w:type="spellEnd"/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Borys</w:t>
      </w:r>
      <w:proofErr w:type="spellEnd"/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>Tkachenko</w:t>
      </w:r>
      <w:proofErr w:type="spellEnd"/>
      <w:r w:rsidRPr="00893F22">
        <w:rPr>
          <w:rFonts w:cs="Times New Roman"/>
          <w:bCs/>
          <w:iCs/>
          <w:color w:val="000000" w:themeColor="text1"/>
          <w:sz w:val="24"/>
          <w:szCs w:val="24"/>
        </w:rPr>
        <w:t xml:space="preserve">. </w:t>
      </w:r>
      <w:r w:rsidRPr="00A8085F">
        <w:rPr>
          <w:rFonts w:cs="Times New Roman"/>
          <w:bCs/>
          <w:iCs/>
          <w:color w:val="000000" w:themeColor="text1"/>
          <w:sz w:val="24"/>
          <w:szCs w:val="24"/>
          <w:lang w:val="en-GB"/>
        </w:rPr>
        <w:t xml:space="preserve">Social Inclusion in Driving Sustainable Growth within United Territorial Communities. </w:t>
      </w:r>
      <w:r w:rsidRPr="00A8085F">
        <w:rPr>
          <w:rFonts w:cs="Times New Roman"/>
          <w:bCs/>
          <w:i/>
          <w:color w:val="000000" w:themeColor="text1"/>
          <w:sz w:val="24"/>
          <w:szCs w:val="24"/>
          <w:lang w:val="en-GB"/>
        </w:rPr>
        <w:t>Grassroots Journal of Natural Resources</w:t>
      </w:r>
      <w:r w:rsidRPr="00A8085F">
        <w:rPr>
          <w:rFonts w:ascii="Khartiya" w:hAnsi="Khartiya"/>
          <w:b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Pr="00A8085F">
        <w:rPr>
          <w:rFonts w:cs="Times New Roman"/>
          <w:iCs/>
          <w:color w:val="000000" w:themeColor="text1"/>
          <w:sz w:val="24"/>
          <w:szCs w:val="24"/>
          <w:lang w:val="en-GB"/>
        </w:rPr>
        <w:t>volume 7, issue 3 (</w:t>
      </w:r>
      <w:proofErr w:type="spellStart"/>
      <w:r w:rsidRPr="00A8085F">
        <w:rPr>
          <w:rFonts w:cs="Times New Roman"/>
          <w:iCs/>
          <w:color w:val="000000" w:themeColor="text1"/>
          <w:sz w:val="24"/>
          <w:szCs w:val="24"/>
          <w:lang w:val="en-GB"/>
        </w:rPr>
        <w:t>december</w:t>
      </w:r>
      <w:proofErr w:type="spellEnd"/>
      <w:r w:rsidRPr="00A8085F">
        <w:rPr>
          <w:rFonts w:cs="Times New Roman"/>
          <w:iCs/>
          <w:color w:val="000000" w:themeColor="text1"/>
          <w:sz w:val="24"/>
          <w:szCs w:val="24"/>
          <w:lang w:val="en-GB"/>
        </w:rPr>
        <w:t xml:space="preserve"> 2024).</w:t>
      </w:r>
      <w:r w:rsidR="00F77A15" w:rsidRPr="00B629BF">
        <w:rPr>
          <w:rFonts w:cs="Times New Roman"/>
          <w:bCs/>
          <w:color w:val="000000" w:themeColor="text1"/>
          <w:sz w:val="24"/>
          <w:szCs w:val="24"/>
        </w:rPr>
        <w:t xml:space="preserve"> URL:</w:t>
      </w:r>
      <w:r w:rsidRPr="00B629BF">
        <w:rPr>
          <w:rFonts w:cs="Times New Roman"/>
          <w:bCs/>
          <w:i/>
          <w:color w:val="000000" w:themeColor="text1"/>
          <w:sz w:val="24"/>
          <w:szCs w:val="24"/>
        </w:rPr>
        <w:t xml:space="preserve"> </w:t>
      </w:r>
      <w:hyperlink r:id="rId12" w:tgtFrame="_blank" w:history="1">
        <w:r w:rsidRPr="00B629BF">
          <w:rPr>
            <w:rStyle w:val="a3"/>
            <w:rFonts w:cs="Times New Roman"/>
            <w:bCs/>
            <w:iCs/>
            <w:color w:val="000000" w:themeColor="text1"/>
            <w:sz w:val="24"/>
            <w:szCs w:val="24"/>
            <w:lang w:val="en-US"/>
          </w:rPr>
          <w:t>https://doi.org/10.33002/nr2581.6853.0703ukr21</w:t>
        </w:r>
      </w:hyperlink>
      <w:r w:rsidRPr="00B629BF">
        <w:rPr>
          <w:rFonts w:cs="Times New Roman"/>
          <w:bCs/>
          <w:iCs/>
          <w:color w:val="000000" w:themeColor="text1"/>
          <w:sz w:val="24"/>
          <w:szCs w:val="24"/>
          <w:lang w:val="en-US"/>
        </w:rPr>
        <w:t xml:space="preserve">  </w:t>
      </w:r>
    </w:p>
    <w:p w14:paraId="58530706" w14:textId="6FB67517" w:rsidR="00C301D3" w:rsidRPr="00B629BF" w:rsidRDefault="00661270" w:rsidP="003C4CF2">
      <w:pPr>
        <w:pStyle w:val="a5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B629BF">
        <w:rPr>
          <w:rFonts w:cs="Times New Roman"/>
          <w:bCs/>
          <w:color w:val="000000" w:themeColor="text1"/>
          <w:sz w:val="24"/>
          <w:szCs w:val="24"/>
        </w:rPr>
        <w:t xml:space="preserve">Пилипенко Н. М., Прядка С. І. Конкурентоспроможність як чинник економічно-безпечного розвитку сільськогосподарського підприємства. </w:t>
      </w:r>
      <w:r w:rsidRPr="00B629BF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Міжнародний науковий журнал "Інтернаука". Серія: "Економічні науки". </w:t>
      </w:r>
      <w:r w:rsidRPr="00B629BF">
        <w:rPr>
          <w:rFonts w:cs="Times New Roman"/>
          <w:bCs/>
          <w:color w:val="000000" w:themeColor="text1"/>
          <w:sz w:val="24"/>
          <w:szCs w:val="24"/>
        </w:rPr>
        <w:t xml:space="preserve"> 2019. №10.</w:t>
      </w:r>
      <w:r w:rsidR="00F77A15" w:rsidRPr="00B629BF">
        <w:rPr>
          <w:rFonts w:cs="Times New Roman"/>
          <w:bCs/>
          <w:color w:val="000000" w:themeColor="text1"/>
          <w:sz w:val="24"/>
          <w:szCs w:val="24"/>
        </w:rPr>
        <w:t xml:space="preserve"> URL:</w:t>
      </w:r>
      <w:r w:rsidRPr="00B629BF">
        <w:rPr>
          <w:rFonts w:cs="Times New Roman"/>
          <w:bCs/>
          <w:color w:val="000000" w:themeColor="text1"/>
          <w:sz w:val="24"/>
          <w:szCs w:val="24"/>
        </w:rPr>
        <w:t> </w:t>
      </w:r>
      <w:hyperlink r:id="rId13" w:history="1">
        <w:r w:rsidRPr="00B629BF">
          <w:rPr>
            <w:rStyle w:val="a3"/>
            <w:rFonts w:cs="Times New Roman"/>
            <w:bCs/>
            <w:color w:val="000000" w:themeColor="text1"/>
            <w:sz w:val="24"/>
            <w:szCs w:val="24"/>
          </w:rPr>
          <w:t>https://doi.org/10.25313/2520-2294-2019-10-5256</w:t>
        </w:r>
      </w:hyperlink>
    </w:p>
    <w:p w14:paraId="7B5F2195" w14:textId="419D6951" w:rsidR="00661270" w:rsidRPr="00B629BF" w:rsidRDefault="00E04F1B" w:rsidP="003C4CF2">
      <w:pPr>
        <w:pStyle w:val="a5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B629BF">
        <w:rPr>
          <w:rFonts w:cs="Times New Roman"/>
          <w:bCs/>
          <w:color w:val="000000" w:themeColor="text1"/>
          <w:sz w:val="24"/>
          <w:szCs w:val="24"/>
        </w:rPr>
        <w:t xml:space="preserve">Степаненко С. В. Соціальна інклюзія як пріоритет подальшого розвитку аграрного сектору і сільських територій. </w:t>
      </w:r>
      <w:r w:rsidRPr="00B629BF">
        <w:rPr>
          <w:rFonts w:cs="Times New Roman"/>
          <w:bCs/>
          <w:i/>
          <w:iCs/>
          <w:color w:val="000000" w:themeColor="text1"/>
          <w:sz w:val="24"/>
          <w:szCs w:val="24"/>
        </w:rPr>
        <w:t>Науковий вісник Ужгородського національного університету. Серія: Міжнародні економічні відносини та світове господарство</w:t>
      </w:r>
      <w:r w:rsidRPr="00B629BF">
        <w:rPr>
          <w:rFonts w:cs="Times New Roman"/>
          <w:bCs/>
          <w:color w:val="000000" w:themeColor="text1"/>
          <w:sz w:val="24"/>
          <w:szCs w:val="24"/>
        </w:rPr>
        <w:t>. 2023. Вип. 46. С. 77–82. URL:</w:t>
      </w:r>
      <w:r w:rsidR="00F77A15" w:rsidRPr="00893F22">
        <w:rPr>
          <w:rFonts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2B3BE1" w:rsidRPr="00B629BF">
        <w:rPr>
          <w:rFonts w:cs="Times New Roman"/>
          <w:bCs/>
          <w:color w:val="000000" w:themeColor="text1"/>
          <w:sz w:val="24"/>
          <w:szCs w:val="24"/>
        </w:rPr>
        <w:t>http://www.visnyk-econom.uzhnu.uz.ua/archive/46_2023ua/16.pdf</w:t>
      </w:r>
    </w:p>
    <w:p w14:paraId="33BE4BD0" w14:textId="4195535F" w:rsidR="00C301D3" w:rsidRPr="00B629BF" w:rsidRDefault="002F4A7C" w:rsidP="003C4CF2">
      <w:pPr>
        <w:pStyle w:val="a5"/>
        <w:numPr>
          <w:ilvl w:val="0"/>
          <w:numId w:val="2"/>
        </w:numPr>
        <w:spacing w:after="0" w:line="360" w:lineRule="auto"/>
        <w:ind w:left="357" w:hanging="357"/>
        <w:jc w:val="both"/>
        <w:rPr>
          <w:bCs/>
          <w:color w:val="000000" w:themeColor="text1"/>
          <w:sz w:val="24"/>
          <w:szCs w:val="24"/>
        </w:rPr>
      </w:pPr>
      <w:r w:rsidRPr="00B629BF">
        <w:rPr>
          <w:bCs/>
          <w:color w:val="000000" w:themeColor="text1"/>
          <w:sz w:val="24"/>
          <w:szCs w:val="24"/>
        </w:rPr>
        <w:t>Інклюзивний розвиток агропродовольчого сектору України: можливості та ризики. Колективна монографія. За ред. Л. В. Шинкарук. Київ: НУБіП України. 2023. 356 с.</w:t>
      </w:r>
      <w:r w:rsidR="00C7380D" w:rsidRPr="00B629BF">
        <w:rPr>
          <w:color w:val="000000" w:themeColor="text1"/>
          <w:sz w:val="24"/>
          <w:szCs w:val="24"/>
        </w:rPr>
        <w:t xml:space="preserve"> </w:t>
      </w:r>
      <w:r w:rsidR="00C7380D" w:rsidRPr="00B629BF">
        <w:rPr>
          <w:rFonts w:cs="Times New Roman"/>
          <w:bCs/>
          <w:color w:val="000000" w:themeColor="text1"/>
          <w:sz w:val="24"/>
          <w:szCs w:val="24"/>
        </w:rPr>
        <w:t>URL: </w:t>
      </w:r>
      <w:r w:rsidR="00C7380D" w:rsidRPr="00B629BF">
        <w:rPr>
          <w:bCs/>
          <w:color w:val="000000" w:themeColor="text1"/>
          <w:sz w:val="24"/>
          <w:szCs w:val="24"/>
        </w:rPr>
        <w:t>https://nubip.edu.ua/sites/default/files/u317/2023_monografiya_inklyuzrozvitokapk.pdf</w:t>
      </w:r>
    </w:p>
    <w:sectPr w:rsidR="00C301D3" w:rsidRPr="00B629BF" w:rsidSect="009F7C5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hartiy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2F4A"/>
    <w:multiLevelType w:val="multilevel"/>
    <w:tmpl w:val="DF7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741B0"/>
    <w:multiLevelType w:val="hybridMultilevel"/>
    <w:tmpl w:val="7A76618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E4"/>
    <w:rsid w:val="000128AE"/>
    <w:rsid w:val="000143E4"/>
    <w:rsid w:val="0003579D"/>
    <w:rsid w:val="00050335"/>
    <w:rsid w:val="000C2749"/>
    <w:rsid w:val="00186510"/>
    <w:rsid w:val="001B3DCF"/>
    <w:rsid w:val="001C42DF"/>
    <w:rsid w:val="001D0DA7"/>
    <w:rsid w:val="00203FB0"/>
    <w:rsid w:val="002208E6"/>
    <w:rsid w:val="002329A7"/>
    <w:rsid w:val="00270233"/>
    <w:rsid w:val="002722C8"/>
    <w:rsid w:val="002B3BE1"/>
    <w:rsid w:val="002E43F3"/>
    <w:rsid w:val="002F4A7C"/>
    <w:rsid w:val="002F584A"/>
    <w:rsid w:val="00310250"/>
    <w:rsid w:val="00341E05"/>
    <w:rsid w:val="00362AEF"/>
    <w:rsid w:val="003919AD"/>
    <w:rsid w:val="003A22FB"/>
    <w:rsid w:val="003B4259"/>
    <w:rsid w:val="003B7B8B"/>
    <w:rsid w:val="003C4CF2"/>
    <w:rsid w:val="003F64ED"/>
    <w:rsid w:val="00414BBB"/>
    <w:rsid w:val="004524A3"/>
    <w:rsid w:val="00461B27"/>
    <w:rsid w:val="00467AE6"/>
    <w:rsid w:val="004733A0"/>
    <w:rsid w:val="004A6795"/>
    <w:rsid w:val="004F2D92"/>
    <w:rsid w:val="00546F15"/>
    <w:rsid w:val="00570A59"/>
    <w:rsid w:val="005E1840"/>
    <w:rsid w:val="006050EF"/>
    <w:rsid w:val="00661270"/>
    <w:rsid w:val="0066140A"/>
    <w:rsid w:val="00680B4E"/>
    <w:rsid w:val="00736CC8"/>
    <w:rsid w:val="007723DC"/>
    <w:rsid w:val="00814189"/>
    <w:rsid w:val="00864007"/>
    <w:rsid w:val="008679F4"/>
    <w:rsid w:val="00893F22"/>
    <w:rsid w:val="009338CC"/>
    <w:rsid w:val="0094083D"/>
    <w:rsid w:val="0094438E"/>
    <w:rsid w:val="00960041"/>
    <w:rsid w:val="009D0248"/>
    <w:rsid w:val="009D31BB"/>
    <w:rsid w:val="009F7C56"/>
    <w:rsid w:val="00A8085F"/>
    <w:rsid w:val="00A83E73"/>
    <w:rsid w:val="00A9409E"/>
    <w:rsid w:val="00AA7A52"/>
    <w:rsid w:val="00AB29B5"/>
    <w:rsid w:val="00B629BF"/>
    <w:rsid w:val="00BA5983"/>
    <w:rsid w:val="00BE6299"/>
    <w:rsid w:val="00C03F22"/>
    <w:rsid w:val="00C301D3"/>
    <w:rsid w:val="00C7380D"/>
    <w:rsid w:val="00C83C31"/>
    <w:rsid w:val="00C93343"/>
    <w:rsid w:val="00D4379D"/>
    <w:rsid w:val="00D806DF"/>
    <w:rsid w:val="00DC7E47"/>
    <w:rsid w:val="00DF0284"/>
    <w:rsid w:val="00E04F1B"/>
    <w:rsid w:val="00E32276"/>
    <w:rsid w:val="00E93215"/>
    <w:rsid w:val="00E97768"/>
    <w:rsid w:val="00EC20F3"/>
    <w:rsid w:val="00ED6C5C"/>
    <w:rsid w:val="00EE1EB6"/>
    <w:rsid w:val="00F360A6"/>
    <w:rsid w:val="00F3633B"/>
    <w:rsid w:val="00F37E15"/>
    <w:rsid w:val="00F77A15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1E04"/>
  <w15:chartTrackingRefBased/>
  <w15:docId w15:val="{F7DD3E4D-0232-4315-BF66-AEE6DB8B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8C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B3DC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doi.org/10.25313/2520-2294-2019-10-5256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doi.org/10.33002/nr2581.6853.0703ukr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1064-389X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s://orcid.org/0000-0001-5995-013X" TargetMode="Externa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319F3B-9CCE-4067-8BBB-5DAAF6C75552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LID4096"/>
        </a:p>
      </dgm:t>
    </dgm:pt>
    <dgm:pt modelId="{E1FC0EAF-51F7-4AE1-89A3-EE83053A9ED5}">
      <dgm:prSet phldrT="[Текст]"/>
      <dgm:spPr/>
      <dgm:t>
        <a:bodyPr/>
        <a:lstStyle/>
        <a:p>
          <a:pPr>
            <a:buNone/>
          </a:pPr>
          <a:r>
            <a:rPr lang="uk-UA" b="1"/>
            <a:t>Ключові аспекти інклюзивного підходу</a:t>
          </a:r>
          <a:endParaRPr lang="LID4096"/>
        </a:p>
      </dgm:t>
    </dgm:pt>
    <dgm:pt modelId="{F07AAFDD-9C8A-48D3-AC71-8C1921E96DD9}" type="parTrans" cxnId="{D530283B-5EE6-4BBA-BAFE-3662BBDC361D}">
      <dgm:prSet/>
      <dgm:spPr/>
      <dgm:t>
        <a:bodyPr/>
        <a:lstStyle/>
        <a:p>
          <a:endParaRPr lang="LID4096"/>
        </a:p>
      </dgm:t>
    </dgm:pt>
    <dgm:pt modelId="{9D8C7B79-8FC3-4FC8-ABCD-DB3539C054D9}" type="sibTrans" cxnId="{D530283B-5EE6-4BBA-BAFE-3662BBDC361D}">
      <dgm:prSet/>
      <dgm:spPr/>
      <dgm:t>
        <a:bodyPr/>
        <a:lstStyle/>
        <a:p>
          <a:endParaRPr lang="LID4096"/>
        </a:p>
      </dgm:t>
    </dgm:pt>
    <dgm:pt modelId="{B11EAFD8-8919-414B-A8FE-51838CED7617}">
      <dgm:prSet phldrT="[Текст]" custT="1"/>
      <dgm:spPr/>
      <dgm:t>
        <a:bodyPr/>
        <a:lstStyle/>
        <a:p>
          <a:pPr>
            <a:buNone/>
          </a:pPr>
          <a:r>
            <a:rPr lang="uk-UA" sz="1200" b="1"/>
            <a:t>Розширення доступу до фінансових ресурсів</a:t>
          </a:r>
          <a:endParaRPr lang="LID4096" sz="1200"/>
        </a:p>
      </dgm:t>
    </dgm:pt>
    <dgm:pt modelId="{EE7C4E94-8744-4833-B4DF-4DCD4044EE3F}" type="parTrans" cxnId="{0EDB38AF-7027-4434-8063-3AB28CA833E7}">
      <dgm:prSet/>
      <dgm:spPr/>
      <dgm:t>
        <a:bodyPr/>
        <a:lstStyle/>
        <a:p>
          <a:endParaRPr lang="LID4096"/>
        </a:p>
      </dgm:t>
    </dgm:pt>
    <dgm:pt modelId="{EAFC79BC-4F9D-4B17-B485-B7859DC55004}" type="sibTrans" cxnId="{0EDB38AF-7027-4434-8063-3AB28CA833E7}">
      <dgm:prSet/>
      <dgm:spPr/>
      <dgm:t>
        <a:bodyPr/>
        <a:lstStyle/>
        <a:p>
          <a:endParaRPr lang="LID4096"/>
        </a:p>
      </dgm:t>
    </dgm:pt>
    <dgm:pt modelId="{221F4D6C-1F08-4184-A3CD-2BD7D1829343}">
      <dgm:prSet phldrT="[Текст]" custT="1"/>
      <dgm:spPr/>
      <dgm:t>
        <a:bodyPr/>
        <a:lstStyle/>
        <a:p>
          <a:pPr>
            <a:buNone/>
          </a:pPr>
          <a:r>
            <a:rPr lang="uk-UA" sz="1200" b="1"/>
            <a:t>Гендерна рівність</a:t>
          </a:r>
          <a:endParaRPr lang="LID4096" sz="1200"/>
        </a:p>
      </dgm:t>
    </dgm:pt>
    <dgm:pt modelId="{85C4D795-466E-4755-A8A0-21332BD7D3BE}" type="parTrans" cxnId="{8ED19341-091A-48A3-B33E-F2999FF174F6}">
      <dgm:prSet/>
      <dgm:spPr/>
      <dgm:t>
        <a:bodyPr/>
        <a:lstStyle/>
        <a:p>
          <a:endParaRPr lang="LID4096"/>
        </a:p>
      </dgm:t>
    </dgm:pt>
    <dgm:pt modelId="{958F11C9-31C2-43F7-BBE6-983B116861D0}" type="sibTrans" cxnId="{8ED19341-091A-48A3-B33E-F2999FF174F6}">
      <dgm:prSet/>
      <dgm:spPr/>
      <dgm:t>
        <a:bodyPr/>
        <a:lstStyle/>
        <a:p>
          <a:endParaRPr lang="LID4096"/>
        </a:p>
      </dgm:t>
    </dgm:pt>
    <dgm:pt modelId="{27B3CC4A-DE2A-4217-91DB-DDF48042DA68}">
      <dgm:prSet phldrT="[Текст]" custT="1"/>
      <dgm:spPr/>
      <dgm:t>
        <a:bodyPr/>
        <a:lstStyle/>
        <a:p>
          <a:pPr>
            <a:buNone/>
          </a:pPr>
          <a:r>
            <a:rPr lang="uk-UA" sz="1200" b="1"/>
            <a:t>Екологічна інклюзивність</a:t>
          </a:r>
          <a:endParaRPr lang="LID4096" sz="1200"/>
        </a:p>
      </dgm:t>
    </dgm:pt>
    <dgm:pt modelId="{36571A95-1428-4F87-A080-E85BB934E064}" type="parTrans" cxnId="{3908A558-928D-4AFA-9609-E84F442A6E0F}">
      <dgm:prSet/>
      <dgm:spPr/>
      <dgm:t>
        <a:bodyPr/>
        <a:lstStyle/>
        <a:p>
          <a:endParaRPr lang="LID4096"/>
        </a:p>
      </dgm:t>
    </dgm:pt>
    <dgm:pt modelId="{21A95A64-9721-4CB4-8504-DD1A083F7BF7}" type="sibTrans" cxnId="{3908A558-928D-4AFA-9609-E84F442A6E0F}">
      <dgm:prSet/>
      <dgm:spPr/>
      <dgm:t>
        <a:bodyPr/>
        <a:lstStyle/>
        <a:p>
          <a:endParaRPr lang="LID4096"/>
        </a:p>
      </dgm:t>
    </dgm:pt>
    <dgm:pt modelId="{08E13031-BBD2-44B6-9E91-4CC8F2E5F4E0}">
      <dgm:prSet phldrT="[Текст]" custT="1"/>
      <dgm:spPr/>
      <dgm:t>
        <a:bodyPr/>
        <a:lstStyle/>
        <a:p>
          <a:pPr>
            <a:buNone/>
          </a:pPr>
          <a:r>
            <a:rPr lang="uk-UA" sz="1200" b="1"/>
            <a:t>Соціальні кооперативи</a:t>
          </a:r>
          <a:endParaRPr lang="LID4096" sz="1200"/>
        </a:p>
      </dgm:t>
    </dgm:pt>
    <dgm:pt modelId="{C9BE9FF0-F65E-4F07-82B3-27B5757BC1EC}" type="parTrans" cxnId="{05E5207B-6963-49FD-8E47-D114B002A48C}">
      <dgm:prSet/>
      <dgm:spPr/>
      <dgm:t>
        <a:bodyPr/>
        <a:lstStyle/>
        <a:p>
          <a:endParaRPr lang="LID4096"/>
        </a:p>
      </dgm:t>
    </dgm:pt>
    <dgm:pt modelId="{0D7AAEB4-1AF5-4C53-BCFF-4A7614BCA9A5}" type="sibTrans" cxnId="{05E5207B-6963-49FD-8E47-D114B002A48C}">
      <dgm:prSet/>
      <dgm:spPr/>
      <dgm:t>
        <a:bodyPr/>
        <a:lstStyle/>
        <a:p>
          <a:endParaRPr lang="LID4096"/>
        </a:p>
      </dgm:t>
    </dgm:pt>
    <dgm:pt modelId="{3467E4B9-FDA4-4E1A-A0F8-381F486334FC}" type="pres">
      <dgm:prSet presAssocID="{B8319F3B-9CCE-4067-8BBB-5DAAF6C7555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9E8397E-1169-482E-9D22-2F0B761346E3}" type="pres">
      <dgm:prSet presAssocID="{E1FC0EAF-51F7-4AE1-89A3-EE83053A9ED5}" presName="centerShape" presStyleLbl="node0" presStyleIdx="0" presStyleCnt="1" custScaleX="103646" custScaleY="69097" custLinFactNeighborX="-600" custLinFactNeighborY="-2400"/>
      <dgm:spPr>
        <a:prstGeom prst="flowChartMagneticDisk">
          <a:avLst/>
        </a:prstGeom>
      </dgm:spPr>
    </dgm:pt>
    <dgm:pt modelId="{83A6869A-25DC-4B14-A5FB-A0B037E02E1C}" type="pres">
      <dgm:prSet presAssocID="{EE7C4E94-8744-4833-B4DF-4DCD4044EE3F}" presName="parTrans" presStyleLbl="bgSibTrans2D1" presStyleIdx="0" presStyleCnt="4"/>
      <dgm:spPr/>
    </dgm:pt>
    <dgm:pt modelId="{D81720E0-522E-4B36-9191-75019C4F23F9}" type="pres">
      <dgm:prSet presAssocID="{B11EAFD8-8919-414B-A8FE-51838CED7617}" presName="node" presStyleLbl="node1" presStyleIdx="0" presStyleCnt="4" custScaleX="134134" custScaleY="88577" custRadScaleRad="108103" custRadScaleInc="13761">
        <dgm:presLayoutVars>
          <dgm:bulletEnabled val="1"/>
        </dgm:presLayoutVars>
      </dgm:prSet>
      <dgm:spPr>
        <a:prstGeom prst="flowChartDocument">
          <a:avLst/>
        </a:prstGeom>
      </dgm:spPr>
    </dgm:pt>
    <dgm:pt modelId="{E6D1E1A4-484C-4F89-A875-E5D8B121DE94}" type="pres">
      <dgm:prSet presAssocID="{85C4D795-466E-4755-A8A0-21332BD7D3BE}" presName="parTrans" presStyleLbl="bgSibTrans2D1" presStyleIdx="1" presStyleCnt="4"/>
      <dgm:spPr/>
    </dgm:pt>
    <dgm:pt modelId="{E38498E2-A92D-4A63-8365-EC97F7E70206}" type="pres">
      <dgm:prSet presAssocID="{221F4D6C-1F08-4184-A3CD-2BD7D1829343}" presName="node" presStyleLbl="node1" presStyleIdx="1" presStyleCnt="4" custScaleX="121223" custScaleY="81020" custRadScaleRad="118113" custRadScaleInc="-22622">
        <dgm:presLayoutVars>
          <dgm:bulletEnabled val="1"/>
        </dgm:presLayoutVars>
      </dgm:prSet>
      <dgm:spPr>
        <a:prstGeom prst="flowChartDocument">
          <a:avLst/>
        </a:prstGeom>
      </dgm:spPr>
    </dgm:pt>
    <dgm:pt modelId="{7D0F8692-2982-4F44-9F06-791AD7378EDF}" type="pres">
      <dgm:prSet presAssocID="{36571A95-1428-4F87-A080-E85BB934E064}" presName="parTrans" presStyleLbl="bgSibTrans2D1" presStyleIdx="2" presStyleCnt="4"/>
      <dgm:spPr/>
    </dgm:pt>
    <dgm:pt modelId="{5CB67E1C-FC59-4F6C-BFD8-83DC8DEA136C}" type="pres">
      <dgm:prSet presAssocID="{27B3CC4A-DE2A-4217-91DB-DDF48042DA68}" presName="node" presStyleLbl="node1" presStyleIdx="2" presStyleCnt="4" custFlipHor="1" custScaleX="121223" custScaleY="81972" custRadScaleRad="111791" custRadScaleInc="12521">
        <dgm:presLayoutVars>
          <dgm:bulletEnabled val="1"/>
        </dgm:presLayoutVars>
      </dgm:prSet>
      <dgm:spPr>
        <a:prstGeom prst="flowChartDocument">
          <a:avLst/>
        </a:prstGeom>
      </dgm:spPr>
    </dgm:pt>
    <dgm:pt modelId="{C5C365E1-519E-4150-A198-EE320C3165C4}" type="pres">
      <dgm:prSet presAssocID="{C9BE9FF0-F65E-4F07-82B3-27B5757BC1EC}" presName="parTrans" presStyleLbl="bgSibTrans2D1" presStyleIdx="3" presStyleCnt="4"/>
      <dgm:spPr/>
    </dgm:pt>
    <dgm:pt modelId="{88D4FE20-E599-4476-8029-6CDE3D28E5C7}" type="pres">
      <dgm:prSet presAssocID="{08E13031-BBD2-44B6-9E91-4CC8F2E5F4E0}" presName="node" presStyleLbl="node1" presStyleIdx="3" presStyleCnt="4" custFlipHor="1" custScaleX="135145" custScaleY="90265" custRadScaleRad="103884" custRadScaleInc="-12614">
        <dgm:presLayoutVars>
          <dgm:bulletEnabled val="1"/>
        </dgm:presLayoutVars>
      </dgm:prSet>
      <dgm:spPr>
        <a:prstGeom prst="flowChartDocument">
          <a:avLst/>
        </a:prstGeom>
      </dgm:spPr>
    </dgm:pt>
  </dgm:ptLst>
  <dgm:cxnLst>
    <dgm:cxn modelId="{61A6820F-CAFA-4F88-BAF7-24372822E584}" type="presOf" srcId="{27B3CC4A-DE2A-4217-91DB-DDF48042DA68}" destId="{5CB67E1C-FC59-4F6C-BFD8-83DC8DEA136C}" srcOrd="0" destOrd="0" presId="urn:microsoft.com/office/officeart/2005/8/layout/radial4"/>
    <dgm:cxn modelId="{DB104418-51C5-44CA-A1DC-B5D6867A1355}" type="presOf" srcId="{221F4D6C-1F08-4184-A3CD-2BD7D1829343}" destId="{E38498E2-A92D-4A63-8365-EC97F7E70206}" srcOrd="0" destOrd="0" presId="urn:microsoft.com/office/officeart/2005/8/layout/radial4"/>
    <dgm:cxn modelId="{D530283B-5EE6-4BBA-BAFE-3662BBDC361D}" srcId="{B8319F3B-9CCE-4067-8BBB-5DAAF6C75552}" destId="{E1FC0EAF-51F7-4AE1-89A3-EE83053A9ED5}" srcOrd="0" destOrd="0" parTransId="{F07AAFDD-9C8A-48D3-AC71-8C1921E96DD9}" sibTransId="{9D8C7B79-8FC3-4FC8-ABCD-DB3539C054D9}"/>
    <dgm:cxn modelId="{9057B13C-FD37-4E5D-AF37-AAF6B9043F4B}" type="presOf" srcId="{08E13031-BBD2-44B6-9E91-4CC8F2E5F4E0}" destId="{88D4FE20-E599-4476-8029-6CDE3D28E5C7}" srcOrd="0" destOrd="0" presId="urn:microsoft.com/office/officeart/2005/8/layout/radial4"/>
    <dgm:cxn modelId="{8ED19341-091A-48A3-B33E-F2999FF174F6}" srcId="{E1FC0EAF-51F7-4AE1-89A3-EE83053A9ED5}" destId="{221F4D6C-1F08-4184-A3CD-2BD7D1829343}" srcOrd="1" destOrd="0" parTransId="{85C4D795-466E-4755-A8A0-21332BD7D3BE}" sibTransId="{958F11C9-31C2-43F7-BBE6-983B116861D0}"/>
    <dgm:cxn modelId="{28C92374-916E-4D69-8720-EA1E0FBDCFE2}" type="presOf" srcId="{E1FC0EAF-51F7-4AE1-89A3-EE83053A9ED5}" destId="{49E8397E-1169-482E-9D22-2F0B761346E3}" srcOrd="0" destOrd="0" presId="urn:microsoft.com/office/officeart/2005/8/layout/radial4"/>
    <dgm:cxn modelId="{3908A558-928D-4AFA-9609-E84F442A6E0F}" srcId="{E1FC0EAF-51F7-4AE1-89A3-EE83053A9ED5}" destId="{27B3CC4A-DE2A-4217-91DB-DDF48042DA68}" srcOrd="2" destOrd="0" parTransId="{36571A95-1428-4F87-A080-E85BB934E064}" sibTransId="{21A95A64-9721-4CB4-8504-DD1A083F7BF7}"/>
    <dgm:cxn modelId="{05E5207B-6963-49FD-8E47-D114B002A48C}" srcId="{E1FC0EAF-51F7-4AE1-89A3-EE83053A9ED5}" destId="{08E13031-BBD2-44B6-9E91-4CC8F2E5F4E0}" srcOrd="3" destOrd="0" parTransId="{C9BE9FF0-F65E-4F07-82B3-27B5757BC1EC}" sibTransId="{0D7AAEB4-1AF5-4C53-BCFF-4A7614BCA9A5}"/>
    <dgm:cxn modelId="{FFD8BA7C-3A87-4043-ABE9-6701B1070CCD}" type="presOf" srcId="{B8319F3B-9CCE-4067-8BBB-5DAAF6C75552}" destId="{3467E4B9-FDA4-4E1A-A0F8-381F486334FC}" srcOrd="0" destOrd="0" presId="urn:microsoft.com/office/officeart/2005/8/layout/radial4"/>
    <dgm:cxn modelId="{E30C1893-4001-4212-811C-08879917E0B3}" type="presOf" srcId="{85C4D795-466E-4755-A8A0-21332BD7D3BE}" destId="{E6D1E1A4-484C-4F89-A875-E5D8B121DE94}" srcOrd="0" destOrd="0" presId="urn:microsoft.com/office/officeart/2005/8/layout/radial4"/>
    <dgm:cxn modelId="{B0690B94-D579-4FA7-B2DF-2ED3C4D00AA8}" type="presOf" srcId="{B11EAFD8-8919-414B-A8FE-51838CED7617}" destId="{D81720E0-522E-4B36-9191-75019C4F23F9}" srcOrd="0" destOrd="0" presId="urn:microsoft.com/office/officeart/2005/8/layout/radial4"/>
    <dgm:cxn modelId="{2A9427A7-B25F-4E8D-AEDF-212736D49499}" type="presOf" srcId="{C9BE9FF0-F65E-4F07-82B3-27B5757BC1EC}" destId="{C5C365E1-519E-4150-A198-EE320C3165C4}" srcOrd="0" destOrd="0" presId="urn:microsoft.com/office/officeart/2005/8/layout/radial4"/>
    <dgm:cxn modelId="{0EDB38AF-7027-4434-8063-3AB28CA833E7}" srcId="{E1FC0EAF-51F7-4AE1-89A3-EE83053A9ED5}" destId="{B11EAFD8-8919-414B-A8FE-51838CED7617}" srcOrd="0" destOrd="0" parTransId="{EE7C4E94-8744-4833-B4DF-4DCD4044EE3F}" sibTransId="{EAFC79BC-4F9D-4B17-B485-B7859DC55004}"/>
    <dgm:cxn modelId="{827648D6-3098-4F52-A287-7E3990495835}" type="presOf" srcId="{36571A95-1428-4F87-A080-E85BB934E064}" destId="{7D0F8692-2982-4F44-9F06-791AD7378EDF}" srcOrd="0" destOrd="0" presId="urn:microsoft.com/office/officeart/2005/8/layout/radial4"/>
    <dgm:cxn modelId="{E6B664DE-6B95-4120-819A-098ED3991583}" type="presOf" srcId="{EE7C4E94-8744-4833-B4DF-4DCD4044EE3F}" destId="{83A6869A-25DC-4B14-A5FB-A0B037E02E1C}" srcOrd="0" destOrd="0" presId="urn:microsoft.com/office/officeart/2005/8/layout/radial4"/>
    <dgm:cxn modelId="{8E3B8ABA-A8CC-4690-94EA-10A2BA9247D5}" type="presParOf" srcId="{3467E4B9-FDA4-4E1A-A0F8-381F486334FC}" destId="{49E8397E-1169-482E-9D22-2F0B761346E3}" srcOrd="0" destOrd="0" presId="urn:microsoft.com/office/officeart/2005/8/layout/radial4"/>
    <dgm:cxn modelId="{7155F0D6-9164-499A-98BC-8901AE5BA57E}" type="presParOf" srcId="{3467E4B9-FDA4-4E1A-A0F8-381F486334FC}" destId="{83A6869A-25DC-4B14-A5FB-A0B037E02E1C}" srcOrd="1" destOrd="0" presId="urn:microsoft.com/office/officeart/2005/8/layout/radial4"/>
    <dgm:cxn modelId="{13575B11-E1A3-456D-B3F2-0F1E98759E17}" type="presParOf" srcId="{3467E4B9-FDA4-4E1A-A0F8-381F486334FC}" destId="{D81720E0-522E-4B36-9191-75019C4F23F9}" srcOrd="2" destOrd="0" presId="urn:microsoft.com/office/officeart/2005/8/layout/radial4"/>
    <dgm:cxn modelId="{D0C816FD-0DAF-41C7-8A46-1A5C79C91341}" type="presParOf" srcId="{3467E4B9-FDA4-4E1A-A0F8-381F486334FC}" destId="{E6D1E1A4-484C-4F89-A875-E5D8B121DE94}" srcOrd="3" destOrd="0" presId="urn:microsoft.com/office/officeart/2005/8/layout/radial4"/>
    <dgm:cxn modelId="{B67984ED-22A6-473D-BAEB-DD177579DA0F}" type="presParOf" srcId="{3467E4B9-FDA4-4E1A-A0F8-381F486334FC}" destId="{E38498E2-A92D-4A63-8365-EC97F7E70206}" srcOrd="4" destOrd="0" presId="urn:microsoft.com/office/officeart/2005/8/layout/radial4"/>
    <dgm:cxn modelId="{95A0CD6C-0997-4BCD-9170-AA31E32FAEDD}" type="presParOf" srcId="{3467E4B9-FDA4-4E1A-A0F8-381F486334FC}" destId="{7D0F8692-2982-4F44-9F06-791AD7378EDF}" srcOrd="5" destOrd="0" presId="urn:microsoft.com/office/officeart/2005/8/layout/radial4"/>
    <dgm:cxn modelId="{B9E07798-A5AF-4BA2-9BC6-AD220F2A26D9}" type="presParOf" srcId="{3467E4B9-FDA4-4E1A-A0F8-381F486334FC}" destId="{5CB67E1C-FC59-4F6C-BFD8-83DC8DEA136C}" srcOrd="6" destOrd="0" presId="urn:microsoft.com/office/officeart/2005/8/layout/radial4"/>
    <dgm:cxn modelId="{C42517B3-7F75-4F59-9681-71F5D7DEA97D}" type="presParOf" srcId="{3467E4B9-FDA4-4E1A-A0F8-381F486334FC}" destId="{C5C365E1-519E-4150-A198-EE320C3165C4}" srcOrd="7" destOrd="0" presId="urn:microsoft.com/office/officeart/2005/8/layout/radial4"/>
    <dgm:cxn modelId="{CC34CD8A-E3F2-4E6E-A40C-346B98BC1BEA}" type="presParOf" srcId="{3467E4B9-FDA4-4E1A-A0F8-381F486334FC}" destId="{88D4FE20-E599-4476-8029-6CDE3D28E5C7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E8397E-1169-482E-9D22-2F0B761346E3}">
      <dsp:nvSpPr>
        <dsp:cNvPr id="0" name=""/>
        <dsp:cNvSpPr/>
      </dsp:nvSpPr>
      <dsp:spPr>
        <a:xfrm>
          <a:off x="2423691" y="1381213"/>
          <a:ext cx="1210107" cy="806734"/>
        </a:xfrm>
        <a:prstGeom prst="flowChartMagneticDisk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b="1" kern="1200"/>
            <a:t>Ключові аспекти інклюзивного підходу</a:t>
          </a:r>
          <a:endParaRPr lang="LID4096" sz="900" kern="1200"/>
        </a:p>
      </dsp:txBody>
      <dsp:txXfrm>
        <a:off x="2423691" y="1650124"/>
        <a:ext cx="1210107" cy="403367"/>
      </dsp:txXfrm>
    </dsp:sp>
    <dsp:sp modelId="{83A6869A-25DC-4B14-A5FB-A0B037E02E1C}">
      <dsp:nvSpPr>
        <dsp:cNvPr id="0" name=""/>
        <dsp:cNvSpPr/>
      </dsp:nvSpPr>
      <dsp:spPr>
        <a:xfrm rot="11939602">
          <a:off x="1505549" y="1258952"/>
          <a:ext cx="958902" cy="33274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1720E0-522E-4B36-9191-75019C4F23F9}">
      <dsp:nvSpPr>
        <dsp:cNvPr id="0" name=""/>
        <dsp:cNvSpPr/>
      </dsp:nvSpPr>
      <dsp:spPr>
        <a:xfrm>
          <a:off x="787770" y="876299"/>
          <a:ext cx="1487763" cy="785970"/>
        </a:xfrm>
        <a:prstGeom prst="flowChartDocumen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Розширення доступу до фінансових ресурсів</a:t>
          </a:r>
          <a:endParaRPr lang="LID4096" sz="1200" kern="1200"/>
        </a:p>
      </dsp:txBody>
      <dsp:txXfrm>
        <a:off x="787770" y="876299"/>
        <a:ext cx="1487763" cy="630304"/>
      </dsp:txXfrm>
    </dsp:sp>
    <dsp:sp modelId="{E6D1E1A4-484C-4F89-A875-E5D8B121DE94}">
      <dsp:nvSpPr>
        <dsp:cNvPr id="0" name=""/>
        <dsp:cNvSpPr/>
      </dsp:nvSpPr>
      <dsp:spPr>
        <a:xfrm rot="14035154">
          <a:off x="1779604" y="719326"/>
          <a:ext cx="1188256" cy="33274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8498E2-A92D-4A63-8365-EC97F7E70206}">
      <dsp:nvSpPr>
        <dsp:cNvPr id="0" name=""/>
        <dsp:cNvSpPr/>
      </dsp:nvSpPr>
      <dsp:spPr>
        <a:xfrm>
          <a:off x="1351556" y="46076"/>
          <a:ext cx="1344559" cy="718914"/>
        </a:xfrm>
        <a:prstGeom prst="flowChartDocumen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Гендерна рівність</a:t>
          </a:r>
          <a:endParaRPr lang="LID4096" sz="1200" kern="1200"/>
        </a:p>
      </dsp:txBody>
      <dsp:txXfrm>
        <a:off x="1351556" y="46076"/>
        <a:ext cx="1344559" cy="576529"/>
      </dsp:txXfrm>
    </dsp:sp>
    <dsp:sp modelId="{7D0F8692-2982-4F44-9F06-791AD7378EDF}">
      <dsp:nvSpPr>
        <dsp:cNvPr id="0" name=""/>
        <dsp:cNvSpPr/>
      </dsp:nvSpPr>
      <dsp:spPr>
        <a:xfrm rot="18148472">
          <a:off x="3040168" y="718086"/>
          <a:ext cx="1122909" cy="33274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B67E1C-FC59-4F6C-BFD8-83DC8DEA136C}">
      <dsp:nvSpPr>
        <dsp:cNvPr id="0" name=""/>
        <dsp:cNvSpPr/>
      </dsp:nvSpPr>
      <dsp:spPr>
        <a:xfrm flipH="1">
          <a:off x="3230801" y="47119"/>
          <a:ext cx="1344559" cy="727362"/>
        </a:xfrm>
        <a:prstGeom prst="flowChartDocumen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Екологічна інклюзивність</a:t>
          </a:r>
          <a:endParaRPr lang="LID4096" sz="1200" kern="1200"/>
        </a:p>
      </dsp:txBody>
      <dsp:txXfrm>
        <a:off x="3230801" y="47119"/>
        <a:ext cx="1344559" cy="583304"/>
      </dsp:txXfrm>
    </dsp:sp>
    <dsp:sp modelId="{C5C365E1-519E-4150-A198-EE320C3165C4}">
      <dsp:nvSpPr>
        <dsp:cNvPr id="0" name=""/>
        <dsp:cNvSpPr/>
      </dsp:nvSpPr>
      <dsp:spPr>
        <a:xfrm rot="20522832">
          <a:off x="3601741" y="1282101"/>
          <a:ext cx="928676" cy="33274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D4FE20-E599-4476-8029-6CDE3D28E5C7}">
      <dsp:nvSpPr>
        <dsp:cNvPr id="0" name=""/>
        <dsp:cNvSpPr/>
      </dsp:nvSpPr>
      <dsp:spPr>
        <a:xfrm flipH="1">
          <a:off x="3758321" y="904876"/>
          <a:ext cx="1498977" cy="800948"/>
        </a:xfrm>
        <a:prstGeom prst="flowChartDocumen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/>
            <a:t>Соціальні кооперативи</a:t>
          </a:r>
          <a:endParaRPr lang="LID4096" sz="1200" kern="1200"/>
        </a:p>
      </dsp:txBody>
      <dsp:txXfrm>
        <a:off x="3758321" y="904876"/>
        <a:ext cx="1498977" cy="6423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5015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Валентинович Пилипенко</dc:creator>
  <cp:keywords/>
  <dc:description/>
  <cp:lastModifiedBy>Вячеслав Валентинович Пилипенко</cp:lastModifiedBy>
  <cp:revision>6</cp:revision>
  <dcterms:created xsi:type="dcterms:W3CDTF">2025-04-25T17:17:00Z</dcterms:created>
  <dcterms:modified xsi:type="dcterms:W3CDTF">2025-04-25T17:42:00Z</dcterms:modified>
</cp:coreProperties>
</file>