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9F40" w14:textId="77777777" w:rsidR="004C7EDE" w:rsidRDefault="004C7EDE" w:rsidP="004C7EDE">
      <w:pPr>
        <w:spacing w:after="0" w:line="240" w:lineRule="auto"/>
        <w:ind w:firstLine="720"/>
        <w:jc w:val="right"/>
      </w:pPr>
      <w:r>
        <w:t xml:space="preserve">Пилипенко В.В., </w:t>
      </w:r>
      <w:proofErr w:type="spellStart"/>
      <w:r>
        <w:t>к.е.н</w:t>
      </w:r>
      <w:proofErr w:type="spellEnd"/>
      <w:r>
        <w:t xml:space="preserve">., професор </w:t>
      </w:r>
    </w:p>
    <w:p w14:paraId="781F4D7D" w14:textId="77777777" w:rsidR="004C7EDE" w:rsidRPr="004370AB" w:rsidRDefault="004C7EDE" w:rsidP="004C7EDE">
      <w:pPr>
        <w:spacing w:after="0" w:line="240" w:lineRule="auto"/>
        <w:jc w:val="right"/>
      </w:pPr>
      <w:r w:rsidRPr="004370AB">
        <w:t>Сумський національний аграрний університет, м. Суми</w:t>
      </w:r>
    </w:p>
    <w:p w14:paraId="63EC9C55" w14:textId="77777777" w:rsidR="004C7EDE" w:rsidRPr="00E344CD" w:rsidRDefault="004C7EDE" w:rsidP="004C7EDE">
      <w:pPr>
        <w:spacing w:after="0" w:line="240" w:lineRule="auto"/>
        <w:ind w:firstLine="720"/>
        <w:jc w:val="right"/>
      </w:pPr>
      <w:r w:rsidRPr="00E344CD">
        <w:t>ORCID: 0000-0001-5995-013X</w:t>
      </w:r>
    </w:p>
    <w:p w14:paraId="007B183D" w14:textId="7EFEE3CB" w:rsidR="004C7EDE" w:rsidRDefault="004C7EDE" w:rsidP="004C7EDE">
      <w:pPr>
        <w:spacing w:after="0" w:line="240" w:lineRule="auto"/>
        <w:ind w:firstLine="720"/>
        <w:jc w:val="right"/>
      </w:pPr>
      <w:r>
        <w:t xml:space="preserve">Пилипенко </w:t>
      </w:r>
      <w:r>
        <w:t>Н</w:t>
      </w:r>
      <w:r>
        <w:t>.</w:t>
      </w:r>
      <w:r>
        <w:t>М</w:t>
      </w:r>
      <w:r>
        <w:t xml:space="preserve">., </w:t>
      </w:r>
      <w:proofErr w:type="spellStart"/>
      <w:r>
        <w:t>к.е.н</w:t>
      </w:r>
      <w:proofErr w:type="spellEnd"/>
      <w:r>
        <w:t xml:space="preserve">., </w:t>
      </w:r>
      <w:r>
        <w:t>доцент</w:t>
      </w:r>
      <w:r>
        <w:t xml:space="preserve"> </w:t>
      </w:r>
    </w:p>
    <w:p w14:paraId="0D5D848D" w14:textId="77777777" w:rsidR="004C7EDE" w:rsidRPr="004370AB" w:rsidRDefault="004C7EDE" w:rsidP="004C7EDE">
      <w:pPr>
        <w:spacing w:after="0" w:line="240" w:lineRule="auto"/>
        <w:jc w:val="right"/>
      </w:pPr>
      <w:r w:rsidRPr="004370AB">
        <w:t>Сумський національний аграрний університет, м. Суми</w:t>
      </w:r>
    </w:p>
    <w:p w14:paraId="57B2C507" w14:textId="39C720DD" w:rsidR="004C7EDE" w:rsidRPr="00E344CD" w:rsidRDefault="004C7EDE" w:rsidP="004C7EDE">
      <w:pPr>
        <w:spacing w:after="0" w:line="240" w:lineRule="auto"/>
        <w:ind w:firstLine="720"/>
        <w:jc w:val="right"/>
      </w:pPr>
      <w:r w:rsidRPr="00E344CD">
        <w:t xml:space="preserve">ORCID: </w:t>
      </w:r>
      <w:r w:rsidRPr="00D955D0">
        <w:rPr>
          <w:szCs w:val="28"/>
        </w:rPr>
        <w:t>0000-0002-1064-389X</w:t>
      </w:r>
    </w:p>
    <w:p w14:paraId="367334B4" w14:textId="77777777" w:rsidR="004C7EDE" w:rsidRDefault="004C7EDE" w:rsidP="004C7EDE">
      <w:pPr>
        <w:jc w:val="right"/>
        <w:rPr>
          <w:b/>
          <w:bCs/>
        </w:rPr>
      </w:pPr>
    </w:p>
    <w:p w14:paraId="0C1F2C46" w14:textId="32B92BC4" w:rsidR="00CC0339" w:rsidRPr="00CC0339" w:rsidRDefault="004C7EDE" w:rsidP="00CC0339">
      <w:pPr>
        <w:jc w:val="center"/>
        <w:rPr>
          <w:b/>
          <w:bCs/>
        </w:rPr>
      </w:pPr>
      <w:r>
        <w:rPr>
          <w:b/>
          <w:bCs/>
        </w:rPr>
        <w:t>І</w:t>
      </w:r>
      <w:r w:rsidRPr="00CC0339">
        <w:rPr>
          <w:b/>
          <w:bCs/>
        </w:rPr>
        <w:t xml:space="preserve">НСТРУМЕНТИ </w:t>
      </w:r>
      <w:r>
        <w:rPr>
          <w:b/>
          <w:bCs/>
        </w:rPr>
        <w:t xml:space="preserve">ДЕРЖАВНОЇ ПОЛІТИКИ </w:t>
      </w:r>
      <w:r w:rsidRPr="00CC0339">
        <w:rPr>
          <w:b/>
          <w:bCs/>
        </w:rPr>
        <w:t>РОЗВИТКУ ІНКЛЮЗИВНОГО СІЛЬСЬКОГО ГОСПОДАРСТВА</w:t>
      </w:r>
    </w:p>
    <w:p w14:paraId="45C3E080" w14:textId="61D5393D" w:rsidR="000B37E1" w:rsidRPr="004C7EDE" w:rsidRDefault="00CC0339" w:rsidP="000B37E1">
      <w:pPr>
        <w:spacing w:after="0" w:line="360" w:lineRule="auto"/>
        <w:ind w:firstLine="720"/>
        <w:jc w:val="both"/>
      </w:pPr>
      <w:r w:rsidRPr="004C7EDE">
        <w:t xml:space="preserve">Розвиток інклюзивного сільського господарства має важливе значення для забезпечення справедливого економічного зростання та зменшення бідності в сільській місцевості. Інклюзивне сільське господарство має на меті інтегрувати всі верстви сільського населення, особливо дрібних фермерів, жінок та </w:t>
      </w:r>
      <w:proofErr w:type="spellStart"/>
      <w:r w:rsidRPr="004C7EDE">
        <w:t>маргіналізовані</w:t>
      </w:r>
      <w:proofErr w:type="spellEnd"/>
      <w:r w:rsidRPr="004C7EDE">
        <w:t xml:space="preserve"> групи, у сільськогосподарський ланцюжок доданої вартості</w:t>
      </w:r>
      <w:r w:rsidR="000B37E1" w:rsidRPr="004C7EDE">
        <w:t xml:space="preserve"> [1]</w:t>
      </w:r>
      <w:r w:rsidRPr="004C7EDE">
        <w:t xml:space="preserve">. </w:t>
      </w:r>
      <w:r w:rsidR="004C7EDE" w:rsidRPr="004C7EDE">
        <w:t>Малі фермери</w:t>
      </w:r>
      <w:r w:rsidR="000B37E1" w:rsidRPr="004C7EDE">
        <w:t xml:space="preserve"> сприяють справедливості, створюючи робочі місця і забезпечуючи дохід у сільській місцевості. </w:t>
      </w:r>
      <w:r w:rsidR="004C7EDE">
        <w:t>Вон</w:t>
      </w:r>
      <w:r w:rsidR="000B37E1" w:rsidRPr="004C7EDE">
        <w:t>и також витрачають більше на місцеві товари та послуги, що сприяє розвитку сільської економіки. Крім того, відіграють важливу роль у забезпеченні продовольчої безпеки та поліпшенні довкілля</w:t>
      </w:r>
      <w:r w:rsidR="004C7EDE">
        <w:t>, а</w:t>
      </w:r>
      <w:r w:rsidR="000B37E1" w:rsidRPr="004C7EDE">
        <w:t xml:space="preserve"> також зберігають культурно-історичну спадщину</w:t>
      </w:r>
      <w:r w:rsidR="000B37E1" w:rsidRPr="004C7EDE">
        <w:rPr>
          <w:sz w:val="21"/>
          <w:szCs w:val="21"/>
        </w:rPr>
        <w:t xml:space="preserve"> </w:t>
      </w:r>
      <w:r w:rsidR="000B37E1" w:rsidRPr="004C7EDE">
        <w:rPr>
          <w:szCs w:val="28"/>
        </w:rPr>
        <w:t>[</w:t>
      </w:r>
      <w:r w:rsidR="004C7EDE" w:rsidRPr="004C7EDE">
        <w:rPr>
          <w:szCs w:val="28"/>
        </w:rPr>
        <w:t>2</w:t>
      </w:r>
      <w:r w:rsidR="000B37E1" w:rsidRPr="004C7EDE">
        <w:rPr>
          <w:szCs w:val="28"/>
        </w:rPr>
        <w:t>].</w:t>
      </w:r>
    </w:p>
    <w:p w14:paraId="236C4035" w14:textId="73013DA7" w:rsidR="00D320DD" w:rsidRPr="004C7EDE" w:rsidRDefault="00C6252B" w:rsidP="00D320DD">
      <w:pPr>
        <w:spacing w:after="0" w:line="360" w:lineRule="auto"/>
        <w:ind w:firstLine="720"/>
        <w:jc w:val="both"/>
      </w:pPr>
      <w:r w:rsidRPr="004C7EDE">
        <w:t xml:space="preserve">Інклюзивне сільське господарство </w:t>
      </w:r>
      <w:r w:rsidR="00CC0339" w:rsidRPr="004C7EDE">
        <w:t>не лише підвищує продуктивність, але й забезпечує широкий розподіл виг</w:t>
      </w:r>
      <w:r w:rsidR="00C25CA0">
        <w:t>і</w:t>
      </w:r>
      <w:r w:rsidR="00CC0339" w:rsidRPr="004C7EDE">
        <w:t xml:space="preserve">д від сільськогосподарського зростання. </w:t>
      </w:r>
      <w:r w:rsidR="00D320DD" w:rsidRPr="004C7EDE">
        <w:t xml:space="preserve">Ефективні інструменти мають вирішальне значення для досягнення цих цілей. </w:t>
      </w:r>
    </w:p>
    <w:p w14:paraId="22F238E5" w14:textId="70968BB0" w:rsidR="00CC0339" w:rsidRPr="004C7EDE" w:rsidRDefault="00772009" w:rsidP="00740FCE">
      <w:pPr>
        <w:spacing w:after="0" w:line="360" w:lineRule="auto"/>
        <w:ind w:firstLine="720"/>
        <w:jc w:val="both"/>
      </w:pPr>
      <w:r w:rsidRPr="004C7EDE">
        <w:t>Р</w:t>
      </w:r>
      <w:r w:rsidR="00CC0339" w:rsidRPr="004C7EDE">
        <w:t>озвитку</w:t>
      </w:r>
      <w:r w:rsidRPr="004C7EDE">
        <w:t xml:space="preserve"> </w:t>
      </w:r>
      <w:r w:rsidR="00CC0339" w:rsidRPr="004C7EDE">
        <w:t>інклюзивного сільського господарства</w:t>
      </w:r>
      <w:r w:rsidRPr="004C7EDE">
        <w:t xml:space="preserve"> </w:t>
      </w:r>
      <w:r w:rsidRPr="004C7EDE">
        <w:t>можуть сприяти</w:t>
      </w:r>
      <w:r w:rsidRPr="004C7EDE">
        <w:t xml:space="preserve"> р</w:t>
      </w:r>
      <w:r w:rsidRPr="004C7EDE">
        <w:t>ізні інструменти</w:t>
      </w:r>
      <w:r w:rsidR="00CC0339" w:rsidRPr="004C7EDE">
        <w:t>, такі як земельні реформи, доступ до фінансування, розвиток інфраструктури, освіта та навчання, доступ до ринків та соціальний захист.</w:t>
      </w:r>
    </w:p>
    <w:p w14:paraId="3E23B8D1" w14:textId="7B19D7B1" w:rsidR="00CC0339" w:rsidRPr="004C7EDE" w:rsidRDefault="00CC0339" w:rsidP="00740FCE">
      <w:pPr>
        <w:spacing w:after="0" w:line="360" w:lineRule="auto"/>
        <w:ind w:firstLine="720"/>
        <w:jc w:val="both"/>
      </w:pPr>
      <w:r w:rsidRPr="004C7EDE">
        <w:t xml:space="preserve">Так як земля є основним активом у сільському господарстві, а надійне землеволодіння має вирішальне значення для розвитку сільського господарства, </w:t>
      </w:r>
      <w:r w:rsidR="004C7EDE">
        <w:t>з</w:t>
      </w:r>
      <w:r w:rsidRPr="004C7EDE">
        <w:t>емельна політика має бути спрямована на  забезпечення юридичного визнання та захисту прав на землю з метою запобігання позбавленню власності та заохочення довгострокових інвестицій; розвиток гнучкого та оперативного ринку прав на землю, що дозволить фермерам здавати в оренду, продавати або передавати землю без бюрократичних перешкод.</w:t>
      </w:r>
    </w:p>
    <w:p w14:paraId="14726ED9" w14:textId="6DAFF290" w:rsidR="00CC0339" w:rsidRPr="004C7EDE" w:rsidRDefault="00CC0339" w:rsidP="00740FCE">
      <w:pPr>
        <w:spacing w:after="0" w:line="360" w:lineRule="auto"/>
        <w:ind w:firstLine="720"/>
        <w:jc w:val="both"/>
      </w:pPr>
      <w:r w:rsidRPr="004C7EDE">
        <w:lastRenderedPageBreak/>
        <w:t xml:space="preserve">Доступ до фінансування є життєво важливим для того, щоб фермери могли інвестувати в технології та практики, що підвищують продуктивність. Інструменти політики повинні включати схеми </w:t>
      </w:r>
      <w:proofErr w:type="spellStart"/>
      <w:r w:rsidRPr="004C7EDE">
        <w:t>мікрофінансування</w:t>
      </w:r>
      <w:proofErr w:type="spellEnd"/>
      <w:r w:rsidRPr="004C7EDE">
        <w:t xml:space="preserve"> та кредитування, які пропонують доступні кредити дрібним фермерам; субсидії та гранти на придбання засобів виробництва, таких як насіння, добрива та обладнання; </w:t>
      </w:r>
      <w:r w:rsidR="004C7EDE" w:rsidRPr="004C7EDE">
        <w:t>програми</w:t>
      </w:r>
      <w:r w:rsidRPr="004C7EDE">
        <w:t xml:space="preserve"> страхування для захисту фермерів.</w:t>
      </w:r>
    </w:p>
    <w:p w14:paraId="5CC3B295" w14:textId="27AAD313" w:rsidR="00CC0339" w:rsidRPr="004C7EDE" w:rsidRDefault="00CC0339" w:rsidP="00740FCE">
      <w:pPr>
        <w:spacing w:after="0" w:line="360" w:lineRule="auto"/>
        <w:ind w:firstLine="720"/>
        <w:jc w:val="both"/>
      </w:pPr>
      <w:r w:rsidRPr="004C7EDE">
        <w:t xml:space="preserve">Розвиток інфраструктури є ключовим фактором зростання сільського господарства. </w:t>
      </w:r>
      <w:r w:rsidR="00C25CA0">
        <w:t>Основн</w:t>
      </w:r>
      <w:r w:rsidRPr="004C7EDE">
        <w:t xml:space="preserve">і напрямки політики мають включати будівництво та утримання сільських доріг, мостів та транспортних об'єктів для покращення сполучення між фермерськими господарствами та ринками; </w:t>
      </w:r>
      <w:r w:rsidR="00740FCE" w:rsidRPr="004C7EDE">
        <w:t>с</w:t>
      </w:r>
      <w:r w:rsidRPr="004C7EDE">
        <w:t>творення потужностей для зберігання, переробки та доданої вартості для зменшення післязбиральних втрат та збільшення доходів фермерів.</w:t>
      </w:r>
    </w:p>
    <w:p w14:paraId="47C974A1" w14:textId="55E2A1BE" w:rsidR="00CC0339" w:rsidRPr="004C7EDE" w:rsidRDefault="00740FCE" w:rsidP="00740FCE">
      <w:pPr>
        <w:spacing w:after="0" w:line="360" w:lineRule="auto"/>
        <w:ind w:firstLine="720"/>
        <w:jc w:val="both"/>
      </w:pPr>
      <w:r w:rsidRPr="004C7EDE">
        <w:t>Також важливе значення для розбудови спроможності фермерів впроваджувати нові технології та практики мають о</w:t>
      </w:r>
      <w:r w:rsidR="00CC0339" w:rsidRPr="004C7EDE">
        <w:t xml:space="preserve">світа та навчання. </w:t>
      </w:r>
      <w:r w:rsidRPr="004C7EDE">
        <w:t>І</w:t>
      </w:r>
      <w:r w:rsidR="00CC0339" w:rsidRPr="004C7EDE">
        <w:t>нструменти повинні бути спрямовані на</w:t>
      </w:r>
      <w:r w:rsidRPr="004C7EDE">
        <w:t xml:space="preserve"> з</w:t>
      </w:r>
      <w:r w:rsidR="00CC0339" w:rsidRPr="004C7EDE">
        <w:t>міцнення сільськогосподарських дорадчих служб для надання фермерам найновішої інформації та технічної підтримки</w:t>
      </w:r>
      <w:r w:rsidRPr="004C7EDE">
        <w:t>; п</w:t>
      </w:r>
      <w:r w:rsidR="00CC0339" w:rsidRPr="004C7EDE">
        <w:t>ропонування програм професійного навчання, які надають фермерам навички сучасних технологій ведення сільського господарства, управління бізнесом та підприємництва.</w:t>
      </w:r>
      <w:r w:rsidRPr="004C7EDE">
        <w:t xml:space="preserve"> </w:t>
      </w:r>
      <w:r w:rsidR="00CC0339" w:rsidRPr="004C7EDE">
        <w:t>Інвестування в сільськогосподарські дослідження та розробки з метою створення інновацій, доступних та вигідних для малих фермерів.</w:t>
      </w:r>
    </w:p>
    <w:p w14:paraId="25B72593" w14:textId="3CE0F38B" w:rsidR="00CC0339" w:rsidRPr="004C7EDE" w:rsidRDefault="00740FCE" w:rsidP="00740FCE">
      <w:pPr>
        <w:spacing w:after="0" w:line="360" w:lineRule="auto"/>
        <w:ind w:firstLine="720"/>
        <w:jc w:val="both"/>
      </w:pPr>
      <w:r w:rsidRPr="004C7EDE">
        <w:t>Для малих фермерів має вирішальне значення п</w:t>
      </w:r>
      <w:r w:rsidR="00CC0339" w:rsidRPr="004C7EDE">
        <w:t>окращення доступу до ринку</w:t>
      </w:r>
      <w:r w:rsidRPr="004C7EDE">
        <w:t xml:space="preserve">, що дасть змогу </w:t>
      </w:r>
      <w:r w:rsidR="00CC0339" w:rsidRPr="004C7EDE">
        <w:t xml:space="preserve"> продавати продукцію за справедливими цінами та отримувати вигоду від </w:t>
      </w:r>
      <w:r w:rsidRPr="004C7EDE">
        <w:t>бізнесу</w:t>
      </w:r>
      <w:r w:rsidR="00CC0339" w:rsidRPr="004C7EDE">
        <w:t xml:space="preserve">. </w:t>
      </w:r>
      <w:r w:rsidRPr="004C7EDE">
        <w:t>З</w:t>
      </w:r>
      <w:r w:rsidR="00CC0339" w:rsidRPr="004C7EDE">
        <w:t>аходи повинні включати</w:t>
      </w:r>
      <w:r w:rsidRPr="004C7EDE">
        <w:t xml:space="preserve"> р</w:t>
      </w:r>
      <w:r w:rsidR="00CC0339" w:rsidRPr="004C7EDE">
        <w:t>озвиток систем, які надають фермерам ринкову інформацію в режимі реального часу, допомагаючи їм приймати обґрунтовані рішення</w:t>
      </w:r>
      <w:r w:rsidRPr="004C7EDE">
        <w:t>; с</w:t>
      </w:r>
      <w:r w:rsidR="00CC0339" w:rsidRPr="004C7EDE">
        <w:t>прияння створенню кооперативів та фермерських груп для посилення колективної переговорної сили та зменшення маркетингових витрат</w:t>
      </w:r>
      <w:r w:rsidRPr="004C7EDE">
        <w:t>; в</w:t>
      </w:r>
      <w:r w:rsidR="00CC0339" w:rsidRPr="004C7EDE">
        <w:t>провадження правил, які забезпечують чесну торгівлю та захищають фермерів від експлуатації з боку посередників.</w:t>
      </w:r>
    </w:p>
    <w:p w14:paraId="4FF8E6E5" w14:textId="10310595" w:rsidR="00CC0339" w:rsidRPr="004C7EDE" w:rsidRDefault="00CC0339" w:rsidP="00740FCE">
      <w:pPr>
        <w:spacing w:after="0" w:line="360" w:lineRule="auto"/>
        <w:ind w:firstLine="720"/>
        <w:jc w:val="both"/>
      </w:pPr>
      <w:r w:rsidRPr="004C7EDE">
        <w:lastRenderedPageBreak/>
        <w:t xml:space="preserve">Заходи соціального захисту </w:t>
      </w:r>
      <w:r w:rsidR="00740FCE" w:rsidRPr="004C7EDE">
        <w:t xml:space="preserve">також </w:t>
      </w:r>
      <w:r w:rsidRPr="004C7EDE">
        <w:t xml:space="preserve">є важливими для збереження засобів до існування вразливих верств сільського населення та забезпечення їх участі у розвитку сільського господарства. Ключові інструменти політики </w:t>
      </w:r>
      <w:r w:rsidR="00740FCE" w:rsidRPr="004C7EDE">
        <w:t>мають включати н</w:t>
      </w:r>
      <w:r w:rsidRPr="004C7EDE">
        <w:t>адання субсидій для підтримки доходів бідних фермерів</w:t>
      </w:r>
      <w:r w:rsidR="00740FCE" w:rsidRPr="004C7EDE">
        <w:t>; з</w:t>
      </w:r>
      <w:r w:rsidRPr="004C7EDE">
        <w:t xml:space="preserve">абезпечення доступу до послуг охорони здоров'я та освіти для сільських громад з метою підвищення їхнього добробуту </w:t>
      </w:r>
      <w:r w:rsidR="00772009" w:rsidRPr="004C7EDE">
        <w:t>[1]</w:t>
      </w:r>
      <w:r w:rsidRPr="004C7EDE">
        <w:t>.</w:t>
      </w:r>
    </w:p>
    <w:p w14:paraId="3EF5F160" w14:textId="60D5222A" w:rsidR="002B112F" w:rsidRPr="004C7EDE" w:rsidRDefault="002B112F" w:rsidP="00740FCE">
      <w:pPr>
        <w:spacing w:after="0" w:line="360" w:lineRule="auto"/>
        <w:ind w:firstLine="720"/>
        <w:jc w:val="both"/>
      </w:pPr>
      <w:r w:rsidRPr="004C7EDE">
        <w:t>Інклюзивне сільське господарство має на меті врахувати потреби різних груп населення, включно з малозабезпеченими, малими фермерами та меншинами. Впровадження політик, що сприяють залученню цих груп у легальну економічну діяльність, може зменшити рівень тіньової економіки</w:t>
      </w:r>
      <w:r w:rsidR="00472BC8" w:rsidRPr="004C7EDE">
        <w:t>.</w:t>
      </w:r>
      <w:r w:rsidR="00FE4C5F" w:rsidRPr="004C7EDE">
        <w:t xml:space="preserve"> Інструменти політики, спрямовані на підтримку і розвиток сільського господарства, можуть включати зниження податкового навантаження для малих виробників, спрощення бюрократичних процедур і надання фінансових стимулів. Ці заходи можуть мотивувати фермерів вести свій бізнес у легальному полі і таким чином сприяти детінізації економіки</w:t>
      </w:r>
      <w:r w:rsidR="00086810" w:rsidRPr="004C7EDE">
        <w:t xml:space="preserve"> [</w:t>
      </w:r>
      <w:r w:rsidR="004C7EDE" w:rsidRPr="004C7EDE">
        <w:t>3</w:t>
      </w:r>
      <w:r w:rsidR="00086810" w:rsidRPr="004C7EDE">
        <w:t>]</w:t>
      </w:r>
      <w:r w:rsidR="00FE4C5F" w:rsidRPr="004C7EDE">
        <w:t>.</w:t>
      </w:r>
    </w:p>
    <w:p w14:paraId="21AF8FEE" w14:textId="43A29F91" w:rsidR="000C2749" w:rsidRPr="004C7EDE" w:rsidRDefault="00CC0339" w:rsidP="00740FCE">
      <w:pPr>
        <w:spacing w:after="0" w:line="360" w:lineRule="auto"/>
        <w:ind w:firstLine="720"/>
        <w:jc w:val="both"/>
      </w:pPr>
      <w:r w:rsidRPr="004C7EDE">
        <w:t xml:space="preserve">Розвиток інклюзивного сільського господарства вимагає багатогранного підходу, який би враховував різноманітні потреби дрібних фермерів та </w:t>
      </w:r>
      <w:proofErr w:type="spellStart"/>
      <w:r w:rsidRPr="004C7EDE">
        <w:t>маргіналізованих</w:t>
      </w:r>
      <w:proofErr w:type="spellEnd"/>
      <w:r w:rsidRPr="004C7EDE">
        <w:t xml:space="preserve"> груп. Ефективні політичні інструменти у сфері земельних реформ, доступу до фінансування, розвитку інфраструктури, освіти та навчання, доступу до ринків та соціального захисту є важливими для досягнення цієї мети. Впроваджуючи таку політику, уряди можуть створити сприятливе середовище, яке сприятиме сталому зростанню сільського господарства, зменшенню бідності в сільській місцевості та забезпеченню широкого розподілу </w:t>
      </w:r>
      <w:proofErr w:type="spellStart"/>
      <w:r w:rsidRPr="004C7EDE">
        <w:t>вигод</w:t>
      </w:r>
      <w:proofErr w:type="spellEnd"/>
      <w:r w:rsidRPr="004C7EDE">
        <w:t xml:space="preserve"> від розвитку.</w:t>
      </w:r>
    </w:p>
    <w:p w14:paraId="45EEAB64" w14:textId="586766C6" w:rsidR="00D320DD" w:rsidRPr="004C7EDE" w:rsidRDefault="00DD7A7D" w:rsidP="004C7ED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EDE">
        <w:rPr>
          <w:b/>
          <w:bCs/>
          <w:sz w:val="24"/>
          <w:szCs w:val="24"/>
        </w:rPr>
        <w:t>Література</w:t>
      </w:r>
    </w:p>
    <w:p w14:paraId="0D594906" w14:textId="4DB395B3" w:rsidR="00DD7A7D" w:rsidRPr="004C7EDE" w:rsidRDefault="00B06104" w:rsidP="004C7ED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  <w:lang w:val="ru-RU"/>
        </w:rPr>
      </w:pPr>
      <w:r w:rsidRPr="004C7EDE">
        <w:rPr>
          <w:sz w:val="24"/>
          <w:szCs w:val="24"/>
        </w:rPr>
        <w:t xml:space="preserve">Інклюзивний сільський розвиток в Україні: монографія / за ред. д-ра </w:t>
      </w:r>
      <w:proofErr w:type="spellStart"/>
      <w:r w:rsidRPr="004C7EDE">
        <w:rPr>
          <w:sz w:val="24"/>
          <w:szCs w:val="24"/>
        </w:rPr>
        <w:t>екон</w:t>
      </w:r>
      <w:proofErr w:type="spellEnd"/>
      <w:r w:rsidRPr="004C7EDE">
        <w:rPr>
          <w:sz w:val="24"/>
          <w:szCs w:val="24"/>
        </w:rPr>
        <w:t xml:space="preserve">. наук, проф., </w:t>
      </w:r>
      <w:proofErr w:type="spellStart"/>
      <w:r w:rsidRPr="004C7EDE">
        <w:rPr>
          <w:sz w:val="24"/>
          <w:szCs w:val="24"/>
        </w:rPr>
        <w:t>чл</w:t>
      </w:r>
      <w:proofErr w:type="spellEnd"/>
      <w:r w:rsidRPr="004C7EDE">
        <w:rPr>
          <w:sz w:val="24"/>
          <w:szCs w:val="24"/>
        </w:rPr>
        <w:t>.-</w:t>
      </w:r>
      <w:proofErr w:type="spellStart"/>
      <w:r w:rsidRPr="004C7EDE">
        <w:rPr>
          <w:sz w:val="24"/>
          <w:szCs w:val="24"/>
        </w:rPr>
        <w:t>кор</w:t>
      </w:r>
      <w:proofErr w:type="spellEnd"/>
      <w:r w:rsidRPr="004C7EDE">
        <w:rPr>
          <w:sz w:val="24"/>
          <w:szCs w:val="24"/>
        </w:rPr>
        <w:t xml:space="preserve">. НАН України О.М. </w:t>
      </w:r>
      <w:proofErr w:type="spellStart"/>
      <w:r w:rsidRPr="004C7EDE">
        <w:rPr>
          <w:sz w:val="24"/>
          <w:szCs w:val="24"/>
        </w:rPr>
        <w:t>Бородіної</w:t>
      </w:r>
      <w:proofErr w:type="spellEnd"/>
      <w:r w:rsidRPr="004C7EDE">
        <w:rPr>
          <w:sz w:val="24"/>
          <w:szCs w:val="24"/>
        </w:rPr>
        <w:t xml:space="preserve"> ; НАН України, ДУ «Ін-т </w:t>
      </w:r>
      <w:proofErr w:type="spellStart"/>
      <w:r w:rsidRPr="004C7EDE">
        <w:rPr>
          <w:sz w:val="24"/>
          <w:szCs w:val="24"/>
        </w:rPr>
        <w:t>екон</w:t>
      </w:r>
      <w:proofErr w:type="spellEnd"/>
      <w:r w:rsidRPr="004C7EDE">
        <w:rPr>
          <w:sz w:val="24"/>
          <w:szCs w:val="24"/>
        </w:rPr>
        <w:t xml:space="preserve">. та </w:t>
      </w:r>
      <w:proofErr w:type="spellStart"/>
      <w:r w:rsidRPr="004C7EDE">
        <w:rPr>
          <w:sz w:val="24"/>
          <w:szCs w:val="24"/>
        </w:rPr>
        <w:t>прогнозув</w:t>
      </w:r>
      <w:proofErr w:type="spellEnd"/>
      <w:r w:rsidRPr="004C7EDE">
        <w:rPr>
          <w:sz w:val="24"/>
          <w:szCs w:val="24"/>
        </w:rPr>
        <w:t>. НАН України К., 2020.  257 с.</w:t>
      </w:r>
      <w:r w:rsidR="00DD7A7D" w:rsidRPr="004C7EDE">
        <w:rPr>
          <w:sz w:val="24"/>
          <w:szCs w:val="24"/>
          <w:lang w:val="en-US"/>
        </w:rPr>
        <w:t>URL</w:t>
      </w:r>
      <w:r w:rsidRPr="004C7EDE">
        <w:rPr>
          <w:sz w:val="24"/>
          <w:szCs w:val="24"/>
        </w:rPr>
        <w:t xml:space="preserve">: </w:t>
      </w:r>
      <w:hyperlink r:id="rId5" w:history="1">
        <w:r w:rsidR="00DD7A7D" w:rsidRPr="004C7EDE">
          <w:rPr>
            <w:rStyle w:val="a3"/>
            <w:color w:val="auto"/>
            <w:sz w:val="24"/>
            <w:szCs w:val="24"/>
          </w:rPr>
          <w:t>http://ief.org.ua/docs/mg/330.pdf</w:t>
        </w:r>
      </w:hyperlink>
    </w:p>
    <w:p w14:paraId="46CB2D7A" w14:textId="4F1C5798" w:rsidR="00D320DD" w:rsidRPr="004C7EDE" w:rsidRDefault="00144AAB" w:rsidP="004C7ED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proofErr w:type="spellStart"/>
      <w:r w:rsidRPr="004C7EDE">
        <w:rPr>
          <w:sz w:val="24"/>
          <w:szCs w:val="24"/>
        </w:rPr>
        <w:t>Нів'євський</w:t>
      </w:r>
      <w:proofErr w:type="spellEnd"/>
      <w:r w:rsidRPr="004C7EDE">
        <w:rPr>
          <w:sz w:val="24"/>
          <w:szCs w:val="24"/>
        </w:rPr>
        <w:t>, О., Яворський, П., &amp; Донченко, О. (</w:t>
      </w:r>
      <w:proofErr w:type="spellStart"/>
      <w:r w:rsidRPr="004C7EDE">
        <w:rPr>
          <w:sz w:val="24"/>
          <w:szCs w:val="24"/>
        </w:rPr>
        <w:t>n.d</w:t>
      </w:r>
      <w:proofErr w:type="spellEnd"/>
      <w:r w:rsidRPr="004C7EDE">
        <w:rPr>
          <w:sz w:val="24"/>
          <w:szCs w:val="24"/>
        </w:rPr>
        <w:t xml:space="preserve">.). Малі фермери та домогосподарства в сільському господарстві та сільській економіці: Оцінка їх ролі та заходи з підтримки їх сталого розвитку. Київська школа економіки. </w:t>
      </w:r>
      <w:hyperlink r:id="rId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D320DD" w:rsidRPr="004C7EDE">
          <w:rPr>
            <w:rStyle w:val="a3"/>
            <w:color w:val="auto"/>
            <w:sz w:val="24"/>
            <w:szCs w:val="24"/>
          </w:rPr>
          <w:t>https://kse.ua/wp-content/uploads/2021/07/Smallholders-KSE.pdf</w:t>
        </w:r>
      </w:hyperlink>
    </w:p>
    <w:p w14:paraId="7C6FC089" w14:textId="6DBAD0F0" w:rsidR="00086810" w:rsidRPr="004C7EDE" w:rsidRDefault="00086810" w:rsidP="004C7ED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4C7EDE">
        <w:rPr>
          <w:sz w:val="24"/>
          <w:szCs w:val="24"/>
        </w:rPr>
        <w:t xml:space="preserve">Павленко Н. В., </w:t>
      </w:r>
      <w:proofErr w:type="spellStart"/>
      <w:r w:rsidRPr="004C7EDE">
        <w:rPr>
          <w:sz w:val="24"/>
          <w:szCs w:val="24"/>
        </w:rPr>
        <w:t>Виганяйло</w:t>
      </w:r>
      <w:proofErr w:type="spellEnd"/>
      <w:r w:rsidRPr="004C7EDE">
        <w:rPr>
          <w:sz w:val="24"/>
          <w:szCs w:val="24"/>
        </w:rPr>
        <w:t xml:space="preserve"> С. М., Пилипенко Н. М. Детінізація економіки України як чинник економічного зростання. </w:t>
      </w:r>
      <w:proofErr w:type="spellStart"/>
      <w:r w:rsidRPr="004C7EDE">
        <w:rPr>
          <w:sz w:val="24"/>
          <w:szCs w:val="24"/>
        </w:rPr>
        <w:t>Економiка</w:t>
      </w:r>
      <w:proofErr w:type="spellEnd"/>
      <w:r w:rsidRPr="004C7EDE">
        <w:rPr>
          <w:sz w:val="24"/>
          <w:szCs w:val="24"/>
        </w:rPr>
        <w:t xml:space="preserve"> та держава. 2021. №7. С.21-28 http://www.economy.in.ua/?op=1&amp;z=4971&amp;i=3</w:t>
      </w:r>
    </w:p>
    <w:sectPr w:rsidR="00086810" w:rsidRPr="004C7EDE" w:rsidSect="004C7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0EF"/>
    <w:multiLevelType w:val="hybridMultilevel"/>
    <w:tmpl w:val="13A8947C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39"/>
    <w:rsid w:val="00086810"/>
    <w:rsid w:val="000B37E1"/>
    <w:rsid w:val="000C2749"/>
    <w:rsid w:val="00144AAB"/>
    <w:rsid w:val="001A12E8"/>
    <w:rsid w:val="002B112F"/>
    <w:rsid w:val="00300485"/>
    <w:rsid w:val="00472BC8"/>
    <w:rsid w:val="00475E77"/>
    <w:rsid w:val="004C7EDE"/>
    <w:rsid w:val="004F2D92"/>
    <w:rsid w:val="006D187F"/>
    <w:rsid w:val="00740FCE"/>
    <w:rsid w:val="00772009"/>
    <w:rsid w:val="008C5CCD"/>
    <w:rsid w:val="00A53CE2"/>
    <w:rsid w:val="00A8133D"/>
    <w:rsid w:val="00B06104"/>
    <w:rsid w:val="00C25CA0"/>
    <w:rsid w:val="00C6252B"/>
    <w:rsid w:val="00CC0339"/>
    <w:rsid w:val="00D320DD"/>
    <w:rsid w:val="00D64618"/>
    <w:rsid w:val="00DD7A7D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3FF2"/>
  <w15:chartTrackingRefBased/>
  <w15:docId w15:val="{E723C0FA-0FAC-4ED4-BEE9-6767A6C6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DD"/>
    <w:rPr>
      <w:color w:val="1717D0"/>
      <w:u w:val="single"/>
    </w:rPr>
  </w:style>
  <w:style w:type="character" w:styleId="a4">
    <w:name w:val="FollowedHyperlink"/>
    <w:basedOn w:val="a0"/>
    <w:uiPriority w:val="99"/>
    <w:semiHidden/>
    <w:unhideWhenUsed/>
    <w:rsid w:val="00D320DD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7A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D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e.ua/wp-content/uploads/2021/07/Smallholders-KSE.pdf" TargetMode="External"/><Relationship Id="rId5" Type="http://schemas.openxmlformats.org/officeDocument/2006/relationships/hyperlink" Target="http://ief.org.ua/docs/mg/33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2</cp:revision>
  <dcterms:created xsi:type="dcterms:W3CDTF">2024-06-03T21:24:00Z</dcterms:created>
  <dcterms:modified xsi:type="dcterms:W3CDTF">2024-06-03T21:24:00Z</dcterms:modified>
</cp:coreProperties>
</file>