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3A11" w14:textId="6CAEE242" w:rsidR="0045378C" w:rsidRPr="007F3DD4" w:rsidRDefault="0045378C" w:rsidP="007F3DD4">
      <w:pPr>
        <w:spacing w:after="0" w:line="360" w:lineRule="auto"/>
        <w:ind w:firstLine="709"/>
        <w:jc w:val="right"/>
        <w:rPr>
          <w:rFonts w:cs="Times New Roman"/>
          <w:szCs w:val="28"/>
          <w:lang w:val="ru-RU"/>
        </w:rPr>
      </w:pPr>
      <w:r w:rsidRPr="007F3DD4">
        <w:rPr>
          <w:rFonts w:cs="Times New Roman"/>
          <w:szCs w:val="28"/>
          <w:lang w:val="ru-RU"/>
        </w:rPr>
        <w:t>Пилипенко Н.М</w:t>
      </w:r>
      <w:r w:rsidRPr="007F3DD4">
        <w:rPr>
          <w:rFonts w:cs="Times New Roman"/>
          <w:szCs w:val="28"/>
        </w:rPr>
        <w:t xml:space="preserve">., </w:t>
      </w:r>
      <w:proofErr w:type="spellStart"/>
      <w:r w:rsidRPr="007F3DD4">
        <w:rPr>
          <w:rFonts w:cs="Times New Roman"/>
          <w:szCs w:val="28"/>
          <w:lang w:val="ru-RU"/>
        </w:rPr>
        <w:t>к.е.н</w:t>
      </w:r>
      <w:proofErr w:type="spellEnd"/>
      <w:r w:rsidRPr="007F3DD4">
        <w:rPr>
          <w:rFonts w:cs="Times New Roman"/>
          <w:szCs w:val="28"/>
          <w:lang w:val="ru-RU"/>
        </w:rPr>
        <w:t>., доцент</w:t>
      </w:r>
    </w:p>
    <w:p w14:paraId="34537C96" w14:textId="77777777" w:rsidR="0045378C" w:rsidRPr="007F3DD4" w:rsidRDefault="0045378C" w:rsidP="007F3DD4">
      <w:pPr>
        <w:spacing w:after="0" w:line="360" w:lineRule="auto"/>
        <w:ind w:firstLine="709"/>
        <w:jc w:val="right"/>
        <w:rPr>
          <w:rFonts w:cs="Times New Roman"/>
          <w:szCs w:val="28"/>
        </w:rPr>
      </w:pPr>
      <w:r w:rsidRPr="007F3DD4">
        <w:rPr>
          <w:rFonts w:cs="Times New Roman"/>
          <w:szCs w:val="28"/>
        </w:rPr>
        <w:t>Сумський національний аграрний університет, м. Суми</w:t>
      </w:r>
    </w:p>
    <w:p w14:paraId="01DF5B3D" w14:textId="77777777" w:rsidR="0045378C" w:rsidRPr="007F3DD4" w:rsidRDefault="0045378C" w:rsidP="007F3DD4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</w:p>
    <w:p w14:paraId="2017328E" w14:textId="4D96FDBE" w:rsidR="000C2749" w:rsidRPr="007F3DD4" w:rsidRDefault="00291BC9" w:rsidP="007F3DD4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  <w:lang w:val="uk-UA"/>
        </w:rPr>
      </w:pPr>
      <w:r w:rsidRPr="007F3DD4">
        <w:rPr>
          <w:rFonts w:cs="Times New Roman"/>
          <w:b/>
          <w:bCs/>
          <w:szCs w:val="28"/>
          <w:lang w:val="uk-UA"/>
        </w:rPr>
        <w:t>РОЛЬ СОЦІАЛЬНОГО КАПІТАЛУ В СТАЛОМУ РОЗВИТКУ СІЛЬСЬКИХ ТЕРИТОРІЙ</w:t>
      </w:r>
    </w:p>
    <w:p w14:paraId="47397E5F" w14:textId="77777777" w:rsidR="00BE7078" w:rsidRPr="007F3DD4" w:rsidRDefault="00BE7078" w:rsidP="007F3DD4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</w:p>
    <w:p w14:paraId="1ABB5A6E" w14:textId="7BB78DC1" w:rsidR="00F70154" w:rsidRDefault="00AF3E53" w:rsidP="00F70154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AF3E53">
        <w:rPr>
          <w:rFonts w:cs="Times New Roman"/>
          <w:szCs w:val="28"/>
          <w:lang w:val="uk-UA"/>
        </w:rPr>
        <w:t xml:space="preserve">Українські громади не можуть розвиватися ефективно через відсутність дієвої співпраці між інститутами громадського суспільства та державою на основі встановлених правил, норм та взаємної довіри, а також через недостатній рівень соціального капіталу. </w:t>
      </w:r>
      <w:r w:rsidR="00F70154" w:rsidRPr="007F3DD4">
        <w:rPr>
          <w:rFonts w:cs="Times New Roman"/>
          <w:szCs w:val="28"/>
          <w:lang w:val="uk-UA"/>
        </w:rPr>
        <w:t>Соціальний капітал є важливим чинником у сталому розвитку сільських територій, сприяючи зміцненню соціальних зв'язків і підвищенню суспільного благополуччя. Посилення соціального капіталу на сільських територіях сприяє поліпшенню якості життя мешканців, підвищенню доступності соціальних послуг та сприянню розвитку економіки регіону.</w:t>
      </w:r>
      <w:r w:rsidR="00F70154" w:rsidRPr="00F667B5">
        <w:rPr>
          <w:rFonts w:cs="Times New Roman"/>
          <w:szCs w:val="28"/>
          <w:lang w:val="uk-UA"/>
        </w:rPr>
        <w:t xml:space="preserve"> </w:t>
      </w:r>
      <w:r w:rsidR="00F70154" w:rsidRPr="007F3DD4">
        <w:rPr>
          <w:rFonts w:cs="Times New Roman"/>
          <w:szCs w:val="28"/>
          <w:lang w:val="uk-UA"/>
        </w:rPr>
        <w:t>Розвиток соціального капіталу на сільських територіях може сприяти сталому розвитку регіону в цілому. Зміцнення соціальних зв'язків і підвищення рівня довіри між жителями може знизити соціальну напруженість і підвищити стабільність регіону. Крім того, підвищення рівня соціального капіталу може сприяти розвитку малого та середнього бізнесу на сільських територіях, поліпшенню якості життя населення та підвищенню рівня економічного розвитку регіону [</w:t>
      </w:r>
      <w:r w:rsidR="005D04BD">
        <w:rPr>
          <w:rFonts w:cs="Times New Roman"/>
          <w:szCs w:val="28"/>
          <w:lang w:val="uk-UA"/>
        </w:rPr>
        <w:t>1;2</w:t>
      </w:r>
      <w:r w:rsidR="00F70154" w:rsidRPr="007F3DD4">
        <w:rPr>
          <w:rFonts w:cs="Times New Roman"/>
          <w:szCs w:val="28"/>
          <w:lang w:val="uk-UA"/>
        </w:rPr>
        <w:t>].</w:t>
      </w:r>
      <w:r w:rsidR="005D04BD">
        <w:rPr>
          <w:rFonts w:cs="Times New Roman"/>
          <w:szCs w:val="28"/>
          <w:lang w:val="uk-UA"/>
        </w:rPr>
        <w:t xml:space="preserve"> </w:t>
      </w:r>
    </w:p>
    <w:p w14:paraId="3A733786" w14:textId="19DED4E1" w:rsidR="00F667B5" w:rsidRDefault="00DF686D" w:rsidP="00F667B5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7F3DD4">
        <w:rPr>
          <w:rFonts w:cs="Times New Roman"/>
          <w:szCs w:val="28"/>
          <w:lang w:val="uk-UA"/>
        </w:rPr>
        <w:t xml:space="preserve">Соціальний капітал – це сукупність взаємозв'язків і взаємодій між людьми в рамках спільноти, зокрема довіра, спільність цінностей, норм і правил поведінки. </w:t>
      </w:r>
      <w:r w:rsidR="00F667B5" w:rsidRPr="007F3DD4">
        <w:rPr>
          <w:rFonts w:cs="Times New Roman"/>
          <w:szCs w:val="28"/>
          <w:lang w:val="uk-UA"/>
        </w:rPr>
        <w:t>Світовий банк визначає соціальний капітал як сукупність норм, цінностей і суспільних відносин, що сприяють координації та взаємодії людей у межах суспільства, а також створенню та підтримці соціальних мереж і громадських організацій. Світовий банк рекомендує враховувати соціальний капітал під час розроблення та реалізації політики в галузі розвитку та реформування суспільства [</w:t>
      </w:r>
      <w:r w:rsidR="00572825">
        <w:rPr>
          <w:rFonts w:cs="Times New Roman"/>
          <w:szCs w:val="28"/>
          <w:lang w:val="uk-UA"/>
        </w:rPr>
        <w:t>3</w:t>
      </w:r>
      <w:r w:rsidR="00726469">
        <w:rPr>
          <w:rFonts w:cs="Times New Roman"/>
          <w:szCs w:val="28"/>
          <w:lang w:val="uk-UA"/>
        </w:rPr>
        <w:t>]</w:t>
      </w:r>
      <w:r w:rsidR="00F667B5" w:rsidRPr="007F3DD4">
        <w:rPr>
          <w:rFonts w:cs="Times New Roman"/>
          <w:szCs w:val="28"/>
          <w:lang w:val="uk-UA"/>
        </w:rPr>
        <w:t>.</w:t>
      </w:r>
      <w:r w:rsidR="00572825">
        <w:rPr>
          <w:rFonts w:cs="Times New Roman"/>
          <w:szCs w:val="28"/>
          <w:lang w:val="uk-UA"/>
        </w:rPr>
        <w:t xml:space="preserve"> </w:t>
      </w:r>
    </w:p>
    <w:p w14:paraId="6955C082" w14:textId="0D9ED5DA" w:rsidR="00572825" w:rsidRPr="00F452B3" w:rsidRDefault="00572825" w:rsidP="00572825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F452B3">
        <w:rPr>
          <w:rFonts w:cs="Times New Roman"/>
          <w:szCs w:val="28"/>
          <w:lang w:val="uk-UA"/>
        </w:rPr>
        <w:lastRenderedPageBreak/>
        <w:t xml:space="preserve">Соціальний капітал </w:t>
      </w:r>
      <w:r>
        <w:rPr>
          <w:rFonts w:cs="Times New Roman"/>
          <w:szCs w:val="28"/>
          <w:lang w:val="uk-UA"/>
        </w:rPr>
        <w:t xml:space="preserve">також </w:t>
      </w:r>
      <w:r w:rsidRPr="00F452B3">
        <w:rPr>
          <w:rFonts w:cs="Times New Roman"/>
          <w:szCs w:val="28"/>
          <w:lang w:val="uk-UA"/>
        </w:rPr>
        <w:t>може стати важливим чинником для розвитку соціального підприємництва</w:t>
      </w:r>
      <w:r>
        <w:rPr>
          <w:rFonts w:cs="Times New Roman"/>
          <w:szCs w:val="28"/>
          <w:lang w:val="uk-UA"/>
        </w:rPr>
        <w:t>:</w:t>
      </w:r>
      <w:r w:rsidRPr="00F452B3">
        <w:rPr>
          <w:rFonts w:cs="Times New Roman"/>
          <w:szCs w:val="28"/>
          <w:lang w:val="uk-UA"/>
        </w:rPr>
        <w:t xml:space="preserve"> допомогти соціальним підприємцям подолати труднощі, пов'язані з доступом до фінансових ресурсів, ринків і партнерів, а також підвищити рівень довіри та лояльності щодо їхнього бізнесу з боку спільноти</w:t>
      </w:r>
      <w:r>
        <w:rPr>
          <w:rFonts w:cs="Times New Roman"/>
          <w:szCs w:val="28"/>
          <w:lang w:val="uk-UA"/>
        </w:rPr>
        <w:t xml:space="preserve"> [</w:t>
      </w:r>
      <w:r>
        <w:rPr>
          <w:rFonts w:cs="Times New Roman"/>
          <w:szCs w:val="28"/>
          <w:lang w:val="uk-UA"/>
        </w:rPr>
        <w:t>4</w:t>
      </w:r>
      <w:r>
        <w:rPr>
          <w:rFonts w:cs="Times New Roman"/>
          <w:szCs w:val="28"/>
          <w:lang w:val="uk-UA"/>
        </w:rPr>
        <w:t>]</w:t>
      </w:r>
      <w:r w:rsidRPr="00F452B3">
        <w:rPr>
          <w:rFonts w:cs="Times New Roman"/>
          <w:szCs w:val="28"/>
          <w:lang w:val="uk-UA"/>
        </w:rPr>
        <w:t>.</w:t>
      </w:r>
    </w:p>
    <w:p w14:paraId="7125E924" w14:textId="21D08DB6" w:rsidR="00F667B5" w:rsidRPr="007F3DD4" w:rsidRDefault="00F667B5" w:rsidP="00F667B5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7F3DD4">
        <w:rPr>
          <w:rFonts w:cs="Times New Roman"/>
          <w:szCs w:val="28"/>
          <w:lang w:val="uk-UA"/>
        </w:rPr>
        <w:t>Вченими виділяється дві основні категорії соціального капіталу: структурний і когнітивний. Структурний соціальний капітал належить до формальних і неформальних мереж, ролей, правил і процедур, що дають змогу людям співпрацювати і працювати разом. Когнітивний соціальний капітал охоплює загальні норми, цінності, стосунки та переконання, що лежать в основі соціальної співпраці [</w:t>
      </w:r>
      <w:r w:rsidR="00171CD7">
        <w:rPr>
          <w:rFonts w:cs="Times New Roman"/>
          <w:szCs w:val="28"/>
          <w:lang w:val="uk-UA"/>
        </w:rPr>
        <w:t>5</w:t>
      </w:r>
      <w:r w:rsidRPr="007F3DD4">
        <w:rPr>
          <w:rFonts w:cs="Times New Roman"/>
          <w:szCs w:val="28"/>
          <w:lang w:val="uk-UA"/>
        </w:rPr>
        <w:t>].</w:t>
      </w:r>
    </w:p>
    <w:p w14:paraId="606CC4FD" w14:textId="0BCFCFFB" w:rsidR="001F6B82" w:rsidRPr="007F3DD4" w:rsidRDefault="001F6B82" w:rsidP="007F3DD4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7F3DD4">
        <w:rPr>
          <w:rFonts w:cs="Times New Roman"/>
          <w:szCs w:val="28"/>
          <w:lang w:val="uk-UA"/>
        </w:rPr>
        <w:t>Розвиток соціального капіталу на сільських територіях можливий через зміцнення довіри між жителями, створення спільноти зі спільними цінностями та цілями, а також розвиток громадянської участі. Довіра є одним із ключових елементів соціального капіталу і може бути зміцнена через збільшення взаємодії між жителями, обмін досвідом та інформацією. Створення спільноти зі спільними цінностями та цілями сприяє зміцненню соціальних зв'язків, а також підвищує ефективність спільних зусиль. Розвиток громадянської участі дає змогу жителям активно долучатися до життя суспільства, висловлювати свої потреби та брати участь у розв'язанні соціальних проблем.</w:t>
      </w:r>
      <w:r w:rsidR="00436846">
        <w:rPr>
          <w:rFonts w:cs="Times New Roman"/>
          <w:szCs w:val="28"/>
          <w:lang w:val="uk-UA"/>
        </w:rPr>
        <w:t xml:space="preserve"> </w:t>
      </w:r>
    </w:p>
    <w:p w14:paraId="09F0CCA0" w14:textId="20CFB360" w:rsidR="001A3FDB" w:rsidRDefault="001F6B82" w:rsidP="001A3FDB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7F3DD4">
        <w:rPr>
          <w:rFonts w:cs="Times New Roman"/>
          <w:szCs w:val="28"/>
          <w:lang w:val="uk-UA"/>
        </w:rPr>
        <w:t xml:space="preserve">Взаємодія між жителями, бізнесом і державою є важливою умовою для розвитку соціального капіталу на сільських територіях. Бізнес і держава можуть стимулювати розвиток соціального капіталу через участь у </w:t>
      </w:r>
      <w:proofErr w:type="spellStart"/>
      <w:r w:rsidRPr="007F3DD4">
        <w:rPr>
          <w:rFonts w:cs="Times New Roman"/>
          <w:szCs w:val="28"/>
          <w:lang w:val="uk-UA"/>
        </w:rPr>
        <w:t>проєктах</w:t>
      </w:r>
      <w:proofErr w:type="spellEnd"/>
      <w:r w:rsidRPr="007F3DD4">
        <w:rPr>
          <w:rFonts w:cs="Times New Roman"/>
          <w:szCs w:val="28"/>
          <w:lang w:val="uk-UA"/>
        </w:rPr>
        <w:t xml:space="preserve"> із поліпшення соціальної та економічної інфраструктури, підтримку соціальних і культурних заходів, а також надання фінансових та організаційних ресурсів для зміцнення соціальних зв'язків і формування спільноти</w:t>
      </w:r>
      <w:r w:rsidR="00FA246E" w:rsidRPr="007F3DD4">
        <w:rPr>
          <w:rFonts w:cs="Times New Roman"/>
          <w:szCs w:val="28"/>
          <w:lang w:val="uk-UA"/>
        </w:rPr>
        <w:t xml:space="preserve"> [</w:t>
      </w:r>
      <w:r w:rsidR="00171CD7">
        <w:rPr>
          <w:rFonts w:cs="Times New Roman"/>
          <w:szCs w:val="28"/>
          <w:lang w:val="uk-UA"/>
        </w:rPr>
        <w:t>6</w:t>
      </w:r>
      <w:r w:rsidR="00FA246E" w:rsidRPr="007F3DD4">
        <w:rPr>
          <w:rFonts w:cs="Times New Roman"/>
          <w:szCs w:val="28"/>
          <w:lang w:val="uk-UA"/>
        </w:rPr>
        <w:t>].</w:t>
      </w:r>
      <w:r w:rsidR="001A3FDB" w:rsidRPr="001A3FDB">
        <w:rPr>
          <w:rFonts w:cs="Times New Roman"/>
          <w:szCs w:val="28"/>
          <w:lang w:val="uk-UA"/>
        </w:rPr>
        <w:t xml:space="preserve"> </w:t>
      </w:r>
    </w:p>
    <w:p w14:paraId="7182578C" w14:textId="3CEA7755" w:rsidR="001A3FDB" w:rsidRPr="007F3DD4" w:rsidRDefault="001A3FDB" w:rsidP="001A3FDB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7F3DD4">
        <w:rPr>
          <w:rFonts w:cs="Times New Roman"/>
          <w:szCs w:val="28"/>
          <w:lang w:val="uk-UA"/>
        </w:rPr>
        <w:t xml:space="preserve">Важливим інструментом для розвитку соціального капіталу є участь мешканців у різноманітних громадських і культурних заходах, </w:t>
      </w:r>
      <w:proofErr w:type="spellStart"/>
      <w:r w:rsidRPr="007F3DD4">
        <w:rPr>
          <w:rFonts w:cs="Times New Roman"/>
          <w:szCs w:val="28"/>
          <w:lang w:val="uk-UA"/>
        </w:rPr>
        <w:t>волонтерство</w:t>
      </w:r>
      <w:proofErr w:type="spellEnd"/>
      <w:r w:rsidRPr="007F3DD4">
        <w:rPr>
          <w:rFonts w:cs="Times New Roman"/>
          <w:szCs w:val="28"/>
          <w:lang w:val="uk-UA"/>
        </w:rPr>
        <w:t xml:space="preserve"> та взаємодопомога. Участь у громадських і культурних заходах дає змогу жителям сільських територій знаходити спільні інтереси та зміцнювати соціальні зв'язки. </w:t>
      </w:r>
      <w:proofErr w:type="spellStart"/>
      <w:r w:rsidRPr="007F3DD4">
        <w:rPr>
          <w:rFonts w:cs="Times New Roman"/>
          <w:szCs w:val="28"/>
          <w:lang w:val="uk-UA"/>
        </w:rPr>
        <w:lastRenderedPageBreak/>
        <w:t>Волонтерство</w:t>
      </w:r>
      <w:proofErr w:type="spellEnd"/>
      <w:r w:rsidRPr="007F3DD4">
        <w:rPr>
          <w:rFonts w:cs="Times New Roman"/>
          <w:szCs w:val="28"/>
          <w:lang w:val="uk-UA"/>
        </w:rPr>
        <w:t xml:space="preserve"> і взаємодопомога сприяють формуванню добровольчої культури, підвищенню рівня самоорганізації мешканців і зміцненню спільноти.</w:t>
      </w:r>
    </w:p>
    <w:p w14:paraId="43388BBB" w14:textId="67227197" w:rsidR="001F6B82" w:rsidRPr="007F3DD4" w:rsidRDefault="00436846" w:rsidP="007F3DD4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7F3DD4">
        <w:rPr>
          <w:rFonts w:cs="Times New Roman"/>
          <w:szCs w:val="28"/>
          <w:lang w:val="uk-UA"/>
        </w:rPr>
        <w:t xml:space="preserve">Необхідно розробляти і впроваджувати заходи зі зміцнення соціального капіталу на сільських територіях з урахуванням специфіки регіону і потреб населення. Це може включати в себе організацію соціальних і культурних заходів, розвиток системи </w:t>
      </w:r>
      <w:proofErr w:type="spellStart"/>
      <w:r w:rsidRPr="007F3DD4">
        <w:rPr>
          <w:rFonts w:cs="Times New Roman"/>
          <w:szCs w:val="28"/>
          <w:lang w:val="uk-UA"/>
        </w:rPr>
        <w:t>волонтерства</w:t>
      </w:r>
      <w:proofErr w:type="spellEnd"/>
      <w:r w:rsidRPr="007F3DD4">
        <w:rPr>
          <w:rFonts w:cs="Times New Roman"/>
          <w:szCs w:val="28"/>
          <w:lang w:val="uk-UA"/>
        </w:rPr>
        <w:t>, підтримку проєктів з розвитку соціальної інфраструктури та поліпшення якості життя, а також навчання населення навичкам громадянської участі та самоорганізації</w:t>
      </w:r>
      <w:r w:rsidR="008D367C" w:rsidRPr="007F3DD4">
        <w:rPr>
          <w:rFonts w:cs="Times New Roman"/>
          <w:szCs w:val="28"/>
          <w:lang w:val="uk-UA"/>
        </w:rPr>
        <w:t>.</w:t>
      </w:r>
    </w:p>
    <w:p w14:paraId="03B45B6A" w14:textId="00EE19C7" w:rsidR="00232397" w:rsidRDefault="00232397" w:rsidP="007F3DD4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7F3DD4">
        <w:rPr>
          <w:rFonts w:cs="Times New Roman"/>
          <w:szCs w:val="28"/>
          <w:lang w:val="uk-UA"/>
        </w:rPr>
        <w:t>Отже, зміцнення соціального капіталу на сільських територіях є важливим фактором для досягнення сталого розвитку регіонів, і потребує спільних зусиль з боку мешканців, бізнесу та держави.</w:t>
      </w:r>
    </w:p>
    <w:p w14:paraId="68F83A71" w14:textId="77777777" w:rsidR="00F95AD5" w:rsidRPr="00AF3E53" w:rsidRDefault="00F95AD5" w:rsidP="0040592F">
      <w:pPr>
        <w:spacing w:after="0" w:line="360" w:lineRule="auto"/>
        <w:ind w:firstLine="709"/>
        <w:jc w:val="center"/>
        <w:rPr>
          <w:rFonts w:cs="Times New Roman"/>
          <w:b/>
          <w:bCs/>
          <w:sz w:val="24"/>
          <w:szCs w:val="24"/>
          <w:lang w:val="uk-UA"/>
        </w:rPr>
      </w:pPr>
    </w:p>
    <w:p w14:paraId="28FD674B" w14:textId="564D27AF" w:rsidR="0040592F" w:rsidRPr="007F3DD4" w:rsidRDefault="0040592F" w:rsidP="0040592F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  <w:proofErr w:type="spellStart"/>
      <w:r w:rsidRPr="00041BF2">
        <w:rPr>
          <w:rFonts w:cs="Times New Roman"/>
          <w:b/>
          <w:bCs/>
          <w:sz w:val="24"/>
          <w:szCs w:val="24"/>
          <w:lang w:val="ru-RU"/>
        </w:rPr>
        <w:t>Література</w:t>
      </w:r>
      <w:proofErr w:type="spellEnd"/>
    </w:p>
    <w:p w14:paraId="17F25DB1" w14:textId="77777777" w:rsidR="00A960A7" w:rsidRPr="00A960A7" w:rsidRDefault="00A960A7" w:rsidP="00726469">
      <w:pPr>
        <w:pStyle w:val="a6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uk-UA"/>
        </w:rPr>
      </w:pPr>
      <w:bookmarkStart w:id="0" w:name="_Hlk106829860"/>
      <w:proofErr w:type="spellStart"/>
      <w:r w:rsidRPr="00A960A7">
        <w:rPr>
          <w:rFonts w:cs="Times New Roman"/>
          <w:sz w:val="24"/>
          <w:szCs w:val="24"/>
          <w:lang w:val="uk-UA"/>
        </w:rPr>
        <w:t>Medvid</w:t>
      </w:r>
      <w:proofErr w:type="spellEnd"/>
      <w:r w:rsidRPr="00A960A7">
        <w:rPr>
          <w:rFonts w:cs="Times New Roman"/>
          <w:sz w:val="24"/>
          <w:szCs w:val="24"/>
          <w:lang w:val="uk-UA"/>
        </w:rPr>
        <w:t xml:space="preserve">, V., Pylypenko, V., Pylypenko, N., </w:t>
      </w:r>
      <w:proofErr w:type="spellStart"/>
      <w:r w:rsidRPr="00A960A7">
        <w:rPr>
          <w:rFonts w:cs="Times New Roman"/>
          <w:sz w:val="24"/>
          <w:szCs w:val="24"/>
          <w:lang w:val="uk-UA"/>
        </w:rPr>
        <w:t>Ustik</w:t>
      </w:r>
      <w:proofErr w:type="spellEnd"/>
      <w:r w:rsidRPr="00A960A7">
        <w:rPr>
          <w:rFonts w:cs="Times New Roman"/>
          <w:sz w:val="24"/>
          <w:szCs w:val="24"/>
          <w:lang w:val="uk-UA"/>
        </w:rPr>
        <w:t xml:space="preserve">, T., </w:t>
      </w:r>
      <w:proofErr w:type="spellStart"/>
      <w:r w:rsidRPr="00A960A7">
        <w:rPr>
          <w:rFonts w:cs="Times New Roman"/>
          <w:sz w:val="24"/>
          <w:szCs w:val="24"/>
          <w:lang w:val="uk-UA"/>
        </w:rPr>
        <w:t>Volchenko</w:t>
      </w:r>
      <w:proofErr w:type="spellEnd"/>
      <w:r w:rsidRPr="00A960A7">
        <w:rPr>
          <w:rFonts w:cs="Times New Roman"/>
          <w:sz w:val="24"/>
          <w:szCs w:val="24"/>
          <w:lang w:val="uk-UA"/>
        </w:rPr>
        <w:t xml:space="preserve">, N., &amp; </w:t>
      </w:r>
      <w:proofErr w:type="spellStart"/>
      <w:r w:rsidRPr="00A960A7">
        <w:rPr>
          <w:rFonts w:cs="Times New Roman"/>
          <w:sz w:val="24"/>
          <w:szCs w:val="24"/>
          <w:lang w:val="uk-UA"/>
        </w:rPr>
        <w:t>Vashchenko</w:t>
      </w:r>
      <w:proofErr w:type="spellEnd"/>
      <w:r w:rsidRPr="00A960A7">
        <w:rPr>
          <w:rFonts w:cs="Times New Roman"/>
          <w:sz w:val="24"/>
          <w:szCs w:val="24"/>
          <w:lang w:val="uk-UA"/>
        </w:rPr>
        <w:t xml:space="preserve">, M. (2019). </w:t>
      </w:r>
      <w:proofErr w:type="spellStart"/>
      <w:r w:rsidRPr="00A960A7">
        <w:rPr>
          <w:rFonts w:cs="Times New Roman"/>
          <w:sz w:val="24"/>
          <w:szCs w:val="24"/>
          <w:lang w:val="uk-UA"/>
        </w:rPr>
        <w:t>Factors</w:t>
      </w:r>
      <w:proofErr w:type="spellEnd"/>
      <w:r w:rsidRPr="00A960A7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A960A7">
        <w:rPr>
          <w:rFonts w:cs="Times New Roman"/>
          <w:sz w:val="24"/>
          <w:szCs w:val="24"/>
          <w:lang w:val="uk-UA"/>
        </w:rPr>
        <w:t>of</w:t>
      </w:r>
      <w:proofErr w:type="spellEnd"/>
      <w:r w:rsidRPr="00A960A7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A960A7">
        <w:rPr>
          <w:rFonts w:cs="Times New Roman"/>
          <w:sz w:val="24"/>
          <w:szCs w:val="24"/>
          <w:lang w:val="uk-UA"/>
        </w:rPr>
        <w:t>rural</w:t>
      </w:r>
      <w:proofErr w:type="spellEnd"/>
      <w:r w:rsidRPr="00A960A7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A960A7">
        <w:rPr>
          <w:rFonts w:cs="Times New Roman"/>
          <w:sz w:val="24"/>
          <w:szCs w:val="24"/>
          <w:lang w:val="uk-UA"/>
        </w:rPr>
        <w:t>development</w:t>
      </w:r>
      <w:proofErr w:type="spellEnd"/>
      <w:r w:rsidRPr="00A960A7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A960A7">
        <w:rPr>
          <w:rFonts w:cs="Times New Roman"/>
          <w:sz w:val="24"/>
          <w:szCs w:val="24"/>
          <w:lang w:val="uk-UA"/>
        </w:rPr>
        <w:t>in</w:t>
      </w:r>
      <w:proofErr w:type="spellEnd"/>
      <w:r w:rsidRPr="00A960A7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A960A7">
        <w:rPr>
          <w:rFonts w:cs="Times New Roman"/>
          <w:sz w:val="24"/>
          <w:szCs w:val="24"/>
          <w:lang w:val="uk-UA"/>
        </w:rPr>
        <w:t>the</w:t>
      </w:r>
      <w:proofErr w:type="spellEnd"/>
      <w:r w:rsidRPr="00A960A7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A960A7">
        <w:rPr>
          <w:rFonts w:cs="Times New Roman"/>
          <w:sz w:val="24"/>
          <w:szCs w:val="24"/>
          <w:lang w:val="uk-UA"/>
        </w:rPr>
        <w:t>context</w:t>
      </w:r>
      <w:proofErr w:type="spellEnd"/>
      <w:r w:rsidRPr="00A960A7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A960A7">
        <w:rPr>
          <w:rFonts w:cs="Times New Roman"/>
          <w:sz w:val="24"/>
          <w:szCs w:val="24"/>
          <w:lang w:val="uk-UA"/>
        </w:rPr>
        <w:t>of</w:t>
      </w:r>
      <w:proofErr w:type="spellEnd"/>
      <w:r w:rsidRPr="00A960A7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A960A7">
        <w:rPr>
          <w:rFonts w:cs="Times New Roman"/>
          <w:sz w:val="24"/>
          <w:szCs w:val="24"/>
          <w:lang w:val="uk-UA"/>
        </w:rPr>
        <w:t>decentralisation</w:t>
      </w:r>
      <w:proofErr w:type="spellEnd"/>
      <w:r w:rsidRPr="00A960A7">
        <w:rPr>
          <w:rFonts w:cs="Times New Roman"/>
          <w:sz w:val="24"/>
          <w:szCs w:val="24"/>
          <w:lang w:val="uk-UA"/>
        </w:rPr>
        <w:t xml:space="preserve">: </w:t>
      </w:r>
      <w:proofErr w:type="spellStart"/>
      <w:r w:rsidRPr="00A960A7">
        <w:rPr>
          <w:rFonts w:cs="Times New Roman"/>
          <w:sz w:val="24"/>
          <w:szCs w:val="24"/>
          <w:lang w:val="uk-UA"/>
        </w:rPr>
        <w:t>empirical</w:t>
      </w:r>
      <w:proofErr w:type="spellEnd"/>
      <w:r w:rsidRPr="00A960A7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A960A7">
        <w:rPr>
          <w:rFonts w:cs="Times New Roman"/>
          <w:sz w:val="24"/>
          <w:szCs w:val="24"/>
          <w:lang w:val="uk-UA"/>
        </w:rPr>
        <w:t>research</w:t>
      </w:r>
      <w:proofErr w:type="spellEnd"/>
      <w:r w:rsidRPr="00A960A7">
        <w:rPr>
          <w:rFonts w:cs="Times New Roman"/>
          <w:sz w:val="24"/>
          <w:szCs w:val="24"/>
          <w:lang w:val="uk-UA"/>
        </w:rPr>
        <w:t xml:space="preserve">. </w:t>
      </w:r>
      <w:proofErr w:type="spellStart"/>
      <w:r w:rsidRPr="00A960A7">
        <w:rPr>
          <w:rFonts w:cs="Times New Roman"/>
          <w:sz w:val="24"/>
          <w:szCs w:val="24"/>
          <w:lang w:val="uk-UA"/>
        </w:rPr>
        <w:t>Economic</w:t>
      </w:r>
      <w:proofErr w:type="spellEnd"/>
      <w:r w:rsidRPr="00A960A7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A960A7">
        <w:rPr>
          <w:rFonts w:cs="Times New Roman"/>
          <w:sz w:val="24"/>
          <w:szCs w:val="24"/>
          <w:lang w:val="uk-UA"/>
        </w:rPr>
        <w:t>Annals</w:t>
      </w:r>
      <w:proofErr w:type="spellEnd"/>
      <w:r w:rsidRPr="00A960A7">
        <w:rPr>
          <w:rFonts w:cs="Times New Roman"/>
          <w:sz w:val="24"/>
          <w:szCs w:val="24"/>
          <w:lang w:val="uk-UA"/>
        </w:rPr>
        <w:t xml:space="preserve">-XXI, 177(5-6), 126-140. </w:t>
      </w:r>
      <w:proofErr w:type="spellStart"/>
      <w:r w:rsidRPr="00A960A7">
        <w:rPr>
          <w:rFonts w:cs="Times New Roman"/>
          <w:sz w:val="24"/>
          <w:szCs w:val="24"/>
          <w:lang w:val="uk-UA"/>
        </w:rPr>
        <w:t>doi</w:t>
      </w:r>
      <w:proofErr w:type="spellEnd"/>
      <w:r w:rsidRPr="00A960A7">
        <w:rPr>
          <w:rFonts w:cs="Times New Roman"/>
          <w:sz w:val="24"/>
          <w:szCs w:val="24"/>
          <w:lang w:val="uk-UA"/>
        </w:rPr>
        <w:t xml:space="preserve">: </w:t>
      </w:r>
      <w:hyperlink r:id="rId5" w:history="1">
        <w:r w:rsidRPr="00A960A7">
          <w:rPr>
            <w:rStyle w:val="a3"/>
            <w:rFonts w:cs="Times New Roman"/>
            <w:sz w:val="24"/>
            <w:szCs w:val="24"/>
            <w:lang w:val="uk-UA"/>
          </w:rPr>
          <w:t>https://doi.org/10.21003/ea.V177-11</w:t>
        </w:r>
      </w:hyperlink>
      <w:r w:rsidRPr="00A960A7">
        <w:rPr>
          <w:rFonts w:cs="Times New Roman"/>
          <w:sz w:val="24"/>
          <w:szCs w:val="24"/>
          <w:lang w:val="uk-UA"/>
        </w:rPr>
        <w:t xml:space="preserve"> </w:t>
      </w:r>
    </w:p>
    <w:p w14:paraId="3AB72B1F" w14:textId="77777777" w:rsidR="00DC0A49" w:rsidRDefault="00A960A7" w:rsidP="00726469">
      <w:pPr>
        <w:pStyle w:val="a6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uk-UA"/>
        </w:rPr>
      </w:pPr>
      <w:r w:rsidRPr="00F95AD5">
        <w:rPr>
          <w:rFonts w:cs="Times New Roman"/>
          <w:sz w:val="24"/>
          <w:szCs w:val="24"/>
          <w:lang w:val="uk-UA"/>
        </w:rPr>
        <w:t xml:space="preserve">Пилипенко В., Пилипенко Н., </w:t>
      </w:r>
      <w:proofErr w:type="spellStart"/>
      <w:r w:rsidRPr="00F95AD5">
        <w:rPr>
          <w:rFonts w:cs="Times New Roman"/>
          <w:sz w:val="24"/>
          <w:szCs w:val="24"/>
          <w:lang w:val="uk-UA"/>
        </w:rPr>
        <w:t>Хамініч</w:t>
      </w:r>
      <w:proofErr w:type="spellEnd"/>
      <w:r w:rsidRPr="00F95AD5">
        <w:rPr>
          <w:rFonts w:cs="Times New Roman"/>
          <w:sz w:val="24"/>
          <w:szCs w:val="24"/>
          <w:lang w:val="uk-UA"/>
        </w:rPr>
        <w:t xml:space="preserve"> С., </w:t>
      </w:r>
      <w:proofErr w:type="spellStart"/>
      <w:r w:rsidRPr="00F95AD5">
        <w:rPr>
          <w:rFonts w:cs="Times New Roman"/>
          <w:sz w:val="24"/>
          <w:szCs w:val="24"/>
          <w:lang w:val="uk-UA"/>
        </w:rPr>
        <w:t>Сокол</w:t>
      </w:r>
      <w:proofErr w:type="spellEnd"/>
      <w:r w:rsidRPr="00F95AD5">
        <w:rPr>
          <w:rFonts w:cs="Times New Roman"/>
          <w:sz w:val="24"/>
          <w:szCs w:val="24"/>
          <w:lang w:val="uk-UA"/>
        </w:rPr>
        <w:t xml:space="preserve"> П. Емпіричний аналіз соціально-економічних детермінант розвитку сільських і селищних територіальних громад. </w:t>
      </w:r>
      <w:proofErr w:type="spellStart"/>
      <w:r w:rsidRPr="00F95AD5">
        <w:rPr>
          <w:rFonts w:cs="Times New Roman"/>
          <w:i/>
          <w:iCs/>
          <w:sz w:val="24"/>
          <w:szCs w:val="24"/>
          <w:lang w:val="uk-UA"/>
        </w:rPr>
        <w:t>Agricultural</w:t>
      </w:r>
      <w:proofErr w:type="spellEnd"/>
      <w:r w:rsidRPr="00F95AD5">
        <w:rPr>
          <w:rFonts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F95AD5">
        <w:rPr>
          <w:rFonts w:cs="Times New Roman"/>
          <w:i/>
          <w:iCs/>
          <w:sz w:val="24"/>
          <w:szCs w:val="24"/>
          <w:lang w:val="uk-UA"/>
        </w:rPr>
        <w:t>and</w:t>
      </w:r>
      <w:proofErr w:type="spellEnd"/>
      <w:r w:rsidRPr="00F95AD5">
        <w:rPr>
          <w:rFonts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F95AD5">
        <w:rPr>
          <w:rFonts w:cs="Times New Roman"/>
          <w:i/>
          <w:iCs/>
          <w:sz w:val="24"/>
          <w:szCs w:val="24"/>
          <w:lang w:val="uk-UA"/>
        </w:rPr>
        <w:t>Resource</w:t>
      </w:r>
      <w:proofErr w:type="spellEnd"/>
      <w:r w:rsidRPr="00F95AD5">
        <w:rPr>
          <w:rFonts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F95AD5">
        <w:rPr>
          <w:rFonts w:cs="Times New Roman"/>
          <w:i/>
          <w:iCs/>
          <w:sz w:val="24"/>
          <w:szCs w:val="24"/>
          <w:lang w:val="uk-UA"/>
        </w:rPr>
        <w:t>Economics</w:t>
      </w:r>
      <w:proofErr w:type="spellEnd"/>
      <w:r w:rsidRPr="00F95AD5">
        <w:rPr>
          <w:rFonts w:cs="Times New Roman"/>
          <w:sz w:val="24"/>
          <w:szCs w:val="24"/>
          <w:lang w:val="uk-UA"/>
        </w:rPr>
        <w:t xml:space="preserve">. 2022. </w:t>
      </w:r>
      <w:proofErr w:type="spellStart"/>
      <w:r w:rsidRPr="00F95AD5">
        <w:rPr>
          <w:rFonts w:cs="Times New Roman"/>
          <w:sz w:val="24"/>
          <w:szCs w:val="24"/>
          <w:lang w:val="uk-UA"/>
        </w:rPr>
        <w:t>Vol</w:t>
      </w:r>
      <w:proofErr w:type="spellEnd"/>
      <w:r w:rsidRPr="00F95AD5">
        <w:rPr>
          <w:rFonts w:cs="Times New Roman"/>
          <w:sz w:val="24"/>
          <w:szCs w:val="24"/>
          <w:lang w:val="uk-UA"/>
        </w:rPr>
        <w:t xml:space="preserve">. 8. </w:t>
      </w:r>
      <w:proofErr w:type="spellStart"/>
      <w:r w:rsidRPr="00F95AD5">
        <w:rPr>
          <w:rFonts w:cs="Times New Roman"/>
          <w:sz w:val="24"/>
          <w:szCs w:val="24"/>
          <w:lang w:val="uk-UA"/>
        </w:rPr>
        <w:t>No</w:t>
      </w:r>
      <w:proofErr w:type="spellEnd"/>
      <w:r w:rsidRPr="00F95AD5">
        <w:rPr>
          <w:rFonts w:cs="Times New Roman"/>
          <w:sz w:val="24"/>
          <w:szCs w:val="24"/>
          <w:lang w:val="uk-UA"/>
        </w:rPr>
        <w:t xml:space="preserve">. 2. </w:t>
      </w:r>
      <w:proofErr w:type="spellStart"/>
      <w:r w:rsidRPr="00F95AD5">
        <w:rPr>
          <w:rFonts w:cs="Times New Roman"/>
          <w:sz w:val="24"/>
          <w:szCs w:val="24"/>
          <w:lang w:val="uk-UA"/>
        </w:rPr>
        <w:t>Pp</w:t>
      </w:r>
      <w:proofErr w:type="spellEnd"/>
      <w:r w:rsidRPr="00F95AD5">
        <w:rPr>
          <w:rFonts w:cs="Times New Roman"/>
          <w:sz w:val="24"/>
          <w:szCs w:val="24"/>
          <w:lang w:val="uk-UA"/>
        </w:rPr>
        <w:t xml:space="preserve">. 228–249. </w:t>
      </w:r>
      <w:hyperlink r:id="rId6" w:history="1">
        <w:r w:rsidRPr="00F95AD5">
          <w:rPr>
            <w:rStyle w:val="a3"/>
            <w:rFonts w:cs="Times New Roman"/>
            <w:sz w:val="24"/>
            <w:szCs w:val="24"/>
            <w:lang w:val="uk-UA"/>
          </w:rPr>
          <w:t>https://doi.org/10.51599/are.2022.08.02.12</w:t>
        </w:r>
      </w:hyperlink>
      <w:r w:rsidRPr="00F95AD5">
        <w:rPr>
          <w:rFonts w:cs="Times New Roman"/>
          <w:sz w:val="24"/>
          <w:szCs w:val="24"/>
          <w:lang w:val="uk-UA"/>
        </w:rPr>
        <w:t xml:space="preserve">. </w:t>
      </w:r>
      <w:bookmarkEnd w:id="0"/>
      <w:r w:rsidRPr="00F95AD5">
        <w:rPr>
          <w:rFonts w:cs="Times New Roman"/>
          <w:sz w:val="24"/>
          <w:szCs w:val="24"/>
          <w:lang w:val="uk-UA"/>
        </w:rPr>
        <w:fldChar w:fldCharType="begin"/>
      </w:r>
      <w:r w:rsidRPr="00F95AD5">
        <w:rPr>
          <w:rFonts w:cs="Times New Roman"/>
          <w:sz w:val="24"/>
          <w:szCs w:val="24"/>
          <w:lang w:val="uk-UA"/>
        </w:rPr>
        <w:instrText xml:space="preserve"> HYPERLINK "https://are-journal.com/are/article/view/540/347" </w:instrText>
      </w:r>
      <w:r w:rsidRPr="00F95AD5">
        <w:rPr>
          <w:rFonts w:cs="Times New Roman"/>
          <w:sz w:val="24"/>
          <w:szCs w:val="24"/>
          <w:lang w:val="uk-UA"/>
        </w:rPr>
      </w:r>
      <w:r w:rsidRPr="00F95AD5">
        <w:rPr>
          <w:rFonts w:cs="Times New Roman"/>
          <w:sz w:val="24"/>
          <w:szCs w:val="24"/>
          <w:lang w:val="uk-UA"/>
        </w:rPr>
        <w:fldChar w:fldCharType="separate"/>
      </w:r>
      <w:r w:rsidRPr="00F95AD5">
        <w:rPr>
          <w:rStyle w:val="a3"/>
          <w:rFonts w:cs="Times New Roman"/>
          <w:sz w:val="24"/>
          <w:szCs w:val="24"/>
          <w:lang w:val="uk-UA"/>
        </w:rPr>
        <w:t>https://are-journal.com/are/article/view/540/347</w:t>
      </w:r>
      <w:r w:rsidRPr="00F95AD5">
        <w:rPr>
          <w:rFonts w:cs="Times New Roman"/>
          <w:sz w:val="24"/>
          <w:szCs w:val="24"/>
          <w:lang w:val="uk-UA"/>
        </w:rPr>
        <w:fldChar w:fldCharType="end"/>
      </w:r>
    </w:p>
    <w:p w14:paraId="11207AE4" w14:textId="77777777" w:rsidR="00AF0A58" w:rsidRPr="00F95AD5" w:rsidRDefault="00AF0A58" w:rsidP="00AF0A58">
      <w:pPr>
        <w:pStyle w:val="a6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uk-UA"/>
        </w:rPr>
      </w:pPr>
      <w:bookmarkStart w:id="1" w:name="_Hlk75292463"/>
      <w:r w:rsidRPr="00F95AD5">
        <w:rPr>
          <w:rFonts w:cs="Times New Roman"/>
          <w:sz w:val="24"/>
          <w:szCs w:val="24"/>
        </w:rPr>
        <w:t>Grootaert C</w:t>
      </w:r>
      <w:r w:rsidRPr="00F95AD5">
        <w:rPr>
          <w:rFonts w:cs="Times New Roman"/>
          <w:sz w:val="24"/>
          <w:szCs w:val="24"/>
          <w:lang w:val="uk-UA"/>
        </w:rPr>
        <w:t xml:space="preserve">. </w:t>
      </w:r>
      <w:r w:rsidRPr="00F95AD5">
        <w:rPr>
          <w:rFonts w:cs="Times New Roman"/>
          <w:sz w:val="24"/>
          <w:szCs w:val="24"/>
        </w:rPr>
        <w:t>Social capital: the missing link? URL</w:t>
      </w:r>
      <w:r w:rsidRPr="00F95AD5">
        <w:rPr>
          <w:rFonts w:cs="Times New Roman"/>
          <w:sz w:val="24"/>
          <w:szCs w:val="24"/>
          <w:lang w:val="uk-UA"/>
        </w:rPr>
        <w:t>: </w:t>
      </w:r>
      <w:hyperlink r:id="rId7" w:history="1">
        <w:r w:rsidRPr="00F95AD5">
          <w:rPr>
            <w:rStyle w:val="a3"/>
            <w:rFonts w:cs="Times New Roman"/>
            <w:sz w:val="24"/>
            <w:szCs w:val="24"/>
            <w:lang w:val="uk-UA"/>
          </w:rPr>
          <w:t>https://documents1.worldbank.org/curated/en/902971468764409654/pdf/multi0page.pdf</w:t>
        </w:r>
      </w:hyperlink>
    </w:p>
    <w:p w14:paraId="0BAC150D" w14:textId="63B039C9" w:rsidR="00501060" w:rsidRPr="00501060" w:rsidRDefault="00501060" w:rsidP="00726469">
      <w:pPr>
        <w:pStyle w:val="a6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uk-UA"/>
        </w:rPr>
      </w:pPr>
      <w:r w:rsidRPr="00501060">
        <w:rPr>
          <w:rFonts w:cs="Times New Roman"/>
          <w:sz w:val="24"/>
          <w:szCs w:val="24"/>
          <w:lang w:val="uk-UA"/>
        </w:rPr>
        <w:t xml:space="preserve">Пилипенко Н., </w:t>
      </w:r>
      <w:proofErr w:type="spellStart"/>
      <w:r w:rsidRPr="00501060">
        <w:rPr>
          <w:rFonts w:cs="Times New Roman"/>
          <w:sz w:val="24"/>
          <w:szCs w:val="24"/>
          <w:lang w:val="uk-UA"/>
        </w:rPr>
        <w:t>Карпець</w:t>
      </w:r>
      <w:proofErr w:type="spellEnd"/>
      <w:r w:rsidRPr="00501060">
        <w:rPr>
          <w:rFonts w:cs="Times New Roman"/>
          <w:sz w:val="24"/>
          <w:szCs w:val="24"/>
          <w:lang w:val="uk-UA"/>
        </w:rPr>
        <w:t xml:space="preserve"> О. </w:t>
      </w:r>
      <w:bookmarkStart w:id="2" w:name="_Hlk75292274"/>
      <w:r w:rsidRPr="00501060">
        <w:rPr>
          <w:rFonts w:eastAsia="Cambria Math" w:cs="Times New Roman"/>
          <w:color w:val="000000"/>
          <w:sz w:val="24"/>
          <w:szCs w:val="24"/>
        </w:rPr>
        <w:t>Теоретичні аспекти соціального</w:t>
      </w:r>
      <w:r w:rsidRPr="00501060">
        <w:rPr>
          <w:rFonts w:eastAsia="Cambria Math" w:cs="Times New Roman"/>
          <w:color w:val="000000"/>
          <w:sz w:val="24"/>
          <w:szCs w:val="24"/>
          <w:lang w:val="uk-UA"/>
        </w:rPr>
        <w:t xml:space="preserve"> </w:t>
      </w:r>
      <w:r w:rsidRPr="00501060">
        <w:rPr>
          <w:rFonts w:eastAsia="Cambria Math" w:cs="Times New Roman"/>
          <w:color w:val="000000"/>
          <w:sz w:val="24"/>
          <w:szCs w:val="24"/>
        </w:rPr>
        <w:t>підприємництва в сучасних умовах</w:t>
      </w:r>
      <w:bookmarkEnd w:id="2"/>
      <w:r w:rsidRPr="00501060">
        <w:rPr>
          <w:rFonts w:eastAsia="Cambria Math" w:cs="Times New Roman"/>
          <w:color w:val="000000"/>
          <w:sz w:val="24"/>
          <w:szCs w:val="24"/>
          <w:lang w:val="uk-UA"/>
        </w:rPr>
        <w:t>.</w:t>
      </w:r>
      <w:r w:rsidRPr="00501060">
        <w:rPr>
          <w:rFonts w:cs="Times New Roman"/>
          <w:sz w:val="24"/>
          <w:szCs w:val="24"/>
        </w:rPr>
        <w:t xml:space="preserve"> </w:t>
      </w:r>
      <w:r w:rsidRPr="00501060">
        <w:rPr>
          <w:rFonts w:cs="Times New Roman"/>
          <w:i/>
          <w:iCs/>
          <w:sz w:val="24"/>
          <w:szCs w:val="24"/>
          <w:lang w:val="uk-UA"/>
        </w:rPr>
        <w:t>Ефективна економіка.</w:t>
      </w:r>
      <w:r w:rsidRPr="00501060">
        <w:rPr>
          <w:rFonts w:cs="Times New Roman"/>
          <w:sz w:val="24"/>
          <w:szCs w:val="24"/>
          <w:lang w:val="uk-UA"/>
        </w:rPr>
        <w:t xml:space="preserve"> 2021. №3. </w:t>
      </w:r>
      <w:hyperlink r:id="rId8" w:history="1">
        <w:r w:rsidRPr="00501060">
          <w:rPr>
            <w:rStyle w:val="a3"/>
            <w:rFonts w:cs="Times New Roman"/>
            <w:sz w:val="24"/>
            <w:szCs w:val="24"/>
            <w:lang w:val="uk-UA"/>
          </w:rPr>
          <w:t>http://www.economy.nayka.com.ua/pdf/3_2021/89.pdf</w:t>
        </w:r>
      </w:hyperlink>
      <w:r w:rsidRPr="00501060">
        <w:rPr>
          <w:rFonts w:cs="Times New Roman"/>
          <w:sz w:val="24"/>
          <w:szCs w:val="24"/>
          <w:lang w:val="uk-UA"/>
        </w:rPr>
        <w:t xml:space="preserve"> </w:t>
      </w:r>
      <w:r w:rsidRPr="00501060">
        <w:rPr>
          <w:rFonts w:cs="Times New Roman"/>
          <w:color w:val="333333"/>
          <w:sz w:val="24"/>
          <w:szCs w:val="24"/>
          <w:lang w:val="en-US"/>
        </w:rPr>
        <w:t>DOI</w:t>
      </w:r>
      <w:r w:rsidRPr="00501060">
        <w:rPr>
          <w:rFonts w:cs="Times New Roman"/>
          <w:color w:val="333333"/>
          <w:sz w:val="24"/>
          <w:szCs w:val="24"/>
        </w:rPr>
        <w:t xml:space="preserve">: </w:t>
      </w:r>
      <w:r w:rsidRPr="00501060">
        <w:rPr>
          <w:rFonts w:cs="Times New Roman"/>
          <w:color w:val="337AB7"/>
          <w:sz w:val="24"/>
          <w:szCs w:val="24"/>
        </w:rPr>
        <w:t>10.32702/2307-2105-2021.3.87</w:t>
      </w:r>
      <w:bookmarkEnd w:id="1"/>
    </w:p>
    <w:p w14:paraId="7B016BB4" w14:textId="49618B0E" w:rsidR="00215DC0" w:rsidRPr="00F95AD5" w:rsidRDefault="00A577EA" w:rsidP="00F95AD5">
      <w:pPr>
        <w:pStyle w:val="a6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uk-UA"/>
        </w:rPr>
      </w:pPr>
      <w:r w:rsidRPr="00F95AD5">
        <w:rPr>
          <w:rFonts w:cs="Times New Roman"/>
          <w:sz w:val="24"/>
          <w:szCs w:val="24"/>
        </w:rPr>
        <w:t>Uphoff N. (2000). Understanding social capital: learning from the analysis and experience of participation</w:t>
      </w:r>
      <w:r w:rsidRPr="00F95AD5">
        <w:rPr>
          <w:rFonts w:cs="Times New Roman"/>
          <w:sz w:val="24"/>
          <w:szCs w:val="24"/>
          <w:lang w:val="uk-UA"/>
        </w:rPr>
        <w:t xml:space="preserve">. </w:t>
      </w:r>
      <w:r w:rsidRPr="00F95AD5">
        <w:rPr>
          <w:rFonts w:cs="Times New Roman"/>
          <w:sz w:val="24"/>
          <w:szCs w:val="24"/>
          <w:lang w:val="en-US"/>
        </w:rPr>
        <w:t>URL</w:t>
      </w:r>
      <w:r w:rsidRPr="00F95AD5">
        <w:rPr>
          <w:rFonts w:cs="Times New Roman"/>
          <w:sz w:val="24"/>
          <w:szCs w:val="24"/>
          <w:lang w:val="uk-UA"/>
        </w:rPr>
        <w:t xml:space="preserve">: </w:t>
      </w:r>
      <w:hyperlink r:id="rId9" w:history="1">
        <w:r w:rsidR="00215DC0" w:rsidRPr="00F95AD5">
          <w:rPr>
            <w:rStyle w:val="a3"/>
            <w:rFonts w:cs="Times New Roman"/>
            <w:sz w:val="24"/>
            <w:szCs w:val="24"/>
            <w:lang w:val="uk-UA"/>
          </w:rPr>
          <w:t>http://surl.li/gvdec</w:t>
        </w:r>
      </w:hyperlink>
    </w:p>
    <w:p w14:paraId="654CCC9A" w14:textId="76087073" w:rsidR="008A71E7" w:rsidRPr="00F95AD5" w:rsidRDefault="008A71E7" w:rsidP="00F95AD5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jc w:val="both"/>
        <w:rPr>
          <w:rStyle w:val="a3"/>
          <w:rFonts w:cs="Times New Roman"/>
          <w:sz w:val="24"/>
          <w:szCs w:val="24"/>
          <w:lang w:val="uk-UA"/>
        </w:rPr>
      </w:pPr>
      <w:bookmarkStart w:id="3" w:name="_Hlk74324379"/>
      <w:r w:rsidRPr="00F95AD5">
        <w:rPr>
          <w:rFonts w:cs="Times New Roman"/>
          <w:sz w:val="24"/>
          <w:szCs w:val="24"/>
          <w:shd w:val="clear" w:color="auto" w:fill="FFFFFF"/>
          <w:lang w:val="uk-UA"/>
        </w:rPr>
        <w:t xml:space="preserve">Пилипенко Н. М., Бєляєва В. В. Можливості застосування інструментарію поведінкової економіки при проведенні економічної політики в Україні. </w:t>
      </w:r>
      <w:r w:rsidRPr="00F95AD5">
        <w:rPr>
          <w:rFonts w:cs="Times New Roman"/>
          <w:i/>
          <w:iCs/>
          <w:sz w:val="24"/>
          <w:szCs w:val="24"/>
          <w:shd w:val="clear" w:color="auto" w:fill="FFFFFF"/>
          <w:lang w:val="uk-UA"/>
        </w:rPr>
        <w:t>Економіка та держава</w:t>
      </w:r>
      <w:r w:rsidRPr="00F95AD5">
        <w:rPr>
          <w:rFonts w:cs="Times New Roman"/>
          <w:sz w:val="24"/>
          <w:szCs w:val="24"/>
          <w:shd w:val="clear" w:color="auto" w:fill="FFFFFF"/>
          <w:lang w:val="uk-UA"/>
        </w:rPr>
        <w:t xml:space="preserve">. 2019. № 5. С. 95–100. </w:t>
      </w:r>
      <w:r w:rsidRPr="00F95AD5">
        <w:rPr>
          <w:rFonts w:cs="Times New Roman"/>
          <w:sz w:val="24"/>
          <w:szCs w:val="24"/>
          <w:shd w:val="clear" w:color="auto" w:fill="FFFFFF"/>
        </w:rPr>
        <w:t>DOI</w:t>
      </w:r>
      <w:r w:rsidRPr="00F95AD5">
        <w:rPr>
          <w:rFonts w:cs="Times New Roman"/>
          <w:sz w:val="24"/>
          <w:szCs w:val="24"/>
          <w:shd w:val="clear" w:color="auto" w:fill="FFFFFF"/>
          <w:lang w:val="uk-UA"/>
        </w:rPr>
        <w:t>:</w:t>
      </w:r>
      <w:r w:rsidRPr="00F95AD5">
        <w:rPr>
          <w:rFonts w:cs="Times New Roman"/>
          <w:sz w:val="24"/>
          <w:szCs w:val="24"/>
          <w:shd w:val="clear" w:color="auto" w:fill="FFFFFF"/>
        </w:rPr>
        <w:t> </w:t>
      </w:r>
      <w:hyperlink r:id="rId10" w:tgtFrame="_blank" w:history="1">
        <w:r w:rsidRPr="00F95AD5">
          <w:rPr>
            <w:rStyle w:val="a3"/>
            <w:rFonts w:cs="Times New Roman"/>
            <w:sz w:val="24"/>
            <w:szCs w:val="24"/>
            <w:shd w:val="clear" w:color="auto" w:fill="FFFFFF"/>
            <w:lang w:val="uk-UA"/>
          </w:rPr>
          <w:t>10.32702/2306-6806.2019.5.95</w:t>
        </w:r>
      </w:hyperlink>
      <w:bookmarkEnd w:id="3"/>
    </w:p>
    <w:p w14:paraId="67B6A7B6" w14:textId="77777777" w:rsidR="008A71E7" w:rsidRPr="007F3DD4" w:rsidRDefault="008A71E7" w:rsidP="007F3DD4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</w:p>
    <w:sectPr w:rsidR="008A71E7" w:rsidRPr="007F3DD4" w:rsidSect="00AB490C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3088D"/>
    <w:multiLevelType w:val="hybridMultilevel"/>
    <w:tmpl w:val="4E768B2C"/>
    <w:lvl w:ilvl="0" w:tplc="B4489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30BCE"/>
    <w:multiLevelType w:val="hybridMultilevel"/>
    <w:tmpl w:val="AF2CABB6"/>
    <w:lvl w:ilvl="0" w:tplc="34120D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947854">
    <w:abstractNumId w:val="1"/>
  </w:num>
  <w:num w:numId="2" w16cid:durableId="24079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C9"/>
    <w:rsid w:val="00010EF1"/>
    <w:rsid w:val="00062309"/>
    <w:rsid w:val="00076363"/>
    <w:rsid w:val="000C2749"/>
    <w:rsid w:val="00171CD7"/>
    <w:rsid w:val="001A3FDB"/>
    <w:rsid w:val="001F2D73"/>
    <w:rsid w:val="001F6B82"/>
    <w:rsid w:val="00215DC0"/>
    <w:rsid w:val="00223ED3"/>
    <w:rsid w:val="00232397"/>
    <w:rsid w:val="00291BC9"/>
    <w:rsid w:val="002A4075"/>
    <w:rsid w:val="002B1064"/>
    <w:rsid w:val="002E2304"/>
    <w:rsid w:val="00301C34"/>
    <w:rsid w:val="00310DA7"/>
    <w:rsid w:val="00355AEA"/>
    <w:rsid w:val="00356E2C"/>
    <w:rsid w:val="003835C5"/>
    <w:rsid w:val="003C0A3C"/>
    <w:rsid w:val="0040592F"/>
    <w:rsid w:val="004229B9"/>
    <w:rsid w:val="00436846"/>
    <w:rsid w:val="0045378C"/>
    <w:rsid w:val="004566C3"/>
    <w:rsid w:val="0047582F"/>
    <w:rsid w:val="004F2D92"/>
    <w:rsid w:val="00501060"/>
    <w:rsid w:val="005026BD"/>
    <w:rsid w:val="005560D9"/>
    <w:rsid w:val="00572825"/>
    <w:rsid w:val="005D04BD"/>
    <w:rsid w:val="005E2179"/>
    <w:rsid w:val="006058D8"/>
    <w:rsid w:val="00625E88"/>
    <w:rsid w:val="00656FCE"/>
    <w:rsid w:val="00660AD6"/>
    <w:rsid w:val="006678F3"/>
    <w:rsid w:val="0067077F"/>
    <w:rsid w:val="00686C97"/>
    <w:rsid w:val="006A443D"/>
    <w:rsid w:val="006B10F2"/>
    <w:rsid w:val="006D79F5"/>
    <w:rsid w:val="006E49E0"/>
    <w:rsid w:val="00721A32"/>
    <w:rsid w:val="00726469"/>
    <w:rsid w:val="00787B32"/>
    <w:rsid w:val="007C53BC"/>
    <w:rsid w:val="007F3DD4"/>
    <w:rsid w:val="0082549B"/>
    <w:rsid w:val="008A71E7"/>
    <w:rsid w:val="008D367C"/>
    <w:rsid w:val="00906F73"/>
    <w:rsid w:val="009A4EB5"/>
    <w:rsid w:val="009B367A"/>
    <w:rsid w:val="00A001EB"/>
    <w:rsid w:val="00A50FDA"/>
    <w:rsid w:val="00A577EA"/>
    <w:rsid w:val="00A960A7"/>
    <w:rsid w:val="00AB490C"/>
    <w:rsid w:val="00AC7C77"/>
    <w:rsid w:val="00AF0A58"/>
    <w:rsid w:val="00AF3E53"/>
    <w:rsid w:val="00B5764C"/>
    <w:rsid w:val="00B8336E"/>
    <w:rsid w:val="00BC06DB"/>
    <w:rsid w:val="00BD183C"/>
    <w:rsid w:val="00BE7078"/>
    <w:rsid w:val="00C701F3"/>
    <w:rsid w:val="00D61146"/>
    <w:rsid w:val="00D94531"/>
    <w:rsid w:val="00DC0A49"/>
    <w:rsid w:val="00DF686D"/>
    <w:rsid w:val="00DF6D75"/>
    <w:rsid w:val="00DF73FC"/>
    <w:rsid w:val="00E20F68"/>
    <w:rsid w:val="00E9523F"/>
    <w:rsid w:val="00F03BAE"/>
    <w:rsid w:val="00F16EC9"/>
    <w:rsid w:val="00F452B3"/>
    <w:rsid w:val="00F667B5"/>
    <w:rsid w:val="00F70154"/>
    <w:rsid w:val="00F90084"/>
    <w:rsid w:val="00F94C2C"/>
    <w:rsid w:val="00F95AD5"/>
    <w:rsid w:val="00FA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5CD9"/>
  <w15:chartTrackingRefBased/>
  <w15:docId w15:val="{E9563819-B03B-4C4A-95D2-A87FEAD4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7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77E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15DC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9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nayka.com.ua/pdf/3_2021/8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uments1.worldbank.org/curated/en/902971468764409654/pdf/multi0pag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1599/are.2022.08.02.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21003/ea.V177-11" TargetMode="External"/><Relationship Id="rId10" Type="http://schemas.openxmlformats.org/officeDocument/2006/relationships/hyperlink" Target="https://doi.org/10.32702/2306-6806.2019.5.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gvd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Валентинович Пилипенко</dc:creator>
  <cp:keywords/>
  <dc:description/>
  <cp:lastModifiedBy>Вячеслав Валентинович Пилипенко</cp:lastModifiedBy>
  <cp:revision>100</cp:revision>
  <dcterms:created xsi:type="dcterms:W3CDTF">2023-05-05T07:50:00Z</dcterms:created>
  <dcterms:modified xsi:type="dcterms:W3CDTF">2023-05-05T11:12:00Z</dcterms:modified>
</cp:coreProperties>
</file>