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44B" w:rsidRPr="00FD53AD" w:rsidRDefault="00A9144B" w:rsidP="00DA0C7D">
      <w:pPr>
        <w:jc w:val="right"/>
      </w:pPr>
      <w:proofErr w:type="spellStart"/>
      <w:r w:rsidRPr="00FD53AD">
        <w:t>Olena</w:t>
      </w:r>
      <w:proofErr w:type="spellEnd"/>
      <w:r w:rsidRPr="00FD53AD">
        <w:t xml:space="preserve"> </w:t>
      </w:r>
      <w:proofErr w:type="spellStart"/>
      <w:r w:rsidRPr="00FD53AD">
        <w:t>Visotska</w:t>
      </w:r>
      <w:proofErr w:type="spellEnd"/>
      <w:r w:rsidRPr="00FD53AD">
        <w:t>, Doctor of Technical Sciences</w:t>
      </w:r>
      <w:r w:rsidRPr="00FD53AD">
        <w:t>, Professor</w:t>
      </w:r>
      <w:r w:rsidR="00DB311C" w:rsidRPr="00FD53AD">
        <w:t>,</w:t>
      </w:r>
    </w:p>
    <w:p w:rsidR="00DB311C" w:rsidRPr="00FD53AD" w:rsidRDefault="00DB311C" w:rsidP="00DA0C7D">
      <w:pPr>
        <w:jc w:val="right"/>
      </w:pPr>
      <w:r w:rsidRPr="00FD53AD">
        <w:t>National Aerospace University «</w:t>
      </w:r>
      <w:proofErr w:type="spellStart"/>
      <w:r w:rsidRPr="00FD53AD">
        <w:t>Kharkiv</w:t>
      </w:r>
      <w:proofErr w:type="spellEnd"/>
      <w:r w:rsidRPr="00FD53AD">
        <w:t xml:space="preserve"> Aviation Institute», </w:t>
      </w:r>
      <w:proofErr w:type="spellStart"/>
      <w:r w:rsidRPr="00FD53AD">
        <w:t>Kharkiv</w:t>
      </w:r>
      <w:proofErr w:type="spellEnd"/>
    </w:p>
    <w:p w:rsidR="00A9144B" w:rsidRPr="00FD53AD" w:rsidRDefault="00DB311C" w:rsidP="00DA0C7D">
      <w:pPr>
        <w:jc w:val="right"/>
      </w:pPr>
      <w:r w:rsidRPr="00FD53AD">
        <w:t>ORCID:</w:t>
      </w:r>
      <w:r w:rsidRPr="00FD53AD">
        <w:t xml:space="preserve"> 0000-0003-3723-9771</w:t>
      </w:r>
    </w:p>
    <w:p w:rsidR="00DB311C" w:rsidRPr="00FD53AD" w:rsidRDefault="00DB311C" w:rsidP="00DA0C7D">
      <w:pPr>
        <w:jc w:val="right"/>
      </w:pPr>
      <w:proofErr w:type="spellStart"/>
      <w:r w:rsidRPr="00FD53AD">
        <w:t>Andrii</w:t>
      </w:r>
      <w:proofErr w:type="spellEnd"/>
      <w:r w:rsidRPr="00FD53AD">
        <w:t xml:space="preserve"> </w:t>
      </w:r>
      <w:proofErr w:type="spellStart"/>
      <w:r w:rsidRPr="00FD53AD">
        <w:t>Porvan</w:t>
      </w:r>
      <w:proofErr w:type="spellEnd"/>
      <w:r w:rsidRPr="00FD53AD">
        <w:t xml:space="preserve">, </w:t>
      </w:r>
      <w:r w:rsidRPr="00FD53AD">
        <w:t>PhD</w:t>
      </w:r>
      <w:r w:rsidRPr="00FD53AD">
        <w:t xml:space="preserve">, </w:t>
      </w:r>
      <w:r w:rsidRPr="00FD53AD">
        <w:t>A</w:t>
      </w:r>
      <w:r w:rsidRPr="00FD53AD">
        <w:t>ssociate professor,</w:t>
      </w:r>
    </w:p>
    <w:p w:rsidR="00DB311C" w:rsidRPr="00FD53AD" w:rsidRDefault="00DB311C" w:rsidP="00DA0C7D">
      <w:pPr>
        <w:jc w:val="right"/>
      </w:pPr>
      <w:r w:rsidRPr="00FD53AD">
        <w:t>National Aerospace University «</w:t>
      </w:r>
      <w:proofErr w:type="spellStart"/>
      <w:r w:rsidRPr="00FD53AD">
        <w:t>Kharkiv</w:t>
      </w:r>
      <w:proofErr w:type="spellEnd"/>
      <w:r w:rsidRPr="00FD53AD">
        <w:t xml:space="preserve"> Aviation Institute», </w:t>
      </w:r>
      <w:proofErr w:type="spellStart"/>
      <w:r w:rsidRPr="00FD53AD">
        <w:t>Kharkiv</w:t>
      </w:r>
      <w:proofErr w:type="spellEnd"/>
    </w:p>
    <w:p w:rsidR="00DB311C" w:rsidRPr="00FD53AD" w:rsidRDefault="00DB311C" w:rsidP="00DA0C7D">
      <w:pPr>
        <w:jc w:val="right"/>
      </w:pPr>
      <w:r w:rsidRPr="00FD53AD">
        <w:t xml:space="preserve">ORCID: </w:t>
      </w:r>
      <w:r w:rsidRPr="00FD53AD">
        <w:t>0000-0001-9727-0995</w:t>
      </w:r>
    </w:p>
    <w:p w:rsidR="00DB311C" w:rsidRPr="00FD53AD" w:rsidRDefault="00DA0C7D" w:rsidP="00DA0C7D">
      <w:pPr>
        <w:jc w:val="right"/>
      </w:pPr>
      <w:proofErr w:type="spellStart"/>
      <w:r w:rsidRPr="00FD53AD">
        <w:t>Oleksii</w:t>
      </w:r>
      <w:proofErr w:type="spellEnd"/>
      <w:r w:rsidRPr="00FD53AD">
        <w:t xml:space="preserve"> </w:t>
      </w:r>
      <w:proofErr w:type="spellStart"/>
      <w:r w:rsidRPr="00FD53AD">
        <w:t>Kovtun</w:t>
      </w:r>
      <w:proofErr w:type="spellEnd"/>
      <w:r w:rsidR="00DB311C" w:rsidRPr="00FD53AD">
        <w:t xml:space="preserve">, </w:t>
      </w:r>
      <w:r w:rsidRPr="00FD53AD">
        <w:t>master's student</w:t>
      </w:r>
      <w:r w:rsidRPr="00FD53AD">
        <w:t>,</w:t>
      </w:r>
    </w:p>
    <w:p w:rsidR="00DA0C7D" w:rsidRPr="00FD53AD" w:rsidRDefault="00DA0C7D" w:rsidP="00DA0C7D">
      <w:pPr>
        <w:jc w:val="right"/>
      </w:pPr>
      <w:r w:rsidRPr="00FD53AD">
        <w:t>National Aerospace University «</w:t>
      </w:r>
      <w:proofErr w:type="spellStart"/>
      <w:r w:rsidRPr="00FD53AD">
        <w:t>Kharkiv</w:t>
      </w:r>
      <w:proofErr w:type="spellEnd"/>
      <w:r w:rsidRPr="00FD53AD">
        <w:t xml:space="preserve"> Aviation Institute», </w:t>
      </w:r>
      <w:proofErr w:type="spellStart"/>
      <w:r w:rsidRPr="00FD53AD">
        <w:t>Kharkiv</w:t>
      </w:r>
      <w:proofErr w:type="spellEnd"/>
    </w:p>
    <w:p w:rsidR="00DA0C7D" w:rsidRPr="00FD53AD" w:rsidRDefault="00DA0C7D" w:rsidP="00DA0C7D">
      <w:pPr>
        <w:jc w:val="right"/>
      </w:pPr>
    </w:p>
    <w:p w:rsidR="00773127" w:rsidRPr="00FD53AD" w:rsidRDefault="00DA0C7D" w:rsidP="00DA0C7D">
      <w:pPr>
        <w:jc w:val="center"/>
        <w:rPr>
          <w:b/>
        </w:rPr>
      </w:pPr>
      <w:r w:rsidRPr="00FD53AD">
        <w:rPr>
          <w:b/>
        </w:rPr>
        <w:t>DETERMINATION OF PUBLIC HEALTH STATUS OF THE POPULATION</w:t>
      </w:r>
    </w:p>
    <w:p w:rsidR="00D11B3C" w:rsidRPr="00FD53AD" w:rsidRDefault="00D11B3C" w:rsidP="00DA0C7D">
      <w:pPr>
        <w:ind w:firstLine="680"/>
      </w:pPr>
    </w:p>
    <w:p w:rsidR="00B241D5" w:rsidRPr="00FD53AD" w:rsidRDefault="00DA0C7D" w:rsidP="00DA0C7D">
      <w:pPr>
        <w:ind w:firstLine="709"/>
      </w:pPr>
      <w:r w:rsidRPr="00FD53AD">
        <w:t>Public health, like the health of every citizen, is a strategic goal of the state, a condition of its national security</w:t>
      </w:r>
      <w:r w:rsidR="00B241D5" w:rsidRPr="00FD53AD">
        <w:t xml:space="preserve">. </w:t>
      </w:r>
      <w:r w:rsidRPr="00FD53AD">
        <w:t xml:space="preserve">The development of public health monitoring is a mandatory element of state regulation in the sphere of improving the quality of life of citizens. The concept of </w:t>
      </w:r>
      <w:r w:rsidR="00034157">
        <w:rPr>
          <w:lang w:val="uk-UA"/>
        </w:rPr>
        <w:t>«</w:t>
      </w:r>
      <w:r w:rsidRPr="00FD53AD">
        <w:t>public health</w:t>
      </w:r>
      <w:r w:rsidR="00034157">
        <w:rPr>
          <w:lang w:val="uk-UA"/>
        </w:rPr>
        <w:t>»</w:t>
      </w:r>
      <w:r w:rsidRPr="00FD53AD">
        <w:t xml:space="preserve"> is conditionally statistical, due to the complex impact of social, biological factors of the environment</w:t>
      </w:r>
      <w:r w:rsidR="00FD53AD">
        <w:t xml:space="preserve"> [1]</w:t>
      </w:r>
      <w:r w:rsidR="0012276A" w:rsidRPr="00FD53AD">
        <w:t>.</w:t>
      </w:r>
    </w:p>
    <w:p w:rsidR="00D11B3C" w:rsidRPr="00FD53AD" w:rsidRDefault="00C23CFE" w:rsidP="0033267D">
      <w:pPr>
        <w:ind w:firstLine="709"/>
      </w:pPr>
      <w:r w:rsidRPr="00C23CFE">
        <w:t>There is no single method for assessing both public and individual health, but there are many attempts to create an integral indicator of health assessment</w:t>
      </w:r>
      <w:r>
        <w:rPr>
          <w:lang w:val="uk-UA"/>
        </w:rPr>
        <w:t xml:space="preserve"> </w:t>
      </w:r>
      <w:r>
        <w:t>[2]</w:t>
      </w:r>
      <w:r w:rsidRPr="00C23CFE">
        <w:t>.</w:t>
      </w:r>
      <w:r>
        <w:rPr>
          <w:lang w:val="uk-UA"/>
        </w:rPr>
        <w:t xml:space="preserve"> </w:t>
      </w:r>
      <w:r w:rsidR="00DA0C7D" w:rsidRPr="00FD53AD">
        <w:t xml:space="preserve">At present, various methods, criteria, coefficients, and indices </w:t>
      </w:r>
      <w:proofErr w:type="gramStart"/>
      <w:r w:rsidR="00DA0C7D" w:rsidRPr="00FD53AD">
        <w:t>are used</w:t>
      </w:r>
      <w:proofErr w:type="gramEnd"/>
      <w:r w:rsidR="00DA0C7D" w:rsidRPr="00FD53AD">
        <w:t xml:space="preserve"> to assess public health.</w:t>
      </w:r>
      <w:r w:rsidR="005D39C0" w:rsidRPr="00FD53AD">
        <w:t xml:space="preserve"> </w:t>
      </w:r>
      <w:r w:rsidR="005148F1" w:rsidRPr="00FD53AD">
        <w:t>The use of individual indicators makes it possible to assess some aspects of public health, but does not allow for its comprehensive analysis</w:t>
      </w:r>
      <w:r>
        <w:rPr>
          <w:lang w:val="uk-UA"/>
        </w:rPr>
        <w:t xml:space="preserve"> </w:t>
      </w:r>
      <w:r>
        <w:t>[3-5]</w:t>
      </w:r>
      <w:r w:rsidR="005148F1" w:rsidRPr="00FD53AD">
        <w:t xml:space="preserve">. Well-known complex indicators, such as the </w:t>
      </w:r>
      <w:r w:rsidR="00034157">
        <w:rPr>
          <w:lang w:val="uk-UA"/>
        </w:rPr>
        <w:t>«</w:t>
      </w:r>
      <w:r w:rsidR="005148F1" w:rsidRPr="00FD53AD">
        <w:t>DALY</w:t>
      </w:r>
      <w:r w:rsidR="00034157">
        <w:rPr>
          <w:lang w:val="uk-UA"/>
        </w:rPr>
        <w:t>»</w:t>
      </w:r>
      <w:r w:rsidR="005148F1" w:rsidRPr="00FD53AD">
        <w:t xml:space="preserve"> method, the human development index, the coefficient of vitality, etc., despite their integral nature, take into account only the biological determinant of the decline in public health, and not the characteristic itself.</w:t>
      </w:r>
      <w:r w:rsidR="00DA15E9" w:rsidRPr="00FD53AD">
        <w:t xml:space="preserve"> </w:t>
      </w:r>
      <w:r w:rsidR="005148F1" w:rsidRPr="00FD53AD">
        <w:t xml:space="preserve">Therefore, the goal of the work was to develop a method for determining the state of public health of the population, which will allow assessing the state of public health, taking into account all significant components of public health, which will contribute to a </w:t>
      </w:r>
      <w:proofErr w:type="gramStart"/>
      <w:r w:rsidR="005148F1" w:rsidRPr="00FD53AD">
        <w:t>more qualitative</w:t>
      </w:r>
      <w:proofErr w:type="gramEnd"/>
      <w:r w:rsidR="005148F1" w:rsidRPr="00FD53AD">
        <w:t xml:space="preserve"> solution to problems in this area.</w:t>
      </w:r>
    </w:p>
    <w:p w:rsidR="00FD53AD" w:rsidRDefault="005148F1" w:rsidP="00DA0C7D">
      <w:pPr>
        <w:ind w:firstLine="709"/>
      </w:pPr>
      <w:r w:rsidRPr="00FD53AD">
        <w:lastRenderedPageBreak/>
        <w:t xml:space="preserve">The study of the state of public health of the population </w:t>
      </w:r>
      <w:proofErr w:type="gramStart"/>
      <w:r w:rsidRPr="00FD53AD">
        <w:t>was carried out</w:t>
      </w:r>
      <w:proofErr w:type="gramEnd"/>
      <w:r w:rsidRPr="00FD53AD">
        <w:t xml:space="preserve"> in the section of district centers of 20 regions of Ukraine. Statistical data and average annual indicators for 5 years calculated on their basis are used</w:t>
      </w:r>
      <w:r w:rsidR="00080E7C" w:rsidRPr="00FD53AD">
        <w:t xml:space="preserve">. </w:t>
      </w:r>
      <w:r w:rsidRPr="00FD53AD">
        <w:t>Among the indicators of public health assessment (</w:t>
      </w:r>
      <w:r w:rsidRPr="00752AB7">
        <w:rPr>
          <w:i/>
        </w:rPr>
        <w:t>L</w:t>
      </w:r>
      <w:r w:rsidRPr="00FD53AD">
        <w:t>) of the population, classical public health indicators are used</w:t>
      </w:r>
      <w:r w:rsidR="00080E7C" w:rsidRPr="00FD53AD">
        <w:t xml:space="preserve">: </w:t>
      </w:r>
      <w:r w:rsidR="00881619" w:rsidRPr="00FD53AD">
        <w:rPr>
          <w:i/>
        </w:rPr>
        <w:t>x</w:t>
      </w:r>
      <w:r w:rsidR="00881619" w:rsidRPr="00FD53AD">
        <w:rPr>
          <w:vertAlign w:val="subscript"/>
        </w:rPr>
        <w:t>1</w:t>
      </w:r>
      <w:r w:rsidR="00080E7C" w:rsidRPr="00FD53AD">
        <w:t xml:space="preserve"> </w:t>
      </w:r>
      <w:r w:rsidR="00881619" w:rsidRPr="00FD53AD">
        <w:t>–</w:t>
      </w:r>
      <w:r w:rsidR="00080E7C" w:rsidRPr="00FD53AD">
        <w:t xml:space="preserve"> </w:t>
      </w:r>
      <w:r w:rsidRPr="00FD53AD">
        <w:t>average age of the territory's population</w:t>
      </w:r>
      <w:r w:rsidR="00080E7C" w:rsidRPr="00FD53AD">
        <w:t xml:space="preserve">; </w:t>
      </w:r>
      <w:r w:rsidR="00881619" w:rsidRPr="00FD53AD">
        <w:rPr>
          <w:i/>
        </w:rPr>
        <w:t>x</w:t>
      </w:r>
      <w:r w:rsidR="00881619" w:rsidRPr="00FD53AD">
        <w:rPr>
          <w:vertAlign w:val="subscript"/>
        </w:rPr>
        <w:t>2</w:t>
      </w:r>
      <w:r w:rsidR="00080E7C" w:rsidRPr="00FD53AD">
        <w:t xml:space="preserve"> </w:t>
      </w:r>
      <w:r w:rsidR="00881619" w:rsidRPr="00FD53AD">
        <w:t>–</w:t>
      </w:r>
      <w:r w:rsidR="00080E7C" w:rsidRPr="00FD53AD">
        <w:t xml:space="preserve"> </w:t>
      </w:r>
      <w:r w:rsidRPr="00FD53AD">
        <w:t>primary morbidity indicator</w:t>
      </w:r>
      <w:r w:rsidR="00080E7C" w:rsidRPr="00FD53AD">
        <w:t xml:space="preserve">; </w:t>
      </w:r>
      <w:r w:rsidR="00881619" w:rsidRPr="00FD53AD">
        <w:rPr>
          <w:i/>
        </w:rPr>
        <w:t>x</w:t>
      </w:r>
      <w:r w:rsidR="00881619" w:rsidRPr="00FD53AD">
        <w:rPr>
          <w:vertAlign w:val="subscript"/>
        </w:rPr>
        <w:t>3</w:t>
      </w:r>
      <w:r w:rsidR="00080E7C" w:rsidRPr="00FD53AD">
        <w:t xml:space="preserve"> </w:t>
      </w:r>
      <w:r w:rsidR="00881619" w:rsidRPr="00FD53AD">
        <w:t>–</w:t>
      </w:r>
      <w:r w:rsidR="00080E7C" w:rsidRPr="00FD53AD">
        <w:t xml:space="preserve"> </w:t>
      </w:r>
      <w:r w:rsidRPr="00FD53AD">
        <w:t>an indicator of total morbidity</w:t>
      </w:r>
      <w:r w:rsidR="00080E7C" w:rsidRPr="00FD53AD">
        <w:t xml:space="preserve">; </w:t>
      </w:r>
      <w:r w:rsidR="00881619" w:rsidRPr="00FD53AD">
        <w:rPr>
          <w:i/>
        </w:rPr>
        <w:t>x</w:t>
      </w:r>
      <w:r w:rsidR="00881619" w:rsidRPr="00FD53AD">
        <w:rPr>
          <w:vertAlign w:val="subscript"/>
        </w:rPr>
        <w:t>4</w:t>
      </w:r>
      <w:r w:rsidR="00080E7C" w:rsidRPr="00FD53AD">
        <w:rPr>
          <w:vertAlign w:val="subscript"/>
        </w:rPr>
        <w:t xml:space="preserve"> </w:t>
      </w:r>
      <w:r w:rsidR="00881619" w:rsidRPr="00FD53AD">
        <w:rPr>
          <w:vertAlign w:val="subscript"/>
        </w:rPr>
        <w:t xml:space="preserve"> </w:t>
      </w:r>
      <w:r w:rsidR="00FD53AD" w:rsidRPr="00FD53AD">
        <w:t>–</w:t>
      </w:r>
      <w:r w:rsidR="00080E7C" w:rsidRPr="00FD53AD">
        <w:t xml:space="preserve"> </w:t>
      </w:r>
      <w:r w:rsidRPr="00FD53AD">
        <w:t>disability index</w:t>
      </w:r>
      <w:r w:rsidR="00080E7C" w:rsidRPr="00FD53AD">
        <w:t xml:space="preserve">; </w:t>
      </w:r>
      <w:r w:rsidR="00881619" w:rsidRPr="00FD53AD">
        <w:rPr>
          <w:i/>
        </w:rPr>
        <w:t>x</w:t>
      </w:r>
      <w:r w:rsidR="00881619" w:rsidRPr="00FD53AD">
        <w:rPr>
          <w:vertAlign w:val="subscript"/>
        </w:rPr>
        <w:t>5</w:t>
      </w:r>
      <w:r w:rsidR="00080E7C" w:rsidRPr="00FD53AD">
        <w:t xml:space="preserve"> </w:t>
      </w:r>
      <w:r w:rsidR="00881619" w:rsidRPr="00FD53AD">
        <w:t>–</w:t>
      </w:r>
      <w:r w:rsidR="00080E7C" w:rsidRPr="00FD53AD">
        <w:t xml:space="preserve"> </w:t>
      </w:r>
      <w:r w:rsidRPr="00FD53AD">
        <w:t>mortality rate</w:t>
      </w:r>
      <w:r w:rsidR="00080E7C" w:rsidRPr="00FD53AD">
        <w:t xml:space="preserve">, </w:t>
      </w:r>
      <w:r w:rsidR="00C72040" w:rsidRPr="00FD53AD">
        <w:rPr>
          <w:i/>
        </w:rPr>
        <w:t>x</w:t>
      </w:r>
      <w:r w:rsidR="00C72040" w:rsidRPr="00FD53AD">
        <w:rPr>
          <w:vertAlign w:val="subscript"/>
        </w:rPr>
        <w:t>6</w:t>
      </w:r>
      <w:r w:rsidR="00C72040" w:rsidRPr="00FD53AD">
        <w:t xml:space="preserve"> </w:t>
      </w:r>
      <w:r w:rsidR="00FD53AD" w:rsidRPr="00FD53AD">
        <w:t>–</w:t>
      </w:r>
      <w:r w:rsidR="00C72040" w:rsidRPr="00FD53AD">
        <w:rPr>
          <w:vertAlign w:val="subscript"/>
        </w:rPr>
        <w:t xml:space="preserve"> </w:t>
      </w:r>
      <w:r w:rsidRPr="00FD53AD">
        <w:t>demographic index</w:t>
      </w:r>
      <w:r w:rsidR="00C72040" w:rsidRPr="00FD53AD">
        <w:t xml:space="preserve">, </w:t>
      </w:r>
      <w:r w:rsidR="00C72040" w:rsidRPr="00FD53AD">
        <w:rPr>
          <w:i/>
        </w:rPr>
        <w:t>x</w:t>
      </w:r>
      <w:r w:rsidR="00C72040" w:rsidRPr="00FD53AD">
        <w:rPr>
          <w:vertAlign w:val="subscript"/>
        </w:rPr>
        <w:t>7</w:t>
      </w:r>
      <w:r w:rsidR="00C72040" w:rsidRPr="00FD53AD">
        <w:t xml:space="preserve"> </w:t>
      </w:r>
      <w:r w:rsidR="00FD53AD" w:rsidRPr="00FD53AD">
        <w:t>–</w:t>
      </w:r>
      <w:r w:rsidR="00C72040" w:rsidRPr="00FD53AD">
        <w:rPr>
          <w:vertAlign w:val="subscript"/>
        </w:rPr>
        <w:t xml:space="preserve"> </w:t>
      </w:r>
      <w:r w:rsidRPr="00FD53AD">
        <w:t>indicator of physical development of the population</w:t>
      </w:r>
      <w:r w:rsidR="00080E7C" w:rsidRPr="00FD53AD">
        <w:t xml:space="preserve">. </w:t>
      </w:r>
      <w:r w:rsidR="00FD53AD" w:rsidRPr="00FD53AD">
        <w:t>The calculations used average indicators (</w:t>
      </w:r>
      <w:proofErr w:type="spellStart"/>
      <w:r w:rsidR="00FD53AD" w:rsidRPr="00FD53AD">
        <w:rPr>
          <w:i/>
        </w:rPr>
        <w:t>L</w:t>
      </w:r>
      <w:r w:rsidR="00FD53AD" w:rsidRPr="00FD53AD">
        <w:rPr>
          <w:i/>
          <w:vertAlign w:val="subscript"/>
        </w:rPr>
        <w:t>avg</w:t>
      </w:r>
      <w:proofErr w:type="spellEnd"/>
      <w:r w:rsidR="00FD53AD" w:rsidRPr="00FD53AD">
        <w:t>), as well as maximum (</w:t>
      </w:r>
      <w:proofErr w:type="spellStart"/>
      <w:r w:rsidR="00FD53AD" w:rsidRPr="00FD53AD">
        <w:rPr>
          <w:i/>
        </w:rPr>
        <w:t>L</w:t>
      </w:r>
      <w:r w:rsidR="00FD53AD" w:rsidRPr="00FD53AD">
        <w:rPr>
          <w:i/>
          <w:vertAlign w:val="subscript"/>
        </w:rPr>
        <w:t>max</w:t>
      </w:r>
      <w:proofErr w:type="spellEnd"/>
      <w:r w:rsidR="00FD53AD" w:rsidRPr="00FD53AD">
        <w:t>) and minimum (</w:t>
      </w:r>
      <w:proofErr w:type="spellStart"/>
      <w:r w:rsidR="00FD53AD" w:rsidRPr="00FD53AD">
        <w:rPr>
          <w:i/>
        </w:rPr>
        <w:t>L</w:t>
      </w:r>
      <w:r w:rsidR="00FD53AD" w:rsidRPr="00FD53AD">
        <w:rPr>
          <w:i/>
          <w:vertAlign w:val="subscript"/>
        </w:rPr>
        <w:t>min</w:t>
      </w:r>
      <w:proofErr w:type="spellEnd"/>
      <w:r w:rsidR="00FD53AD" w:rsidRPr="00FD53AD">
        <w:t>), which are necessary for calculating private territorial coefficients</w:t>
      </w:r>
      <w:r w:rsidR="00080E7C" w:rsidRPr="00FD53AD">
        <w:t xml:space="preserve"> (</w:t>
      </w:r>
      <w:r w:rsidR="00881619" w:rsidRPr="00FD53AD">
        <w:rPr>
          <w:i/>
        </w:rPr>
        <w:t>K</w:t>
      </w:r>
      <w:r w:rsidR="00881619" w:rsidRPr="00FD53AD">
        <w:rPr>
          <w:i/>
          <w:vertAlign w:val="subscript"/>
        </w:rPr>
        <w:t>1</w:t>
      </w:r>
      <w:r w:rsidR="00080E7C" w:rsidRPr="00FD53AD">
        <w:t xml:space="preserve">, </w:t>
      </w:r>
      <w:r w:rsidR="00881619" w:rsidRPr="00FD53AD">
        <w:rPr>
          <w:i/>
        </w:rPr>
        <w:t>K</w:t>
      </w:r>
      <w:r w:rsidR="00881619" w:rsidRPr="00FD53AD">
        <w:rPr>
          <w:i/>
          <w:vertAlign w:val="subscript"/>
        </w:rPr>
        <w:t>2</w:t>
      </w:r>
      <w:r w:rsidR="00080E7C" w:rsidRPr="00FD53AD">
        <w:t xml:space="preserve">, </w:t>
      </w:r>
      <w:r w:rsidR="00881619" w:rsidRPr="00FD53AD">
        <w:rPr>
          <w:i/>
        </w:rPr>
        <w:t>K</w:t>
      </w:r>
      <w:r w:rsidR="00881619" w:rsidRPr="00FD53AD">
        <w:rPr>
          <w:i/>
          <w:vertAlign w:val="subscript"/>
        </w:rPr>
        <w:t>3</w:t>
      </w:r>
      <w:r w:rsidR="00080E7C" w:rsidRPr="00FD53AD">
        <w:t>,</w:t>
      </w:r>
      <w:r w:rsidR="00881619" w:rsidRPr="00FD53AD">
        <w:t xml:space="preserve"> </w:t>
      </w:r>
      <w:r w:rsidR="00881619" w:rsidRPr="00FD53AD">
        <w:rPr>
          <w:i/>
        </w:rPr>
        <w:t>K</w:t>
      </w:r>
      <w:r w:rsidR="00881619" w:rsidRPr="00FD53AD">
        <w:rPr>
          <w:i/>
          <w:vertAlign w:val="subscript"/>
        </w:rPr>
        <w:t>4</w:t>
      </w:r>
      <w:r w:rsidR="00080E7C" w:rsidRPr="00FD53AD">
        <w:t xml:space="preserve">, </w:t>
      </w:r>
      <w:r w:rsidR="00881619" w:rsidRPr="00FD53AD">
        <w:rPr>
          <w:i/>
        </w:rPr>
        <w:t>K</w:t>
      </w:r>
      <w:r w:rsidR="00881619" w:rsidRPr="00FD53AD">
        <w:rPr>
          <w:i/>
          <w:vertAlign w:val="subscript"/>
        </w:rPr>
        <w:t>5</w:t>
      </w:r>
      <w:r w:rsidR="00881619" w:rsidRPr="00FD53AD">
        <w:t xml:space="preserve">, </w:t>
      </w:r>
      <w:r w:rsidR="00881619" w:rsidRPr="00FD53AD">
        <w:rPr>
          <w:i/>
        </w:rPr>
        <w:t>K</w:t>
      </w:r>
      <w:r w:rsidR="00881619" w:rsidRPr="00FD53AD">
        <w:rPr>
          <w:i/>
          <w:vertAlign w:val="subscript"/>
        </w:rPr>
        <w:t>6</w:t>
      </w:r>
      <w:r w:rsidR="00881619" w:rsidRPr="00FD53AD">
        <w:t xml:space="preserve">, </w:t>
      </w:r>
      <w:proofErr w:type="gramStart"/>
      <w:r w:rsidR="00881619" w:rsidRPr="00FD53AD">
        <w:rPr>
          <w:i/>
        </w:rPr>
        <w:t>K</w:t>
      </w:r>
      <w:r w:rsidR="00881619" w:rsidRPr="00FD53AD">
        <w:rPr>
          <w:i/>
          <w:vertAlign w:val="subscript"/>
        </w:rPr>
        <w:t>7</w:t>
      </w:r>
      <w:proofErr w:type="gramEnd"/>
      <w:r w:rsidR="00080E7C" w:rsidRPr="00FD53AD">
        <w:t xml:space="preserve">). </w:t>
      </w:r>
      <w:r w:rsidR="00FD53AD" w:rsidRPr="00FD53AD">
        <w:t xml:space="preserve">The calculation </w:t>
      </w:r>
      <w:proofErr w:type="gramStart"/>
      <w:r w:rsidR="00FD53AD" w:rsidRPr="00FD53AD">
        <w:t>was carried out</w:t>
      </w:r>
      <w:proofErr w:type="gramEnd"/>
      <w:r w:rsidR="00FD53AD" w:rsidRPr="00FD53AD">
        <w:t xml:space="preserve"> according to the formula</w:t>
      </w:r>
      <w:r w:rsidR="00881619" w:rsidRPr="00FD53AD">
        <w:t xml:space="preserve">: </w:t>
      </w:r>
    </w:p>
    <w:p w:rsidR="0033267D" w:rsidRPr="0033267D" w:rsidRDefault="0033267D" w:rsidP="00DA0C7D">
      <w:pPr>
        <w:ind w:firstLine="709"/>
        <w:rPr>
          <w:lang w:val="uk-UA"/>
        </w:rPr>
      </w:pPr>
    </w:p>
    <w:p w:rsidR="00881619" w:rsidRPr="00FD53AD" w:rsidRDefault="00C23CFE" w:rsidP="00FD53AD">
      <w:pPr>
        <w:jc w:val="center"/>
        <w:rPr>
          <w:i/>
          <w:sz w:val="24"/>
          <w:szCs w:val="24"/>
        </w:rPr>
      </w:pPr>
      <m:oMath>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i</m:t>
            </m:r>
          </m:sub>
        </m:sSub>
        <m:r>
          <w:rPr>
            <w:rFonts w:ascii="Cambria Math" w:hAnsi="Cambria Math"/>
            <w:sz w:val="24"/>
            <w:szCs w:val="24"/>
          </w:rPr>
          <m:t>=</m:t>
        </m:r>
        <m:d>
          <m:dPr>
            <m:begChr m:val="{"/>
            <m:endChr m:val=""/>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0,5+</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Me</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num>
                    <m:den>
                      <m:r>
                        <w:rPr>
                          <w:rFonts w:ascii="Cambria Math" w:hAnsi="Cambria Math"/>
                          <w:sz w:val="24"/>
                          <w:szCs w:val="24"/>
                        </w:rPr>
                        <m:t>2∙(</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avg</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min</m:t>
                          </m:r>
                        </m:sub>
                      </m:sSub>
                      <m:r>
                        <w:rPr>
                          <w:rFonts w:ascii="Cambria Math" w:hAnsi="Cambria Math"/>
                          <w:sz w:val="24"/>
                          <w:szCs w:val="24"/>
                        </w:rPr>
                        <m:t>)</m:t>
                      </m:r>
                    </m:den>
                  </m:f>
                  <m:r>
                    <w:rPr>
                      <w:rFonts w:ascii="Cambria Math" w:hAnsi="Cambria Math"/>
                      <w:sz w:val="24"/>
                      <w:szCs w:val="24"/>
                    </w:rPr>
                    <m:t>,</m:t>
                  </m:r>
                  <m:r>
                    <w:rPr>
                      <w:rFonts w:ascii="Cambria Math" w:hAnsi="Cambria Math"/>
                      <w:sz w:val="24"/>
                      <w:szCs w:val="24"/>
                    </w:rPr>
                    <m:t xml:space="preserve"> </m:t>
                  </m:r>
                  <m:r>
                    <w:rPr>
                      <w:rFonts w:ascii="Cambria Math" w:hAnsi="Cambria Math"/>
                      <w:sz w:val="24"/>
                      <w:szCs w:val="24"/>
                    </w:rPr>
                    <m:t xml:space="preserve"> </m:t>
                  </m:r>
                  <m:r>
                    <w:rPr>
                      <w:rFonts w:ascii="Cambria Math" w:hAnsi="Cambria Math"/>
                      <w:sz w:val="24"/>
                      <w:szCs w:val="24"/>
                    </w:rPr>
                    <m:t>if</m:t>
                  </m:r>
                  <m:r>
                    <w:rPr>
                      <w:rFonts w:ascii="Cambria Math" w:hAnsi="Cambria Math"/>
                      <w:sz w:val="24"/>
                      <w:szCs w:val="24"/>
                    </w:rPr>
                    <m:t xml:space="preserve"> </m:t>
                  </m:r>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r>
                    <w:rPr>
                      <w:rFonts w:ascii="Cambria Math" w:hAnsi="Cambria Math"/>
                      <w:sz w:val="24"/>
                      <w:szCs w:val="24"/>
                    </w:rPr>
                    <m:t>&lt;</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Me</m:t>
                      </m:r>
                    </m:sub>
                  </m:sSub>
                  <m:r>
                    <w:rPr>
                      <w:rFonts w:ascii="Cambria Math" w:hAnsi="Cambria Math"/>
                      <w:sz w:val="24"/>
                      <w:szCs w:val="24"/>
                    </w:rPr>
                    <m:t xml:space="preserve"> </m:t>
                  </m:r>
                </m:e>
              </m:mr>
              <m:mr>
                <m:e>
                  <m:r>
                    <w:rPr>
                      <w:rFonts w:ascii="Cambria Math" w:hAnsi="Cambria Math"/>
                      <w:sz w:val="24"/>
                      <w:szCs w:val="24"/>
                    </w:rPr>
                    <m:t>0,5-</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Me</m:t>
                          </m:r>
                        </m:sub>
                      </m:sSub>
                    </m:num>
                    <m:den>
                      <m:r>
                        <w:rPr>
                          <w:rFonts w:ascii="Cambria Math" w:hAnsi="Cambria Math"/>
                          <w:sz w:val="24"/>
                          <w:szCs w:val="24"/>
                        </w:rPr>
                        <m:t>2∙</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max</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Me</m:t>
                              </m:r>
                            </m:sub>
                          </m:sSub>
                        </m:e>
                      </m:d>
                    </m:den>
                  </m:f>
                  <m:r>
                    <w:rPr>
                      <w:rFonts w:ascii="Cambria Math" w:hAnsi="Cambria Math"/>
                      <w:sz w:val="24"/>
                      <w:szCs w:val="24"/>
                    </w:rPr>
                    <m:t>,</m:t>
                  </m:r>
                  <m:r>
                    <w:rPr>
                      <w:rFonts w:ascii="Cambria Math" w:hAnsi="Cambria Math"/>
                      <w:sz w:val="24"/>
                      <w:szCs w:val="24"/>
                    </w:rPr>
                    <m:t xml:space="preserve"> </m:t>
                  </m:r>
                  <m:r>
                    <w:rPr>
                      <w:rFonts w:ascii="Cambria Math" w:hAnsi="Cambria Math"/>
                      <w:sz w:val="24"/>
                      <w:szCs w:val="24"/>
                    </w:rPr>
                    <m:t xml:space="preserve"> </m:t>
                  </m:r>
                  <m:r>
                    <w:rPr>
                      <w:rFonts w:ascii="Cambria Math" w:hAnsi="Cambria Math"/>
                      <w:sz w:val="24"/>
                      <w:szCs w:val="24"/>
                    </w:rPr>
                    <m:t xml:space="preserve">if </m:t>
                  </m:r>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Me</m:t>
                      </m:r>
                    </m:sub>
                  </m:sSub>
                </m:e>
              </m:mr>
            </m:m>
          </m:e>
        </m:d>
      </m:oMath>
      <w:r w:rsidR="00B974FD" w:rsidRPr="00FD53AD">
        <w:rPr>
          <w:rFonts w:eastAsiaTheme="minorEastAsia"/>
          <w:i/>
          <w:szCs w:val="28"/>
        </w:rPr>
        <w:t>,</w:t>
      </w:r>
    </w:p>
    <w:p w:rsidR="0033267D" w:rsidRDefault="0033267D" w:rsidP="00A9144B"/>
    <w:p w:rsidR="00080E7C" w:rsidRPr="00FD53AD" w:rsidRDefault="00FD53AD" w:rsidP="00A9144B">
      <w:pPr>
        <w:rPr>
          <w:rFonts w:eastAsiaTheme="minorEastAsia"/>
          <w:szCs w:val="28"/>
        </w:rPr>
      </w:pPr>
      <w:proofErr w:type="gramStart"/>
      <w:r>
        <w:t>where</w:t>
      </w:r>
      <w:proofErr w:type="gramEnd"/>
      <w:r w:rsidR="00B974FD" w:rsidRPr="00FD53AD">
        <w:t xml:space="preserve"> </w:t>
      </w:r>
      <m:oMath>
        <m:sSub>
          <m:sSubPr>
            <m:ctrlPr>
              <w:rPr>
                <w:rFonts w:ascii="Cambria Math" w:hAnsi="Cambria Math"/>
                <w:i/>
                <w:szCs w:val="28"/>
              </w:rPr>
            </m:ctrlPr>
          </m:sSubPr>
          <m:e>
            <m:r>
              <w:rPr>
                <w:rFonts w:ascii="Cambria Math" w:hAnsi="Cambria Math"/>
                <w:szCs w:val="28"/>
              </w:rPr>
              <m:t>x</m:t>
            </m:r>
          </m:e>
          <m:sub>
            <m:r>
              <w:rPr>
                <w:rFonts w:ascii="Cambria Math" w:hAnsi="Cambria Math"/>
                <w:szCs w:val="28"/>
              </w:rPr>
              <m:t>i</m:t>
            </m:r>
          </m:sub>
        </m:sSub>
      </m:oMath>
      <w:r w:rsidR="00B974FD" w:rsidRPr="00FD53AD">
        <w:rPr>
          <w:rFonts w:eastAsiaTheme="minorEastAsia"/>
          <w:szCs w:val="28"/>
        </w:rPr>
        <w:t xml:space="preserve"> – </w:t>
      </w:r>
      <w:r w:rsidRPr="00FD53AD">
        <w:rPr>
          <w:rFonts w:eastAsiaTheme="minorEastAsia"/>
          <w:szCs w:val="28"/>
        </w:rPr>
        <w:t xml:space="preserve">the actual value of the </w:t>
      </w:r>
      <w:proofErr w:type="spellStart"/>
      <w:r w:rsidRPr="00FD53AD">
        <w:rPr>
          <w:rFonts w:eastAsiaTheme="minorEastAsia"/>
          <w:i/>
          <w:szCs w:val="28"/>
        </w:rPr>
        <w:t>i</w:t>
      </w:r>
      <w:r w:rsidRPr="00FD53AD">
        <w:rPr>
          <w:rFonts w:eastAsiaTheme="minorEastAsia"/>
          <w:szCs w:val="28"/>
        </w:rPr>
        <w:t>-</w:t>
      </w:r>
      <w:r w:rsidRPr="00C04F69">
        <w:rPr>
          <w:rFonts w:eastAsiaTheme="minorEastAsia"/>
          <w:i/>
          <w:szCs w:val="28"/>
        </w:rPr>
        <w:t>th</w:t>
      </w:r>
      <w:proofErr w:type="spellEnd"/>
      <w:r w:rsidRPr="00FD53AD">
        <w:rPr>
          <w:rFonts w:eastAsiaTheme="minorEastAsia"/>
          <w:szCs w:val="28"/>
        </w:rPr>
        <w:t xml:space="preserve"> indicator occurring in the study area</w:t>
      </w:r>
      <w:r w:rsidR="00B974FD" w:rsidRPr="00FD53AD">
        <w:rPr>
          <w:rFonts w:eastAsiaTheme="minorEastAsia"/>
          <w:szCs w:val="28"/>
        </w:rPr>
        <w:t>;</w:t>
      </w:r>
    </w:p>
    <w:p w:rsidR="00B974FD" w:rsidRPr="00FD53AD" w:rsidRDefault="00FD53AD" w:rsidP="00A9144B">
      <w:r>
        <w:t xml:space="preserve">           </w:t>
      </w:r>
      <w:proofErr w:type="spellStart"/>
      <w:r w:rsidR="00B974FD" w:rsidRPr="00FD53AD">
        <w:rPr>
          <w:i/>
        </w:rPr>
        <w:t>L</w:t>
      </w:r>
      <w:r w:rsidR="00B974FD" w:rsidRPr="00FD53AD">
        <w:rPr>
          <w:i/>
          <w:vertAlign w:val="subscript"/>
        </w:rPr>
        <w:t>Me</w:t>
      </w:r>
      <w:proofErr w:type="spellEnd"/>
      <w:r w:rsidR="00B974FD" w:rsidRPr="00FD53AD">
        <w:t xml:space="preserve"> </w:t>
      </w:r>
      <w:r w:rsidR="002E760D" w:rsidRPr="00FD53AD">
        <w:t>–</w:t>
      </w:r>
      <w:r w:rsidR="00B974FD" w:rsidRPr="00FD53AD">
        <w:t xml:space="preserve"> </w:t>
      </w:r>
      <w:r w:rsidRPr="00FD53AD">
        <w:t>the median value of a particular indicator, which corresponds to the median of the ranking variation series</w:t>
      </w:r>
      <w:r w:rsidR="002E760D" w:rsidRPr="00FD53AD">
        <w:t>.</w:t>
      </w:r>
    </w:p>
    <w:p w:rsidR="00FD53AD" w:rsidRDefault="00FD53AD" w:rsidP="0033267D">
      <w:pPr>
        <w:ind w:firstLine="709"/>
      </w:pPr>
      <w:r w:rsidRPr="00FD53AD">
        <w:t xml:space="preserve">The assessment of public health of the population of the studied population </w:t>
      </w:r>
      <w:proofErr w:type="gramStart"/>
      <w:r w:rsidRPr="00FD53AD">
        <w:t>can be carried</w:t>
      </w:r>
      <w:proofErr w:type="gramEnd"/>
      <w:r w:rsidRPr="00FD53AD">
        <w:t xml:space="preserve"> out using the integral indicator of health status assessment</w:t>
      </w:r>
      <w:r>
        <w:t>:</w:t>
      </w:r>
    </w:p>
    <w:p w:rsidR="0033267D" w:rsidRPr="00FD53AD" w:rsidRDefault="0033267D" w:rsidP="0033267D">
      <w:pPr>
        <w:ind w:firstLine="709"/>
      </w:pPr>
    </w:p>
    <w:p w:rsidR="00FD53AD" w:rsidRDefault="002E760D" w:rsidP="00C04F69">
      <w:pPr>
        <w:jc w:val="center"/>
      </w:pPr>
      <m:oMathPara>
        <m:oMath>
          <m:r>
            <w:rPr>
              <w:rFonts w:ascii="Cambria Math" w:hAnsi="Cambria Math" w:cs="Times New Roman"/>
              <w:sz w:val="24"/>
              <w:szCs w:val="24"/>
            </w:rPr>
            <m:t>I=</m:t>
          </m:r>
          <m:f>
            <m:fPr>
              <m:ctrlPr>
                <w:rPr>
                  <w:rFonts w:ascii="Cambria Math" w:hAnsi="Cambria Math" w:cs="Times New Roman"/>
                  <w:i/>
                  <w:sz w:val="24"/>
                  <w:szCs w:val="24"/>
                </w:rPr>
              </m:ctrlPr>
            </m:fPr>
            <m:num>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7</m:t>
                  </m:r>
                </m:sup>
                <m:e>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i</m:t>
                      </m:r>
                    </m:sub>
                  </m:sSub>
                </m:e>
              </m:nary>
            </m:num>
            <m:den>
              <m:r>
                <w:rPr>
                  <w:rFonts w:ascii="Cambria Math" w:hAnsi="Cambria Math" w:cs="Times New Roman"/>
                  <w:sz w:val="24"/>
                  <w:szCs w:val="24"/>
                </w:rPr>
                <m:t>7</m:t>
              </m:r>
            </m:den>
          </m:f>
          <m:r>
            <w:rPr>
              <w:rFonts w:ascii="Cambria Math" w:hAnsi="Cambria Math" w:cs="Times New Roman"/>
              <w:sz w:val="24"/>
              <w:szCs w:val="24"/>
            </w:rPr>
            <m:t>,</m:t>
          </m:r>
        </m:oMath>
      </m:oMathPara>
    </w:p>
    <w:p w:rsidR="0033267D" w:rsidRDefault="0033267D" w:rsidP="00A9144B"/>
    <w:p w:rsidR="002E760D" w:rsidRDefault="00FD53AD" w:rsidP="00A9144B">
      <w:proofErr w:type="gramStart"/>
      <w:r>
        <w:t>where</w:t>
      </w:r>
      <w:proofErr w:type="gramEnd"/>
      <w:r w:rsidRPr="00C07FD5">
        <w:t xml:space="preserve"> </w:t>
      </w:r>
      <w:r w:rsidR="002E760D" w:rsidRPr="00FD53AD">
        <w:rPr>
          <w:i/>
        </w:rPr>
        <w:t>K</w:t>
      </w:r>
      <w:r w:rsidR="002E760D" w:rsidRPr="00FD53AD">
        <w:rPr>
          <w:i/>
          <w:vertAlign w:val="subscript"/>
        </w:rPr>
        <w:t>i</w:t>
      </w:r>
      <w:r w:rsidR="002E760D" w:rsidRPr="00C07FD5">
        <w:t xml:space="preserve"> </w:t>
      </w:r>
      <w:r w:rsidRPr="00C07FD5">
        <w:t>–</w:t>
      </w:r>
      <w:r w:rsidR="002E760D" w:rsidRPr="00C07FD5">
        <w:t xml:space="preserve"> </w:t>
      </w:r>
      <w:r w:rsidR="003D4689" w:rsidRPr="00C07FD5">
        <w:t xml:space="preserve">ranking place for each </w:t>
      </w:r>
      <w:r w:rsidR="003D4689" w:rsidRPr="00FD53AD">
        <w:rPr>
          <w:i/>
        </w:rPr>
        <w:t>x</w:t>
      </w:r>
      <w:r w:rsidR="003D4689" w:rsidRPr="00FD53AD">
        <w:rPr>
          <w:i/>
          <w:vertAlign w:val="subscript"/>
        </w:rPr>
        <w:t>i</w:t>
      </w:r>
      <w:r w:rsidR="003D4689" w:rsidRPr="00C07FD5">
        <w:t xml:space="preserve"> health component over 5 years (annual average).</w:t>
      </w:r>
    </w:p>
    <w:p w:rsidR="003D4689" w:rsidRPr="003D4689" w:rsidRDefault="003D4689" w:rsidP="0033267D">
      <w:pPr>
        <w:ind w:firstLine="709"/>
        <w:rPr>
          <w:rFonts w:eastAsiaTheme="minorEastAsia"/>
        </w:rPr>
      </w:pPr>
      <w:r w:rsidRPr="003D4689">
        <w:rPr>
          <w:rFonts w:eastAsiaTheme="minorEastAsia"/>
        </w:rPr>
        <w:t>In case of improvement or deterioration of a health indicator, the partial coefficient will increase or decrease depending on the significance of the average statistical indicator.</w:t>
      </w:r>
    </w:p>
    <w:p w:rsidR="004D2B65" w:rsidRPr="003D4689" w:rsidRDefault="003D4689" w:rsidP="0033267D">
      <w:pPr>
        <w:ind w:firstLine="709"/>
      </w:pPr>
      <w:r w:rsidRPr="003D4689">
        <w:t xml:space="preserve">A territory where all private indicators exceed the average estimated values and tend to </w:t>
      </w:r>
      <w:proofErr w:type="gramStart"/>
      <w:r w:rsidRPr="003D4689">
        <w:t>1</w:t>
      </w:r>
      <w:proofErr w:type="gramEnd"/>
      <w:r w:rsidRPr="003D4689">
        <w:t xml:space="preserve"> is considered favorable in terms of population health.</w:t>
      </w:r>
      <w:r w:rsidR="002E760D" w:rsidRPr="003D4689">
        <w:t xml:space="preserve"> </w:t>
      </w:r>
    </w:p>
    <w:p w:rsidR="004D2B65" w:rsidRPr="003D4689" w:rsidRDefault="003D4689" w:rsidP="0033267D">
      <w:pPr>
        <w:ind w:firstLine="709"/>
      </w:pPr>
      <w:r w:rsidRPr="003D4689">
        <w:lastRenderedPageBreak/>
        <w:t xml:space="preserve">A territory where individual indicators are declining and the dynamics of the overall process is negative </w:t>
      </w:r>
      <w:proofErr w:type="gramStart"/>
      <w:r w:rsidRPr="003D4689">
        <w:t>should be considered</w:t>
      </w:r>
      <w:proofErr w:type="gramEnd"/>
      <w:r w:rsidRPr="003D4689">
        <w:t xml:space="preserve"> limitedly favorable.</w:t>
      </w:r>
    </w:p>
    <w:p w:rsidR="002E760D" w:rsidRPr="003D4689" w:rsidRDefault="003D4689" w:rsidP="0033267D">
      <w:pPr>
        <w:ind w:firstLine="709"/>
      </w:pPr>
      <w:r w:rsidRPr="003D4689">
        <w:t xml:space="preserve">Territories where </w:t>
      </w:r>
      <w:r w:rsidRPr="00C04F69">
        <w:rPr>
          <w:i/>
        </w:rPr>
        <w:t>L</w:t>
      </w:r>
      <w:r w:rsidRPr="003D4689">
        <w:t xml:space="preserve"> is correspondingly less than the average criterion </w:t>
      </w:r>
      <w:proofErr w:type="gramStart"/>
      <w:r w:rsidRPr="003D4689">
        <w:t>should be considered</w:t>
      </w:r>
      <w:proofErr w:type="gramEnd"/>
      <w:r w:rsidRPr="003D4689">
        <w:t xml:space="preserve"> unfavorable and especially unfavorable when the value of the indicator approaches or is equal to the maximum numerical unit.</w:t>
      </w:r>
    </w:p>
    <w:p w:rsidR="0012276A" w:rsidRPr="003D4689" w:rsidRDefault="003D4689" w:rsidP="0033267D">
      <w:pPr>
        <w:ind w:firstLine="709"/>
      </w:pPr>
      <w:r w:rsidRPr="003D4689">
        <w:t xml:space="preserve">The use of the proposed public health assessment method will allow management decisions to </w:t>
      </w:r>
      <w:proofErr w:type="gramStart"/>
      <w:r w:rsidRPr="003D4689">
        <w:t>be made</w:t>
      </w:r>
      <w:proofErr w:type="gramEnd"/>
      <w:r w:rsidRPr="003D4689">
        <w:t xml:space="preserve"> in the field of public health care, which will contribute to improving the level and quality of life.</w:t>
      </w:r>
      <w:r w:rsidR="0012276A" w:rsidRPr="003D4689">
        <w:t xml:space="preserve"> </w:t>
      </w:r>
    </w:p>
    <w:p w:rsidR="0012276A" w:rsidRPr="003D4689" w:rsidRDefault="0012276A" w:rsidP="0033267D">
      <w:pPr>
        <w:ind w:firstLine="709"/>
      </w:pPr>
    </w:p>
    <w:p w:rsidR="004D2B65" w:rsidRPr="004D2B65" w:rsidRDefault="003D4689" w:rsidP="003D4689">
      <w:pPr>
        <w:jc w:val="center"/>
        <w:rPr>
          <w:sz w:val="24"/>
          <w:szCs w:val="24"/>
          <w:lang w:val="uk-UA"/>
        </w:rPr>
      </w:pPr>
      <w:r w:rsidRPr="003D4689">
        <w:rPr>
          <w:b/>
          <w:sz w:val="24"/>
          <w:szCs w:val="24"/>
          <w:lang w:val="uk-UA"/>
        </w:rPr>
        <w:t>REFERENCES</w:t>
      </w:r>
    </w:p>
    <w:p w:rsidR="00BE125D" w:rsidRPr="00BE125D" w:rsidRDefault="004D2B65" w:rsidP="00BE125D">
      <w:pPr>
        <w:pStyle w:val="a4"/>
        <w:numPr>
          <w:ilvl w:val="0"/>
          <w:numId w:val="1"/>
        </w:numPr>
        <w:tabs>
          <w:tab w:val="left" w:pos="284"/>
        </w:tabs>
        <w:ind w:left="0" w:firstLine="0"/>
        <w:rPr>
          <w:rStyle w:val="a5"/>
          <w:color w:val="auto"/>
          <w:sz w:val="24"/>
          <w:szCs w:val="24"/>
          <w:u w:val="none"/>
        </w:rPr>
      </w:pPr>
      <w:r w:rsidRPr="004D2B65">
        <w:rPr>
          <w:sz w:val="24"/>
          <w:szCs w:val="24"/>
        </w:rPr>
        <w:t>Woolf S.H., Aron L. U.S. Health in International Perspective: Shorter Lives, Poorer Health. Washington (DC): National Academies Press (US)</w:t>
      </w:r>
      <w:proofErr w:type="gramStart"/>
      <w:r w:rsidRPr="004D2B65">
        <w:rPr>
          <w:sz w:val="24"/>
          <w:szCs w:val="24"/>
        </w:rPr>
        <w:t>;</w:t>
      </w:r>
      <w:proofErr w:type="gramEnd"/>
      <w:r w:rsidRPr="004D2B65">
        <w:rPr>
          <w:sz w:val="24"/>
          <w:szCs w:val="24"/>
        </w:rPr>
        <w:t xml:space="preserve"> 2013. </w:t>
      </w:r>
      <w:proofErr w:type="gramStart"/>
      <w:r w:rsidRPr="004D2B65">
        <w:rPr>
          <w:sz w:val="24"/>
          <w:szCs w:val="24"/>
        </w:rPr>
        <w:t>4</w:t>
      </w:r>
      <w:proofErr w:type="gramEnd"/>
      <w:r w:rsidRPr="004D2B65">
        <w:rPr>
          <w:sz w:val="24"/>
          <w:szCs w:val="24"/>
        </w:rPr>
        <w:t xml:space="preserve">, Public Health and Medical Care Systems. </w:t>
      </w:r>
      <w:hyperlink r:id="rId5" w:history="1">
        <w:r w:rsidRPr="004D2B65">
          <w:rPr>
            <w:rStyle w:val="a5"/>
            <w:sz w:val="24"/>
            <w:szCs w:val="24"/>
          </w:rPr>
          <w:t>https://www.ncbi.nlm.nih.gov/books/NBK154484/</w:t>
        </w:r>
      </w:hyperlink>
    </w:p>
    <w:p w:rsidR="00BE125D" w:rsidRPr="00BE125D" w:rsidRDefault="004D2B65" w:rsidP="00232CD8">
      <w:pPr>
        <w:pStyle w:val="a4"/>
        <w:numPr>
          <w:ilvl w:val="0"/>
          <w:numId w:val="1"/>
        </w:numPr>
        <w:tabs>
          <w:tab w:val="left" w:pos="284"/>
        </w:tabs>
        <w:ind w:left="0" w:firstLine="0"/>
        <w:rPr>
          <w:sz w:val="24"/>
          <w:szCs w:val="24"/>
        </w:rPr>
      </w:pPr>
      <w:r w:rsidRPr="00BE125D">
        <w:rPr>
          <w:sz w:val="24"/>
          <w:szCs w:val="24"/>
        </w:rPr>
        <w:t>Sokoya T</w:t>
      </w:r>
      <w:r w:rsidRPr="00BE125D">
        <w:rPr>
          <w:sz w:val="24"/>
          <w:szCs w:val="24"/>
          <w:lang w:val="uk-UA"/>
        </w:rPr>
        <w:t>.</w:t>
      </w:r>
      <w:r w:rsidRPr="00BE125D">
        <w:rPr>
          <w:sz w:val="24"/>
          <w:szCs w:val="24"/>
        </w:rPr>
        <w:t>, Zhou Y</w:t>
      </w:r>
      <w:r w:rsidRPr="00BE125D">
        <w:rPr>
          <w:sz w:val="24"/>
          <w:szCs w:val="24"/>
          <w:lang w:val="uk-UA"/>
        </w:rPr>
        <w:t>.</w:t>
      </w:r>
      <w:r w:rsidRPr="00BE125D">
        <w:rPr>
          <w:sz w:val="24"/>
          <w:szCs w:val="24"/>
        </w:rPr>
        <w:t>, Diaz S</w:t>
      </w:r>
      <w:r w:rsidRPr="00BE125D">
        <w:rPr>
          <w:sz w:val="24"/>
          <w:szCs w:val="24"/>
          <w:lang w:val="uk-UA"/>
        </w:rPr>
        <w:t>.</w:t>
      </w:r>
      <w:r w:rsidRPr="00BE125D">
        <w:rPr>
          <w:sz w:val="24"/>
          <w:szCs w:val="24"/>
        </w:rPr>
        <w:t>, et al. Health Indicators as Measures of Individual Health Status and Their Public Perspectives: Cross-sectional Survey Study. J Med Internet Res. 2022</w:t>
      </w:r>
      <w:proofErr w:type="gramStart"/>
      <w:r w:rsidRPr="00BE125D">
        <w:rPr>
          <w:sz w:val="24"/>
          <w:szCs w:val="24"/>
        </w:rPr>
        <w:t>;</w:t>
      </w:r>
      <w:proofErr w:type="gramEnd"/>
      <w:r w:rsidRPr="00BE125D">
        <w:rPr>
          <w:sz w:val="24"/>
          <w:szCs w:val="24"/>
          <w:lang w:val="uk-UA"/>
        </w:rPr>
        <w:t xml:space="preserve"> </w:t>
      </w:r>
      <w:r w:rsidRPr="00BE125D">
        <w:rPr>
          <w:sz w:val="24"/>
          <w:szCs w:val="24"/>
        </w:rPr>
        <w:t>24(6):</w:t>
      </w:r>
      <w:r w:rsidRPr="00BE125D">
        <w:rPr>
          <w:sz w:val="24"/>
          <w:szCs w:val="24"/>
          <w:lang w:val="uk-UA"/>
        </w:rPr>
        <w:t xml:space="preserve"> </w:t>
      </w:r>
      <w:r w:rsidRPr="00BE125D">
        <w:rPr>
          <w:sz w:val="24"/>
          <w:szCs w:val="24"/>
        </w:rPr>
        <w:t xml:space="preserve">e38099. </w:t>
      </w:r>
      <w:hyperlink r:id="rId6" w:history="1">
        <w:r w:rsidR="00BE125D" w:rsidRPr="00BE125D">
          <w:rPr>
            <w:rStyle w:val="a5"/>
            <w:sz w:val="24"/>
            <w:szCs w:val="24"/>
          </w:rPr>
          <w:t>https://doi.org/10.2196/38099</w:t>
        </w:r>
      </w:hyperlink>
    </w:p>
    <w:p w:rsidR="00C04F69" w:rsidRPr="00BE125D" w:rsidRDefault="004D2B65" w:rsidP="00BE125D">
      <w:pPr>
        <w:pStyle w:val="a4"/>
        <w:numPr>
          <w:ilvl w:val="0"/>
          <w:numId w:val="1"/>
        </w:numPr>
        <w:tabs>
          <w:tab w:val="left" w:pos="284"/>
        </w:tabs>
        <w:ind w:left="0" w:firstLine="0"/>
        <w:rPr>
          <w:sz w:val="24"/>
          <w:szCs w:val="24"/>
        </w:rPr>
      </w:pPr>
      <w:r w:rsidRPr="00BE125D">
        <w:rPr>
          <w:sz w:val="24"/>
          <w:szCs w:val="24"/>
        </w:rPr>
        <w:t xml:space="preserve">Chen H, Hailey D, Wang N, Yu P. A review of </w:t>
      </w:r>
      <w:proofErr w:type="gramStart"/>
      <w:r w:rsidRPr="00BE125D">
        <w:rPr>
          <w:sz w:val="24"/>
          <w:szCs w:val="24"/>
        </w:rPr>
        <w:t>data quality assessment methods</w:t>
      </w:r>
      <w:proofErr w:type="gramEnd"/>
      <w:r w:rsidRPr="00BE125D">
        <w:rPr>
          <w:sz w:val="24"/>
          <w:szCs w:val="24"/>
        </w:rPr>
        <w:t xml:space="preserve"> for public health information systems. </w:t>
      </w:r>
      <w:proofErr w:type="spellStart"/>
      <w:r w:rsidRPr="00BE125D">
        <w:rPr>
          <w:sz w:val="24"/>
          <w:szCs w:val="24"/>
        </w:rPr>
        <w:t>Int</w:t>
      </w:r>
      <w:proofErr w:type="spellEnd"/>
      <w:r w:rsidRPr="00BE125D">
        <w:rPr>
          <w:sz w:val="24"/>
          <w:szCs w:val="24"/>
        </w:rPr>
        <w:t xml:space="preserve"> J Environ Res Public Health. </w:t>
      </w:r>
      <w:proofErr w:type="gramStart"/>
      <w:r w:rsidRPr="00BE125D">
        <w:rPr>
          <w:sz w:val="24"/>
          <w:szCs w:val="24"/>
        </w:rPr>
        <w:t>2014</w:t>
      </w:r>
      <w:proofErr w:type="gramEnd"/>
      <w:r w:rsidRPr="00BE125D">
        <w:rPr>
          <w:sz w:val="24"/>
          <w:szCs w:val="24"/>
        </w:rPr>
        <w:t>;</w:t>
      </w:r>
      <w:r w:rsidRPr="00BE125D">
        <w:rPr>
          <w:sz w:val="24"/>
          <w:szCs w:val="24"/>
          <w:lang w:val="uk-UA"/>
        </w:rPr>
        <w:t xml:space="preserve"> </w:t>
      </w:r>
      <w:r w:rsidRPr="00BE125D">
        <w:rPr>
          <w:sz w:val="24"/>
          <w:szCs w:val="24"/>
        </w:rPr>
        <w:t>11(5):</w:t>
      </w:r>
      <w:r w:rsidRPr="00BE125D">
        <w:rPr>
          <w:sz w:val="24"/>
          <w:szCs w:val="24"/>
          <w:lang w:val="uk-UA"/>
        </w:rPr>
        <w:t xml:space="preserve"> </w:t>
      </w:r>
      <w:r w:rsidRPr="00BE125D">
        <w:rPr>
          <w:sz w:val="24"/>
          <w:szCs w:val="24"/>
        </w:rPr>
        <w:t xml:space="preserve">5170-5207. </w:t>
      </w:r>
      <w:hyperlink r:id="rId7" w:history="1">
        <w:r w:rsidR="00C04F69" w:rsidRPr="00BE125D">
          <w:rPr>
            <w:rStyle w:val="a5"/>
            <w:sz w:val="24"/>
            <w:szCs w:val="24"/>
          </w:rPr>
          <w:t>https://doi.org/10.3390/ijerph110505170</w:t>
        </w:r>
      </w:hyperlink>
    </w:p>
    <w:p w:rsidR="003D4689" w:rsidRPr="003D4689" w:rsidRDefault="004D2B65" w:rsidP="003D4689">
      <w:pPr>
        <w:pStyle w:val="a4"/>
        <w:numPr>
          <w:ilvl w:val="0"/>
          <w:numId w:val="1"/>
        </w:numPr>
        <w:tabs>
          <w:tab w:val="left" w:pos="284"/>
        </w:tabs>
        <w:ind w:left="0" w:firstLine="0"/>
        <w:rPr>
          <w:sz w:val="24"/>
          <w:szCs w:val="24"/>
          <w:lang w:val="ru-RU"/>
        </w:rPr>
      </w:pPr>
      <w:r w:rsidRPr="004D2B65">
        <w:rPr>
          <w:sz w:val="24"/>
          <w:szCs w:val="24"/>
        </w:rPr>
        <w:t xml:space="preserve">Elizabeth McGill, Vanessa </w:t>
      </w:r>
      <w:proofErr w:type="spellStart"/>
      <w:r w:rsidRPr="004D2B65">
        <w:rPr>
          <w:sz w:val="24"/>
          <w:szCs w:val="24"/>
        </w:rPr>
        <w:t>Er</w:t>
      </w:r>
      <w:proofErr w:type="spellEnd"/>
      <w:r w:rsidRPr="004D2B65">
        <w:rPr>
          <w:sz w:val="24"/>
          <w:szCs w:val="24"/>
        </w:rPr>
        <w:t xml:space="preserve">, </w:t>
      </w:r>
      <w:proofErr w:type="spellStart"/>
      <w:r w:rsidRPr="004D2B65">
        <w:rPr>
          <w:sz w:val="24"/>
          <w:szCs w:val="24"/>
        </w:rPr>
        <w:t>Tarra</w:t>
      </w:r>
      <w:proofErr w:type="spellEnd"/>
      <w:r w:rsidRPr="004D2B65">
        <w:rPr>
          <w:sz w:val="24"/>
          <w:szCs w:val="24"/>
        </w:rPr>
        <w:t xml:space="preserve"> Penney, Matt Egan, Martin White, Petra Meier, Margaret Whitehead, Karen Lock, Rachel Anderson de Cuevas, Richard Smith, Natalie Savona, Harry Rutter, </w:t>
      </w:r>
      <w:proofErr w:type="spellStart"/>
      <w:r w:rsidRPr="004D2B65">
        <w:rPr>
          <w:sz w:val="24"/>
          <w:szCs w:val="24"/>
        </w:rPr>
        <w:t>Dalya</w:t>
      </w:r>
      <w:proofErr w:type="spellEnd"/>
      <w:r w:rsidRPr="004D2B65">
        <w:rPr>
          <w:sz w:val="24"/>
          <w:szCs w:val="24"/>
        </w:rPr>
        <w:t xml:space="preserve"> Marks, Frank de Vocht, Steven Cummins, Jennie </w:t>
      </w:r>
      <w:proofErr w:type="spellStart"/>
      <w:r w:rsidRPr="004D2B65">
        <w:rPr>
          <w:sz w:val="24"/>
          <w:szCs w:val="24"/>
        </w:rPr>
        <w:t>Popay</w:t>
      </w:r>
      <w:proofErr w:type="spellEnd"/>
      <w:r w:rsidRPr="004D2B65">
        <w:rPr>
          <w:sz w:val="24"/>
          <w:szCs w:val="24"/>
        </w:rPr>
        <w:t xml:space="preserve">, Mark </w:t>
      </w:r>
      <w:proofErr w:type="spellStart"/>
      <w:r w:rsidRPr="004D2B65">
        <w:rPr>
          <w:sz w:val="24"/>
          <w:szCs w:val="24"/>
        </w:rPr>
        <w:t>Petticrew</w:t>
      </w:r>
      <w:proofErr w:type="spellEnd"/>
      <w:r w:rsidRPr="004D2B65">
        <w:rPr>
          <w:sz w:val="24"/>
          <w:szCs w:val="24"/>
          <w:lang w:val="uk-UA"/>
        </w:rPr>
        <w:t xml:space="preserve">. </w:t>
      </w:r>
      <w:r w:rsidRPr="004D2B65">
        <w:rPr>
          <w:sz w:val="24"/>
          <w:szCs w:val="24"/>
        </w:rPr>
        <w:t>Evaluation of public health interventions from a complex systems perspective: A research methods review,</w:t>
      </w:r>
      <w:r w:rsidRPr="004D2B65">
        <w:rPr>
          <w:sz w:val="24"/>
          <w:szCs w:val="24"/>
          <w:lang w:val="uk-UA"/>
        </w:rPr>
        <w:t xml:space="preserve"> </w:t>
      </w:r>
      <w:r w:rsidRPr="004D2B65">
        <w:rPr>
          <w:sz w:val="24"/>
          <w:szCs w:val="24"/>
        </w:rPr>
        <w:t>Social Science &amp; Medicine</w:t>
      </w:r>
      <w:r w:rsidRPr="004D2B65">
        <w:rPr>
          <w:sz w:val="24"/>
          <w:szCs w:val="24"/>
          <w:lang w:val="uk-UA"/>
        </w:rPr>
        <w:t xml:space="preserve">. </w:t>
      </w:r>
      <w:r w:rsidRPr="004D2B65">
        <w:rPr>
          <w:sz w:val="24"/>
          <w:szCs w:val="24"/>
        </w:rPr>
        <w:t>2021</w:t>
      </w:r>
      <w:r w:rsidRPr="004D2B65">
        <w:rPr>
          <w:sz w:val="24"/>
          <w:szCs w:val="24"/>
          <w:lang w:val="uk-UA"/>
        </w:rPr>
        <w:t>.</w:t>
      </w:r>
      <w:r w:rsidRPr="004D2B65">
        <w:rPr>
          <w:sz w:val="24"/>
          <w:szCs w:val="24"/>
        </w:rPr>
        <w:t xml:space="preserve"> Vol</w:t>
      </w:r>
      <w:r w:rsidRPr="004D2B65">
        <w:rPr>
          <w:sz w:val="24"/>
          <w:szCs w:val="24"/>
          <w:lang w:val="uk-UA"/>
        </w:rPr>
        <w:t>.</w:t>
      </w:r>
      <w:r w:rsidRPr="004D2B65">
        <w:rPr>
          <w:sz w:val="24"/>
          <w:szCs w:val="24"/>
        </w:rPr>
        <w:t xml:space="preserve"> 272</w:t>
      </w:r>
      <w:r w:rsidRPr="004D2B65">
        <w:rPr>
          <w:sz w:val="24"/>
          <w:szCs w:val="24"/>
          <w:lang w:val="uk-UA"/>
        </w:rPr>
        <w:t xml:space="preserve">. </w:t>
      </w:r>
      <w:r w:rsidRPr="004D2B65">
        <w:rPr>
          <w:sz w:val="24"/>
          <w:szCs w:val="24"/>
        </w:rPr>
        <w:t>113697</w:t>
      </w:r>
      <w:r w:rsidRPr="004D2B65">
        <w:rPr>
          <w:sz w:val="24"/>
          <w:szCs w:val="24"/>
          <w:lang w:val="uk-UA"/>
        </w:rPr>
        <w:t xml:space="preserve">. </w:t>
      </w:r>
      <w:hyperlink r:id="rId8" w:history="1">
        <w:r w:rsidR="003D4689" w:rsidRPr="006D659C">
          <w:rPr>
            <w:rStyle w:val="a5"/>
            <w:sz w:val="24"/>
            <w:szCs w:val="24"/>
          </w:rPr>
          <w:t>https://doi.org/10.1016/j.socscimed.2021.113697</w:t>
        </w:r>
      </w:hyperlink>
      <w:r w:rsidRPr="004D2B65">
        <w:rPr>
          <w:sz w:val="24"/>
          <w:szCs w:val="24"/>
        </w:rPr>
        <w:t>.</w:t>
      </w:r>
    </w:p>
    <w:p w:rsidR="003D4689" w:rsidRPr="00C04F69" w:rsidRDefault="003D4689" w:rsidP="003D4689">
      <w:pPr>
        <w:pStyle w:val="a4"/>
        <w:numPr>
          <w:ilvl w:val="0"/>
          <w:numId w:val="1"/>
        </w:numPr>
        <w:tabs>
          <w:tab w:val="left" w:pos="284"/>
        </w:tabs>
        <w:ind w:left="0" w:firstLine="0"/>
        <w:rPr>
          <w:sz w:val="24"/>
          <w:szCs w:val="24"/>
          <w:lang w:val="ru-RU"/>
        </w:rPr>
      </w:pPr>
      <w:proofErr w:type="spellStart"/>
      <w:r w:rsidRPr="003D4689">
        <w:rPr>
          <w:sz w:val="24"/>
          <w:szCs w:val="24"/>
        </w:rPr>
        <w:t>Pradana</w:t>
      </w:r>
      <w:proofErr w:type="spellEnd"/>
      <w:r w:rsidRPr="003D4689">
        <w:rPr>
          <w:sz w:val="24"/>
          <w:szCs w:val="24"/>
        </w:rPr>
        <w:t xml:space="preserve">, A. R., </w:t>
      </w:r>
      <w:proofErr w:type="spellStart"/>
      <w:r w:rsidRPr="003D4689">
        <w:rPr>
          <w:sz w:val="24"/>
          <w:szCs w:val="24"/>
        </w:rPr>
        <w:t>Purnami</w:t>
      </w:r>
      <w:proofErr w:type="spellEnd"/>
      <w:r w:rsidRPr="003D4689">
        <w:rPr>
          <w:sz w:val="24"/>
          <w:szCs w:val="24"/>
        </w:rPr>
        <w:t xml:space="preserve">, C. T., &amp; </w:t>
      </w:r>
      <w:proofErr w:type="spellStart"/>
      <w:r w:rsidRPr="003D4689">
        <w:rPr>
          <w:sz w:val="24"/>
          <w:szCs w:val="24"/>
        </w:rPr>
        <w:t>Mawarni</w:t>
      </w:r>
      <w:proofErr w:type="spellEnd"/>
      <w:r w:rsidRPr="003D4689">
        <w:rPr>
          <w:sz w:val="24"/>
          <w:szCs w:val="24"/>
        </w:rPr>
        <w:t xml:space="preserve">, A. Literature Review: Data Quality Assessment Methods </w:t>
      </w:r>
      <w:r w:rsidR="00BE125D">
        <w:rPr>
          <w:sz w:val="24"/>
          <w:szCs w:val="24"/>
        </w:rPr>
        <w:t>o</w:t>
      </w:r>
      <w:r w:rsidRPr="003D4689">
        <w:rPr>
          <w:sz w:val="24"/>
          <w:szCs w:val="24"/>
        </w:rPr>
        <w:t xml:space="preserve">f Electronic Tuberculosis Recording </w:t>
      </w:r>
      <w:r w:rsidR="00BE125D">
        <w:rPr>
          <w:sz w:val="24"/>
          <w:szCs w:val="24"/>
        </w:rPr>
        <w:t>a</w:t>
      </w:r>
      <w:r w:rsidRPr="003D4689">
        <w:rPr>
          <w:sz w:val="24"/>
          <w:szCs w:val="24"/>
        </w:rPr>
        <w:t xml:space="preserve">nd Reporting. International Journal of Health, Education &amp; Social (IJHES). 2020. 3(7), 1-15. </w:t>
      </w:r>
      <w:hyperlink r:id="rId9" w:history="1">
        <w:r w:rsidR="00C04F69" w:rsidRPr="006D659C">
          <w:rPr>
            <w:rStyle w:val="a5"/>
            <w:sz w:val="24"/>
            <w:szCs w:val="24"/>
          </w:rPr>
          <w:t>https://doi.org/10.1234/ijhes.v3i7.97</w:t>
        </w:r>
      </w:hyperlink>
    </w:p>
    <w:p w:rsidR="00357521" w:rsidRPr="00357521" w:rsidRDefault="00357521" w:rsidP="00C04F69">
      <w:pPr>
        <w:pStyle w:val="a4"/>
        <w:tabs>
          <w:tab w:val="left" w:pos="284"/>
        </w:tabs>
        <w:ind w:left="0"/>
        <w:rPr>
          <w:szCs w:val="28"/>
          <w:lang w:val="ru-RU"/>
        </w:rPr>
      </w:pPr>
      <w:bookmarkStart w:id="0" w:name="_GoBack"/>
      <w:bookmarkEnd w:id="0"/>
    </w:p>
    <w:p w:rsidR="00357521" w:rsidRPr="00357521" w:rsidRDefault="00357521" w:rsidP="00C04F69">
      <w:pPr>
        <w:pStyle w:val="a4"/>
        <w:tabs>
          <w:tab w:val="left" w:pos="284"/>
        </w:tabs>
        <w:ind w:left="0"/>
        <w:rPr>
          <w:szCs w:val="28"/>
          <w:lang w:val="ru-RU"/>
        </w:rPr>
      </w:pPr>
    </w:p>
    <w:p w:rsidR="00357521" w:rsidRPr="00357521" w:rsidRDefault="00357521" w:rsidP="00C04F69">
      <w:pPr>
        <w:pStyle w:val="a4"/>
        <w:tabs>
          <w:tab w:val="left" w:pos="284"/>
        </w:tabs>
        <w:ind w:left="0"/>
        <w:rPr>
          <w:szCs w:val="28"/>
          <w:lang w:val="ru-RU"/>
        </w:rPr>
      </w:pPr>
    </w:p>
    <w:p w:rsidR="00357521" w:rsidRPr="00357521" w:rsidRDefault="00357521" w:rsidP="00C04F69">
      <w:pPr>
        <w:pStyle w:val="a4"/>
        <w:tabs>
          <w:tab w:val="left" w:pos="284"/>
        </w:tabs>
        <w:ind w:left="0"/>
        <w:rPr>
          <w:szCs w:val="28"/>
          <w:lang w:val="ru-RU"/>
        </w:rPr>
      </w:pPr>
    </w:p>
    <w:sectPr w:rsidR="00357521" w:rsidRPr="00357521" w:rsidSect="00A9144B">
      <w:pgSz w:w="12240" w:h="15840" w:code="1"/>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D505D9"/>
    <w:multiLevelType w:val="hybridMultilevel"/>
    <w:tmpl w:val="9D76605A"/>
    <w:lvl w:ilvl="0" w:tplc="E6388234">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E7C"/>
    <w:rsid w:val="00000E1F"/>
    <w:rsid w:val="00001243"/>
    <w:rsid w:val="00005020"/>
    <w:rsid w:val="00011B18"/>
    <w:rsid w:val="00012329"/>
    <w:rsid w:val="000137C5"/>
    <w:rsid w:val="00013F03"/>
    <w:rsid w:val="00014E81"/>
    <w:rsid w:val="00020B3F"/>
    <w:rsid w:val="00022E8D"/>
    <w:rsid w:val="000250FB"/>
    <w:rsid w:val="000303CE"/>
    <w:rsid w:val="0003150E"/>
    <w:rsid w:val="0003203B"/>
    <w:rsid w:val="000324CD"/>
    <w:rsid w:val="00034157"/>
    <w:rsid w:val="00035D1C"/>
    <w:rsid w:val="00036BA3"/>
    <w:rsid w:val="00037B3E"/>
    <w:rsid w:val="00040514"/>
    <w:rsid w:val="000444BD"/>
    <w:rsid w:val="00046284"/>
    <w:rsid w:val="00051975"/>
    <w:rsid w:val="000558B9"/>
    <w:rsid w:val="000576FA"/>
    <w:rsid w:val="00060695"/>
    <w:rsid w:val="000620BC"/>
    <w:rsid w:val="0006322C"/>
    <w:rsid w:val="00063A27"/>
    <w:rsid w:val="00064C3D"/>
    <w:rsid w:val="00065D34"/>
    <w:rsid w:val="000721BE"/>
    <w:rsid w:val="00072F74"/>
    <w:rsid w:val="00076373"/>
    <w:rsid w:val="00080E7C"/>
    <w:rsid w:val="00083999"/>
    <w:rsid w:val="00083BA6"/>
    <w:rsid w:val="0008433F"/>
    <w:rsid w:val="00085F75"/>
    <w:rsid w:val="000950C7"/>
    <w:rsid w:val="00095927"/>
    <w:rsid w:val="00096838"/>
    <w:rsid w:val="000969AC"/>
    <w:rsid w:val="00096C50"/>
    <w:rsid w:val="00097771"/>
    <w:rsid w:val="000A0161"/>
    <w:rsid w:val="000A1226"/>
    <w:rsid w:val="000A1820"/>
    <w:rsid w:val="000A3870"/>
    <w:rsid w:val="000A3CE3"/>
    <w:rsid w:val="000A55FB"/>
    <w:rsid w:val="000A6820"/>
    <w:rsid w:val="000B109E"/>
    <w:rsid w:val="000B1E5A"/>
    <w:rsid w:val="000B242D"/>
    <w:rsid w:val="000B2E2F"/>
    <w:rsid w:val="000B2FAF"/>
    <w:rsid w:val="000B34B1"/>
    <w:rsid w:val="000B4BC4"/>
    <w:rsid w:val="000B684C"/>
    <w:rsid w:val="000C1528"/>
    <w:rsid w:val="000C414E"/>
    <w:rsid w:val="000D2076"/>
    <w:rsid w:val="000D4375"/>
    <w:rsid w:val="000D48F5"/>
    <w:rsid w:val="000E01E5"/>
    <w:rsid w:val="000E1094"/>
    <w:rsid w:val="000E157A"/>
    <w:rsid w:val="000E4D5E"/>
    <w:rsid w:val="000E5A0C"/>
    <w:rsid w:val="000E5B83"/>
    <w:rsid w:val="000F0526"/>
    <w:rsid w:val="000F0BC1"/>
    <w:rsid w:val="000F30DC"/>
    <w:rsid w:val="000F4254"/>
    <w:rsid w:val="000F5151"/>
    <w:rsid w:val="000F5694"/>
    <w:rsid w:val="000F6267"/>
    <w:rsid w:val="000F6F64"/>
    <w:rsid w:val="000F6FD0"/>
    <w:rsid w:val="000F7472"/>
    <w:rsid w:val="00101697"/>
    <w:rsid w:val="0010329B"/>
    <w:rsid w:val="00105EB9"/>
    <w:rsid w:val="001124E5"/>
    <w:rsid w:val="00112721"/>
    <w:rsid w:val="00113402"/>
    <w:rsid w:val="00120A2D"/>
    <w:rsid w:val="0012201B"/>
    <w:rsid w:val="00122366"/>
    <w:rsid w:val="0012276A"/>
    <w:rsid w:val="0012296A"/>
    <w:rsid w:val="00125CEF"/>
    <w:rsid w:val="00127A22"/>
    <w:rsid w:val="00130BEE"/>
    <w:rsid w:val="00132700"/>
    <w:rsid w:val="001361DD"/>
    <w:rsid w:val="00140580"/>
    <w:rsid w:val="00140C04"/>
    <w:rsid w:val="00143582"/>
    <w:rsid w:val="00144BB3"/>
    <w:rsid w:val="00151C5C"/>
    <w:rsid w:val="00160E75"/>
    <w:rsid w:val="00161193"/>
    <w:rsid w:val="00165243"/>
    <w:rsid w:val="00166DD0"/>
    <w:rsid w:val="00167D06"/>
    <w:rsid w:val="00167D4C"/>
    <w:rsid w:val="00172334"/>
    <w:rsid w:val="001729EB"/>
    <w:rsid w:val="0017343A"/>
    <w:rsid w:val="00177004"/>
    <w:rsid w:val="00177526"/>
    <w:rsid w:val="00177781"/>
    <w:rsid w:val="00180083"/>
    <w:rsid w:val="001816AB"/>
    <w:rsid w:val="0018189A"/>
    <w:rsid w:val="00185AFC"/>
    <w:rsid w:val="00185C93"/>
    <w:rsid w:val="001861A7"/>
    <w:rsid w:val="0019105A"/>
    <w:rsid w:val="0019173A"/>
    <w:rsid w:val="00191BC9"/>
    <w:rsid w:val="001947C8"/>
    <w:rsid w:val="00194891"/>
    <w:rsid w:val="0019699B"/>
    <w:rsid w:val="001A0955"/>
    <w:rsid w:val="001A1FAE"/>
    <w:rsid w:val="001A35BB"/>
    <w:rsid w:val="001A413F"/>
    <w:rsid w:val="001A5FEE"/>
    <w:rsid w:val="001A6C44"/>
    <w:rsid w:val="001B0854"/>
    <w:rsid w:val="001B2150"/>
    <w:rsid w:val="001B24CF"/>
    <w:rsid w:val="001B5198"/>
    <w:rsid w:val="001B704A"/>
    <w:rsid w:val="001C0BB8"/>
    <w:rsid w:val="001C4458"/>
    <w:rsid w:val="001C4C29"/>
    <w:rsid w:val="001C74B6"/>
    <w:rsid w:val="001C767B"/>
    <w:rsid w:val="001D00D1"/>
    <w:rsid w:val="001D17E5"/>
    <w:rsid w:val="001D1F49"/>
    <w:rsid w:val="001D23E0"/>
    <w:rsid w:val="001D4D55"/>
    <w:rsid w:val="001D5E45"/>
    <w:rsid w:val="001D735B"/>
    <w:rsid w:val="001E24FD"/>
    <w:rsid w:val="001E4371"/>
    <w:rsid w:val="001E5E0C"/>
    <w:rsid w:val="001E7449"/>
    <w:rsid w:val="001E7ED7"/>
    <w:rsid w:val="001F08C0"/>
    <w:rsid w:val="001F096C"/>
    <w:rsid w:val="001F219B"/>
    <w:rsid w:val="001F5012"/>
    <w:rsid w:val="001F618F"/>
    <w:rsid w:val="001F73D0"/>
    <w:rsid w:val="00201C31"/>
    <w:rsid w:val="0020444C"/>
    <w:rsid w:val="002047FC"/>
    <w:rsid w:val="00204F99"/>
    <w:rsid w:val="00204FCB"/>
    <w:rsid w:val="0020679C"/>
    <w:rsid w:val="00207D06"/>
    <w:rsid w:val="00210436"/>
    <w:rsid w:val="00211523"/>
    <w:rsid w:val="00213C1D"/>
    <w:rsid w:val="002145FC"/>
    <w:rsid w:val="00220986"/>
    <w:rsid w:val="002210E9"/>
    <w:rsid w:val="00222DD4"/>
    <w:rsid w:val="0022368F"/>
    <w:rsid w:val="00225CEE"/>
    <w:rsid w:val="002272E9"/>
    <w:rsid w:val="002319A8"/>
    <w:rsid w:val="002324CF"/>
    <w:rsid w:val="00232698"/>
    <w:rsid w:val="00233348"/>
    <w:rsid w:val="00237311"/>
    <w:rsid w:val="00240173"/>
    <w:rsid w:val="00240B97"/>
    <w:rsid w:val="0024191E"/>
    <w:rsid w:val="00242970"/>
    <w:rsid w:val="002439B9"/>
    <w:rsid w:val="00246D27"/>
    <w:rsid w:val="00252A28"/>
    <w:rsid w:val="00253F5D"/>
    <w:rsid w:val="0025750D"/>
    <w:rsid w:val="00263053"/>
    <w:rsid w:val="00263824"/>
    <w:rsid w:val="0026432B"/>
    <w:rsid w:val="00266214"/>
    <w:rsid w:val="00267E46"/>
    <w:rsid w:val="002718B5"/>
    <w:rsid w:val="00272E12"/>
    <w:rsid w:val="00273DED"/>
    <w:rsid w:val="0027556F"/>
    <w:rsid w:val="002763D8"/>
    <w:rsid w:val="0027747A"/>
    <w:rsid w:val="00282457"/>
    <w:rsid w:val="002847F4"/>
    <w:rsid w:val="00285263"/>
    <w:rsid w:val="002858D2"/>
    <w:rsid w:val="0029217B"/>
    <w:rsid w:val="002939E1"/>
    <w:rsid w:val="002977A0"/>
    <w:rsid w:val="002A1C26"/>
    <w:rsid w:val="002A23C6"/>
    <w:rsid w:val="002A2446"/>
    <w:rsid w:val="002A2798"/>
    <w:rsid w:val="002A35C3"/>
    <w:rsid w:val="002A51EA"/>
    <w:rsid w:val="002A652D"/>
    <w:rsid w:val="002A7AA0"/>
    <w:rsid w:val="002B01E0"/>
    <w:rsid w:val="002B2E6C"/>
    <w:rsid w:val="002B2E9A"/>
    <w:rsid w:val="002B4EE3"/>
    <w:rsid w:val="002B6211"/>
    <w:rsid w:val="002B65FB"/>
    <w:rsid w:val="002B7322"/>
    <w:rsid w:val="002C7E8D"/>
    <w:rsid w:val="002D2632"/>
    <w:rsid w:val="002D3991"/>
    <w:rsid w:val="002D46FF"/>
    <w:rsid w:val="002D562D"/>
    <w:rsid w:val="002D68AD"/>
    <w:rsid w:val="002E0259"/>
    <w:rsid w:val="002E0AD9"/>
    <w:rsid w:val="002E290A"/>
    <w:rsid w:val="002E3DA8"/>
    <w:rsid w:val="002E41CF"/>
    <w:rsid w:val="002E760D"/>
    <w:rsid w:val="002F08CF"/>
    <w:rsid w:val="002F108D"/>
    <w:rsid w:val="002F6633"/>
    <w:rsid w:val="003018DE"/>
    <w:rsid w:val="00302649"/>
    <w:rsid w:val="0030273B"/>
    <w:rsid w:val="00303B87"/>
    <w:rsid w:val="003040CE"/>
    <w:rsid w:val="0030517D"/>
    <w:rsid w:val="00305242"/>
    <w:rsid w:val="003068EE"/>
    <w:rsid w:val="00307AE7"/>
    <w:rsid w:val="00311AB8"/>
    <w:rsid w:val="00314B5E"/>
    <w:rsid w:val="00316093"/>
    <w:rsid w:val="00316A25"/>
    <w:rsid w:val="00322C03"/>
    <w:rsid w:val="00327453"/>
    <w:rsid w:val="003279EA"/>
    <w:rsid w:val="00327AF2"/>
    <w:rsid w:val="0033267D"/>
    <w:rsid w:val="00332744"/>
    <w:rsid w:val="003353DA"/>
    <w:rsid w:val="00340432"/>
    <w:rsid w:val="00342862"/>
    <w:rsid w:val="0034316A"/>
    <w:rsid w:val="00343F38"/>
    <w:rsid w:val="003450D7"/>
    <w:rsid w:val="00352278"/>
    <w:rsid w:val="003533D1"/>
    <w:rsid w:val="00357521"/>
    <w:rsid w:val="0036013C"/>
    <w:rsid w:val="0036030C"/>
    <w:rsid w:val="003609B0"/>
    <w:rsid w:val="00361518"/>
    <w:rsid w:val="00365B9D"/>
    <w:rsid w:val="003660C7"/>
    <w:rsid w:val="00366512"/>
    <w:rsid w:val="003713D2"/>
    <w:rsid w:val="00371B75"/>
    <w:rsid w:val="00372446"/>
    <w:rsid w:val="00373159"/>
    <w:rsid w:val="00375700"/>
    <w:rsid w:val="0037735F"/>
    <w:rsid w:val="0037747D"/>
    <w:rsid w:val="0037778C"/>
    <w:rsid w:val="00377B00"/>
    <w:rsid w:val="003808C8"/>
    <w:rsid w:val="00384A6A"/>
    <w:rsid w:val="00385EBC"/>
    <w:rsid w:val="00385F11"/>
    <w:rsid w:val="00386E52"/>
    <w:rsid w:val="00390CC6"/>
    <w:rsid w:val="00392B06"/>
    <w:rsid w:val="003943B9"/>
    <w:rsid w:val="00394C51"/>
    <w:rsid w:val="003A2AB9"/>
    <w:rsid w:val="003A2B9C"/>
    <w:rsid w:val="003A76B1"/>
    <w:rsid w:val="003A77B8"/>
    <w:rsid w:val="003B3608"/>
    <w:rsid w:val="003B4840"/>
    <w:rsid w:val="003C6C29"/>
    <w:rsid w:val="003C79B9"/>
    <w:rsid w:val="003D043A"/>
    <w:rsid w:val="003D09C6"/>
    <w:rsid w:val="003D2172"/>
    <w:rsid w:val="003D2EDE"/>
    <w:rsid w:val="003D3DA8"/>
    <w:rsid w:val="003D40DA"/>
    <w:rsid w:val="003D4689"/>
    <w:rsid w:val="003D5635"/>
    <w:rsid w:val="003D5968"/>
    <w:rsid w:val="003E118A"/>
    <w:rsid w:val="003E1739"/>
    <w:rsid w:val="003E2C0A"/>
    <w:rsid w:val="003E3C6D"/>
    <w:rsid w:val="003E5181"/>
    <w:rsid w:val="003E68DC"/>
    <w:rsid w:val="003E6C47"/>
    <w:rsid w:val="003F054D"/>
    <w:rsid w:val="003F3019"/>
    <w:rsid w:val="003F5C03"/>
    <w:rsid w:val="003F5E62"/>
    <w:rsid w:val="003F6D8C"/>
    <w:rsid w:val="004015AB"/>
    <w:rsid w:val="004028C2"/>
    <w:rsid w:val="00404170"/>
    <w:rsid w:val="004046BF"/>
    <w:rsid w:val="0040494F"/>
    <w:rsid w:val="0040628D"/>
    <w:rsid w:val="00411999"/>
    <w:rsid w:val="00415413"/>
    <w:rsid w:val="004158BD"/>
    <w:rsid w:val="004164F9"/>
    <w:rsid w:val="0041666B"/>
    <w:rsid w:val="00416FD8"/>
    <w:rsid w:val="00417449"/>
    <w:rsid w:val="00423559"/>
    <w:rsid w:val="00424235"/>
    <w:rsid w:val="00424F0F"/>
    <w:rsid w:val="00425DAC"/>
    <w:rsid w:val="00426CBF"/>
    <w:rsid w:val="00427395"/>
    <w:rsid w:val="00433594"/>
    <w:rsid w:val="00434918"/>
    <w:rsid w:val="00434ACE"/>
    <w:rsid w:val="004459F0"/>
    <w:rsid w:val="00445F12"/>
    <w:rsid w:val="004464A8"/>
    <w:rsid w:val="004535B3"/>
    <w:rsid w:val="0045423E"/>
    <w:rsid w:val="00456E54"/>
    <w:rsid w:val="00460FF6"/>
    <w:rsid w:val="00463256"/>
    <w:rsid w:val="00465237"/>
    <w:rsid w:val="00470822"/>
    <w:rsid w:val="0047114D"/>
    <w:rsid w:val="004731FD"/>
    <w:rsid w:val="004743CD"/>
    <w:rsid w:val="00476738"/>
    <w:rsid w:val="004767E6"/>
    <w:rsid w:val="00477A44"/>
    <w:rsid w:val="00481B42"/>
    <w:rsid w:val="0048229B"/>
    <w:rsid w:val="00482C7A"/>
    <w:rsid w:val="00483958"/>
    <w:rsid w:val="0048491F"/>
    <w:rsid w:val="0048675E"/>
    <w:rsid w:val="0049040B"/>
    <w:rsid w:val="00490751"/>
    <w:rsid w:val="004913A1"/>
    <w:rsid w:val="004916E6"/>
    <w:rsid w:val="00491E46"/>
    <w:rsid w:val="0049268D"/>
    <w:rsid w:val="004931CD"/>
    <w:rsid w:val="004973C3"/>
    <w:rsid w:val="004A0F90"/>
    <w:rsid w:val="004A3258"/>
    <w:rsid w:val="004A3519"/>
    <w:rsid w:val="004A7FF2"/>
    <w:rsid w:val="004B0AB2"/>
    <w:rsid w:val="004B34CC"/>
    <w:rsid w:val="004B455D"/>
    <w:rsid w:val="004B585F"/>
    <w:rsid w:val="004B6ECD"/>
    <w:rsid w:val="004C0F60"/>
    <w:rsid w:val="004C3724"/>
    <w:rsid w:val="004C5341"/>
    <w:rsid w:val="004C572E"/>
    <w:rsid w:val="004D2B65"/>
    <w:rsid w:val="004D7523"/>
    <w:rsid w:val="004D79D8"/>
    <w:rsid w:val="004E02CB"/>
    <w:rsid w:val="004E15D7"/>
    <w:rsid w:val="004E1761"/>
    <w:rsid w:val="004E2173"/>
    <w:rsid w:val="004E4902"/>
    <w:rsid w:val="004E6DA5"/>
    <w:rsid w:val="004E7A38"/>
    <w:rsid w:val="004F0309"/>
    <w:rsid w:val="004F0EFA"/>
    <w:rsid w:val="00500A14"/>
    <w:rsid w:val="00501443"/>
    <w:rsid w:val="00501C69"/>
    <w:rsid w:val="00514378"/>
    <w:rsid w:val="00514405"/>
    <w:rsid w:val="005148F1"/>
    <w:rsid w:val="005247E2"/>
    <w:rsid w:val="005278FA"/>
    <w:rsid w:val="0053145D"/>
    <w:rsid w:val="005318FA"/>
    <w:rsid w:val="00531AE2"/>
    <w:rsid w:val="00531C0A"/>
    <w:rsid w:val="00534EA3"/>
    <w:rsid w:val="00537A26"/>
    <w:rsid w:val="005428AF"/>
    <w:rsid w:val="005474E3"/>
    <w:rsid w:val="00554623"/>
    <w:rsid w:val="00561B23"/>
    <w:rsid w:val="00563F42"/>
    <w:rsid w:val="00564193"/>
    <w:rsid w:val="00564619"/>
    <w:rsid w:val="00564FD7"/>
    <w:rsid w:val="005659F9"/>
    <w:rsid w:val="00572D08"/>
    <w:rsid w:val="00580F8E"/>
    <w:rsid w:val="00582000"/>
    <w:rsid w:val="00587329"/>
    <w:rsid w:val="005A17D1"/>
    <w:rsid w:val="005A1BEC"/>
    <w:rsid w:val="005A215D"/>
    <w:rsid w:val="005A2B1E"/>
    <w:rsid w:val="005A2FEE"/>
    <w:rsid w:val="005A5144"/>
    <w:rsid w:val="005B016D"/>
    <w:rsid w:val="005B0A4D"/>
    <w:rsid w:val="005B4645"/>
    <w:rsid w:val="005B7007"/>
    <w:rsid w:val="005C27B2"/>
    <w:rsid w:val="005C2E1D"/>
    <w:rsid w:val="005C452C"/>
    <w:rsid w:val="005C4F8B"/>
    <w:rsid w:val="005C5FDD"/>
    <w:rsid w:val="005C6CEA"/>
    <w:rsid w:val="005C7852"/>
    <w:rsid w:val="005C794F"/>
    <w:rsid w:val="005D0318"/>
    <w:rsid w:val="005D0F8E"/>
    <w:rsid w:val="005D1B54"/>
    <w:rsid w:val="005D1E50"/>
    <w:rsid w:val="005D353C"/>
    <w:rsid w:val="005D39C0"/>
    <w:rsid w:val="005D758A"/>
    <w:rsid w:val="005E18B9"/>
    <w:rsid w:val="005E2BF2"/>
    <w:rsid w:val="005E2DB7"/>
    <w:rsid w:val="005E38CD"/>
    <w:rsid w:val="005E4B06"/>
    <w:rsid w:val="005E6988"/>
    <w:rsid w:val="005E76B0"/>
    <w:rsid w:val="005E7847"/>
    <w:rsid w:val="005F07EB"/>
    <w:rsid w:val="005F23E6"/>
    <w:rsid w:val="005F5295"/>
    <w:rsid w:val="00600B11"/>
    <w:rsid w:val="00600D2A"/>
    <w:rsid w:val="00601D3F"/>
    <w:rsid w:val="006036C8"/>
    <w:rsid w:val="00606028"/>
    <w:rsid w:val="0060651D"/>
    <w:rsid w:val="00607CFF"/>
    <w:rsid w:val="00610B29"/>
    <w:rsid w:val="0061179A"/>
    <w:rsid w:val="0061199A"/>
    <w:rsid w:val="00613504"/>
    <w:rsid w:val="00613FD6"/>
    <w:rsid w:val="00617C51"/>
    <w:rsid w:val="00620DF4"/>
    <w:rsid w:val="006220F9"/>
    <w:rsid w:val="0062265E"/>
    <w:rsid w:val="00623DD0"/>
    <w:rsid w:val="0062437F"/>
    <w:rsid w:val="00625D42"/>
    <w:rsid w:val="00630C25"/>
    <w:rsid w:val="006351E5"/>
    <w:rsid w:val="006400A9"/>
    <w:rsid w:val="00640FB0"/>
    <w:rsid w:val="006412B7"/>
    <w:rsid w:val="00641ECD"/>
    <w:rsid w:val="006449F5"/>
    <w:rsid w:val="00646C82"/>
    <w:rsid w:val="00646E21"/>
    <w:rsid w:val="00647C77"/>
    <w:rsid w:val="00651CF3"/>
    <w:rsid w:val="0065318E"/>
    <w:rsid w:val="00654FB2"/>
    <w:rsid w:val="00656151"/>
    <w:rsid w:val="00657592"/>
    <w:rsid w:val="006612B1"/>
    <w:rsid w:val="0066296A"/>
    <w:rsid w:val="006638A1"/>
    <w:rsid w:val="00665434"/>
    <w:rsid w:val="006748ED"/>
    <w:rsid w:val="006751B7"/>
    <w:rsid w:val="006763FC"/>
    <w:rsid w:val="006774DB"/>
    <w:rsid w:val="006817FD"/>
    <w:rsid w:val="006819B5"/>
    <w:rsid w:val="00682864"/>
    <w:rsid w:val="00683A19"/>
    <w:rsid w:val="00690E72"/>
    <w:rsid w:val="006913F9"/>
    <w:rsid w:val="00692078"/>
    <w:rsid w:val="00693371"/>
    <w:rsid w:val="00694CEC"/>
    <w:rsid w:val="0069773F"/>
    <w:rsid w:val="006A03FF"/>
    <w:rsid w:val="006A17EB"/>
    <w:rsid w:val="006A6721"/>
    <w:rsid w:val="006B0AD6"/>
    <w:rsid w:val="006B1CD4"/>
    <w:rsid w:val="006B268F"/>
    <w:rsid w:val="006B2776"/>
    <w:rsid w:val="006B28B8"/>
    <w:rsid w:val="006B58DD"/>
    <w:rsid w:val="006B68FF"/>
    <w:rsid w:val="006B7F62"/>
    <w:rsid w:val="006C130B"/>
    <w:rsid w:val="006C1793"/>
    <w:rsid w:val="006C31BE"/>
    <w:rsid w:val="006C3EA3"/>
    <w:rsid w:val="006C6B9B"/>
    <w:rsid w:val="006C6F49"/>
    <w:rsid w:val="006D00F7"/>
    <w:rsid w:val="006D0FF8"/>
    <w:rsid w:val="006D2D9A"/>
    <w:rsid w:val="006D44ED"/>
    <w:rsid w:val="006D4DAC"/>
    <w:rsid w:val="006D5B96"/>
    <w:rsid w:val="006E0CD1"/>
    <w:rsid w:val="006E3374"/>
    <w:rsid w:val="006E615D"/>
    <w:rsid w:val="006E72A3"/>
    <w:rsid w:val="006F050E"/>
    <w:rsid w:val="006F3CC8"/>
    <w:rsid w:val="006F3DDB"/>
    <w:rsid w:val="006F50CD"/>
    <w:rsid w:val="006F6112"/>
    <w:rsid w:val="006F61FB"/>
    <w:rsid w:val="0070069B"/>
    <w:rsid w:val="00703194"/>
    <w:rsid w:val="007037E0"/>
    <w:rsid w:val="00704D35"/>
    <w:rsid w:val="00706F8C"/>
    <w:rsid w:val="007136FB"/>
    <w:rsid w:val="00713B23"/>
    <w:rsid w:val="00715829"/>
    <w:rsid w:val="00715886"/>
    <w:rsid w:val="007203F3"/>
    <w:rsid w:val="00720721"/>
    <w:rsid w:val="007232ED"/>
    <w:rsid w:val="00725E35"/>
    <w:rsid w:val="00726F89"/>
    <w:rsid w:val="00727757"/>
    <w:rsid w:val="00730C60"/>
    <w:rsid w:val="00731ED3"/>
    <w:rsid w:val="00732F4B"/>
    <w:rsid w:val="007339C2"/>
    <w:rsid w:val="00734670"/>
    <w:rsid w:val="00734C64"/>
    <w:rsid w:val="00735638"/>
    <w:rsid w:val="007374C9"/>
    <w:rsid w:val="0074261E"/>
    <w:rsid w:val="0074438E"/>
    <w:rsid w:val="00746C42"/>
    <w:rsid w:val="00747723"/>
    <w:rsid w:val="00751059"/>
    <w:rsid w:val="007522A4"/>
    <w:rsid w:val="00752AB7"/>
    <w:rsid w:val="00757747"/>
    <w:rsid w:val="00757A81"/>
    <w:rsid w:val="00760B6C"/>
    <w:rsid w:val="00760F6B"/>
    <w:rsid w:val="00766A04"/>
    <w:rsid w:val="007719ED"/>
    <w:rsid w:val="00773127"/>
    <w:rsid w:val="007733B8"/>
    <w:rsid w:val="007777BA"/>
    <w:rsid w:val="00781032"/>
    <w:rsid w:val="007814CE"/>
    <w:rsid w:val="007877A8"/>
    <w:rsid w:val="007878C3"/>
    <w:rsid w:val="007911F3"/>
    <w:rsid w:val="00795466"/>
    <w:rsid w:val="00795A30"/>
    <w:rsid w:val="00795C08"/>
    <w:rsid w:val="007A0AA0"/>
    <w:rsid w:val="007A12B8"/>
    <w:rsid w:val="007A1882"/>
    <w:rsid w:val="007A3915"/>
    <w:rsid w:val="007A6509"/>
    <w:rsid w:val="007B0F0D"/>
    <w:rsid w:val="007B175A"/>
    <w:rsid w:val="007B37F1"/>
    <w:rsid w:val="007B3893"/>
    <w:rsid w:val="007B417F"/>
    <w:rsid w:val="007B494C"/>
    <w:rsid w:val="007B542A"/>
    <w:rsid w:val="007B5D55"/>
    <w:rsid w:val="007B6421"/>
    <w:rsid w:val="007B6B50"/>
    <w:rsid w:val="007B7269"/>
    <w:rsid w:val="007B79E5"/>
    <w:rsid w:val="007C02C6"/>
    <w:rsid w:val="007C3275"/>
    <w:rsid w:val="007C34AA"/>
    <w:rsid w:val="007C7ADD"/>
    <w:rsid w:val="007D0DC1"/>
    <w:rsid w:val="007D4AD8"/>
    <w:rsid w:val="007D5A66"/>
    <w:rsid w:val="007D6AFE"/>
    <w:rsid w:val="007D7072"/>
    <w:rsid w:val="007E1F61"/>
    <w:rsid w:val="007E2AEB"/>
    <w:rsid w:val="007E381D"/>
    <w:rsid w:val="007F0ECE"/>
    <w:rsid w:val="007F1061"/>
    <w:rsid w:val="007F3EF4"/>
    <w:rsid w:val="007F75EE"/>
    <w:rsid w:val="007F7CF8"/>
    <w:rsid w:val="00804DAA"/>
    <w:rsid w:val="00807B7E"/>
    <w:rsid w:val="00813BEB"/>
    <w:rsid w:val="008160DD"/>
    <w:rsid w:val="008177F6"/>
    <w:rsid w:val="00821F66"/>
    <w:rsid w:val="00825831"/>
    <w:rsid w:val="0083074D"/>
    <w:rsid w:val="00831A38"/>
    <w:rsid w:val="008339EC"/>
    <w:rsid w:val="00836089"/>
    <w:rsid w:val="0083673D"/>
    <w:rsid w:val="00836A2D"/>
    <w:rsid w:val="00837BBB"/>
    <w:rsid w:val="008405E4"/>
    <w:rsid w:val="00841D6A"/>
    <w:rsid w:val="00843135"/>
    <w:rsid w:val="00843769"/>
    <w:rsid w:val="0084441D"/>
    <w:rsid w:val="00844AEF"/>
    <w:rsid w:val="00851988"/>
    <w:rsid w:val="00852277"/>
    <w:rsid w:val="00854B08"/>
    <w:rsid w:val="00856FC3"/>
    <w:rsid w:val="00857DFE"/>
    <w:rsid w:val="00861BB3"/>
    <w:rsid w:val="00862662"/>
    <w:rsid w:val="00862C69"/>
    <w:rsid w:val="00863034"/>
    <w:rsid w:val="008663ED"/>
    <w:rsid w:val="00866F59"/>
    <w:rsid w:val="008700FE"/>
    <w:rsid w:val="00874414"/>
    <w:rsid w:val="00880B93"/>
    <w:rsid w:val="00881070"/>
    <w:rsid w:val="00881619"/>
    <w:rsid w:val="00882A47"/>
    <w:rsid w:val="00886726"/>
    <w:rsid w:val="0089075F"/>
    <w:rsid w:val="00890E80"/>
    <w:rsid w:val="00890FB6"/>
    <w:rsid w:val="00891F03"/>
    <w:rsid w:val="00892512"/>
    <w:rsid w:val="00892A43"/>
    <w:rsid w:val="00894392"/>
    <w:rsid w:val="008958C9"/>
    <w:rsid w:val="00895BAE"/>
    <w:rsid w:val="0089608F"/>
    <w:rsid w:val="008968D6"/>
    <w:rsid w:val="00896A00"/>
    <w:rsid w:val="008A162D"/>
    <w:rsid w:val="008A1F29"/>
    <w:rsid w:val="008A2BAA"/>
    <w:rsid w:val="008A493D"/>
    <w:rsid w:val="008A5556"/>
    <w:rsid w:val="008A75AB"/>
    <w:rsid w:val="008B0D90"/>
    <w:rsid w:val="008B30AD"/>
    <w:rsid w:val="008B6F26"/>
    <w:rsid w:val="008C0409"/>
    <w:rsid w:val="008C080D"/>
    <w:rsid w:val="008C6057"/>
    <w:rsid w:val="008D35D4"/>
    <w:rsid w:val="008D4478"/>
    <w:rsid w:val="008E0C0A"/>
    <w:rsid w:val="008E49B6"/>
    <w:rsid w:val="008E6729"/>
    <w:rsid w:val="008E7A37"/>
    <w:rsid w:val="008F62D1"/>
    <w:rsid w:val="00900556"/>
    <w:rsid w:val="00901D91"/>
    <w:rsid w:val="00902213"/>
    <w:rsid w:val="00903303"/>
    <w:rsid w:val="009040F7"/>
    <w:rsid w:val="00905624"/>
    <w:rsid w:val="00906DF0"/>
    <w:rsid w:val="00907871"/>
    <w:rsid w:val="009124B7"/>
    <w:rsid w:val="00916F2D"/>
    <w:rsid w:val="0092085B"/>
    <w:rsid w:val="00924384"/>
    <w:rsid w:val="00927026"/>
    <w:rsid w:val="009270D4"/>
    <w:rsid w:val="00934888"/>
    <w:rsid w:val="009364D3"/>
    <w:rsid w:val="009372FC"/>
    <w:rsid w:val="00937326"/>
    <w:rsid w:val="00937D54"/>
    <w:rsid w:val="009400BF"/>
    <w:rsid w:val="00940820"/>
    <w:rsid w:val="00940E74"/>
    <w:rsid w:val="00941D09"/>
    <w:rsid w:val="00944BAA"/>
    <w:rsid w:val="009453BD"/>
    <w:rsid w:val="009453E1"/>
    <w:rsid w:val="00946A53"/>
    <w:rsid w:val="009475D7"/>
    <w:rsid w:val="00952617"/>
    <w:rsid w:val="00954B3E"/>
    <w:rsid w:val="0095561B"/>
    <w:rsid w:val="00955E52"/>
    <w:rsid w:val="009565D6"/>
    <w:rsid w:val="00960183"/>
    <w:rsid w:val="0096320B"/>
    <w:rsid w:val="00963950"/>
    <w:rsid w:val="00973419"/>
    <w:rsid w:val="009747B4"/>
    <w:rsid w:val="009774C5"/>
    <w:rsid w:val="009803F1"/>
    <w:rsid w:val="009829F9"/>
    <w:rsid w:val="00984846"/>
    <w:rsid w:val="00986A6E"/>
    <w:rsid w:val="00990C43"/>
    <w:rsid w:val="00991664"/>
    <w:rsid w:val="009947DE"/>
    <w:rsid w:val="009A0E62"/>
    <w:rsid w:val="009A1E65"/>
    <w:rsid w:val="009A2C0D"/>
    <w:rsid w:val="009A5CD6"/>
    <w:rsid w:val="009A6AFE"/>
    <w:rsid w:val="009B011A"/>
    <w:rsid w:val="009B09E4"/>
    <w:rsid w:val="009B1057"/>
    <w:rsid w:val="009B17C7"/>
    <w:rsid w:val="009B1DD9"/>
    <w:rsid w:val="009C018B"/>
    <w:rsid w:val="009C0C9D"/>
    <w:rsid w:val="009C27CB"/>
    <w:rsid w:val="009C40EF"/>
    <w:rsid w:val="009D139E"/>
    <w:rsid w:val="009D2A11"/>
    <w:rsid w:val="009D72F9"/>
    <w:rsid w:val="009D7F41"/>
    <w:rsid w:val="009E10DE"/>
    <w:rsid w:val="009E3676"/>
    <w:rsid w:val="009E5052"/>
    <w:rsid w:val="009F6F26"/>
    <w:rsid w:val="009F79BB"/>
    <w:rsid w:val="00A026DA"/>
    <w:rsid w:val="00A02832"/>
    <w:rsid w:val="00A04010"/>
    <w:rsid w:val="00A0547A"/>
    <w:rsid w:val="00A10C99"/>
    <w:rsid w:val="00A12C52"/>
    <w:rsid w:val="00A138AD"/>
    <w:rsid w:val="00A141B4"/>
    <w:rsid w:val="00A14613"/>
    <w:rsid w:val="00A177E9"/>
    <w:rsid w:val="00A2107A"/>
    <w:rsid w:val="00A21279"/>
    <w:rsid w:val="00A218C8"/>
    <w:rsid w:val="00A21E3C"/>
    <w:rsid w:val="00A24CCD"/>
    <w:rsid w:val="00A25314"/>
    <w:rsid w:val="00A25AAA"/>
    <w:rsid w:val="00A26275"/>
    <w:rsid w:val="00A303D4"/>
    <w:rsid w:val="00A304D7"/>
    <w:rsid w:val="00A36DD1"/>
    <w:rsid w:val="00A378DD"/>
    <w:rsid w:val="00A41F91"/>
    <w:rsid w:val="00A423C0"/>
    <w:rsid w:val="00A42BC0"/>
    <w:rsid w:val="00A44C9B"/>
    <w:rsid w:val="00A44D58"/>
    <w:rsid w:val="00A475EF"/>
    <w:rsid w:val="00A500CC"/>
    <w:rsid w:val="00A51363"/>
    <w:rsid w:val="00A536F1"/>
    <w:rsid w:val="00A53FB9"/>
    <w:rsid w:val="00A57E62"/>
    <w:rsid w:val="00A67823"/>
    <w:rsid w:val="00A76FAA"/>
    <w:rsid w:val="00A77103"/>
    <w:rsid w:val="00A7722D"/>
    <w:rsid w:val="00A81D19"/>
    <w:rsid w:val="00A8390E"/>
    <w:rsid w:val="00A85588"/>
    <w:rsid w:val="00A85DBA"/>
    <w:rsid w:val="00A906F9"/>
    <w:rsid w:val="00A90DB4"/>
    <w:rsid w:val="00A9144B"/>
    <w:rsid w:val="00A91A0C"/>
    <w:rsid w:val="00A928D9"/>
    <w:rsid w:val="00A94AFA"/>
    <w:rsid w:val="00A94D21"/>
    <w:rsid w:val="00A95567"/>
    <w:rsid w:val="00A95B3F"/>
    <w:rsid w:val="00A96C18"/>
    <w:rsid w:val="00A97455"/>
    <w:rsid w:val="00AA07EF"/>
    <w:rsid w:val="00AA2078"/>
    <w:rsid w:val="00AA3396"/>
    <w:rsid w:val="00AA728F"/>
    <w:rsid w:val="00AB296A"/>
    <w:rsid w:val="00AB42B1"/>
    <w:rsid w:val="00AB5366"/>
    <w:rsid w:val="00AC4FF4"/>
    <w:rsid w:val="00AC6E77"/>
    <w:rsid w:val="00AC7870"/>
    <w:rsid w:val="00AD225B"/>
    <w:rsid w:val="00AD477D"/>
    <w:rsid w:val="00AD5237"/>
    <w:rsid w:val="00AD6156"/>
    <w:rsid w:val="00AD7D21"/>
    <w:rsid w:val="00AE301A"/>
    <w:rsid w:val="00AE3427"/>
    <w:rsid w:val="00AE42EB"/>
    <w:rsid w:val="00AE65F5"/>
    <w:rsid w:val="00AF3283"/>
    <w:rsid w:val="00AF3E76"/>
    <w:rsid w:val="00AF3E97"/>
    <w:rsid w:val="00AF5DAC"/>
    <w:rsid w:val="00AF6FC6"/>
    <w:rsid w:val="00AF76CF"/>
    <w:rsid w:val="00B00BD9"/>
    <w:rsid w:val="00B0274D"/>
    <w:rsid w:val="00B06FB1"/>
    <w:rsid w:val="00B076A3"/>
    <w:rsid w:val="00B10A3F"/>
    <w:rsid w:val="00B136E1"/>
    <w:rsid w:val="00B14272"/>
    <w:rsid w:val="00B14368"/>
    <w:rsid w:val="00B1684E"/>
    <w:rsid w:val="00B22AD2"/>
    <w:rsid w:val="00B241D5"/>
    <w:rsid w:val="00B25651"/>
    <w:rsid w:val="00B279AE"/>
    <w:rsid w:val="00B27A31"/>
    <w:rsid w:val="00B305A1"/>
    <w:rsid w:val="00B3229C"/>
    <w:rsid w:val="00B33942"/>
    <w:rsid w:val="00B349A5"/>
    <w:rsid w:val="00B35921"/>
    <w:rsid w:val="00B36F68"/>
    <w:rsid w:val="00B41855"/>
    <w:rsid w:val="00B42341"/>
    <w:rsid w:val="00B42ADA"/>
    <w:rsid w:val="00B44262"/>
    <w:rsid w:val="00B44AF3"/>
    <w:rsid w:val="00B45BA2"/>
    <w:rsid w:val="00B46BA6"/>
    <w:rsid w:val="00B50BDD"/>
    <w:rsid w:val="00B5170D"/>
    <w:rsid w:val="00B5255F"/>
    <w:rsid w:val="00B52E48"/>
    <w:rsid w:val="00B5412D"/>
    <w:rsid w:val="00B54ECE"/>
    <w:rsid w:val="00B60A50"/>
    <w:rsid w:val="00B655C3"/>
    <w:rsid w:val="00B658F7"/>
    <w:rsid w:val="00B66EF8"/>
    <w:rsid w:val="00B678A5"/>
    <w:rsid w:val="00B70B8D"/>
    <w:rsid w:val="00B73BFB"/>
    <w:rsid w:val="00B754EB"/>
    <w:rsid w:val="00B7729F"/>
    <w:rsid w:val="00B772CD"/>
    <w:rsid w:val="00B77C28"/>
    <w:rsid w:val="00B81010"/>
    <w:rsid w:val="00B81459"/>
    <w:rsid w:val="00B84326"/>
    <w:rsid w:val="00B8441B"/>
    <w:rsid w:val="00B84981"/>
    <w:rsid w:val="00B8789A"/>
    <w:rsid w:val="00B87B21"/>
    <w:rsid w:val="00B92883"/>
    <w:rsid w:val="00B944BA"/>
    <w:rsid w:val="00B95F64"/>
    <w:rsid w:val="00B96132"/>
    <w:rsid w:val="00B962B0"/>
    <w:rsid w:val="00B974FD"/>
    <w:rsid w:val="00BA39C1"/>
    <w:rsid w:val="00BA507D"/>
    <w:rsid w:val="00BA6E19"/>
    <w:rsid w:val="00BB028B"/>
    <w:rsid w:val="00BB0E55"/>
    <w:rsid w:val="00BB1823"/>
    <w:rsid w:val="00BB1A49"/>
    <w:rsid w:val="00BB6D99"/>
    <w:rsid w:val="00BC128A"/>
    <w:rsid w:val="00BC20A8"/>
    <w:rsid w:val="00BC61D2"/>
    <w:rsid w:val="00BC7BFD"/>
    <w:rsid w:val="00BD0A73"/>
    <w:rsid w:val="00BD0BD5"/>
    <w:rsid w:val="00BD3F31"/>
    <w:rsid w:val="00BD4294"/>
    <w:rsid w:val="00BD5418"/>
    <w:rsid w:val="00BD628D"/>
    <w:rsid w:val="00BE125D"/>
    <w:rsid w:val="00BE1E7B"/>
    <w:rsid w:val="00BE7D29"/>
    <w:rsid w:val="00BF11D1"/>
    <w:rsid w:val="00BF1648"/>
    <w:rsid w:val="00BF1BD5"/>
    <w:rsid w:val="00BF3BE9"/>
    <w:rsid w:val="00BF587A"/>
    <w:rsid w:val="00BF6BF4"/>
    <w:rsid w:val="00BF6D39"/>
    <w:rsid w:val="00BF70C0"/>
    <w:rsid w:val="00C04F69"/>
    <w:rsid w:val="00C06682"/>
    <w:rsid w:val="00C07FD5"/>
    <w:rsid w:val="00C10C09"/>
    <w:rsid w:val="00C1131A"/>
    <w:rsid w:val="00C1186C"/>
    <w:rsid w:val="00C11B06"/>
    <w:rsid w:val="00C11FC4"/>
    <w:rsid w:val="00C14CCB"/>
    <w:rsid w:val="00C153B0"/>
    <w:rsid w:val="00C1714E"/>
    <w:rsid w:val="00C20135"/>
    <w:rsid w:val="00C216EF"/>
    <w:rsid w:val="00C2304F"/>
    <w:rsid w:val="00C23CFE"/>
    <w:rsid w:val="00C24C72"/>
    <w:rsid w:val="00C25452"/>
    <w:rsid w:val="00C26801"/>
    <w:rsid w:val="00C27B6A"/>
    <w:rsid w:val="00C3072D"/>
    <w:rsid w:val="00C30862"/>
    <w:rsid w:val="00C3101A"/>
    <w:rsid w:val="00C3115D"/>
    <w:rsid w:val="00C339EB"/>
    <w:rsid w:val="00C36003"/>
    <w:rsid w:val="00C411B0"/>
    <w:rsid w:val="00C43042"/>
    <w:rsid w:val="00C450ED"/>
    <w:rsid w:val="00C452D6"/>
    <w:rsid w:val="00C462F5"/>
    <w:rsid w:val="00C47818"/>
    <w:rsid w:val="00C522EE"/>
    <w:rsid w:val="00C532A7"/>
    <w:rsid w:val="00C613AB"/>
    <w:rsid w:val="00C61D4C"/>
    <w:rsid w:val="00C66F4A"/>
    <w:rsid w:val="00C70842"/>
    <w:rsid w:val="00C72040"/>
    <w:rsid w:val="00C7418B"/>
    <w:rsid w:val="00C742BA"/>
    <w:rsid w:val="00C743A8"/>
    <w:rsid w:val="00C77BDC"/>
    <w:rsid w:val="00C827B4"/>
    <w:rsid w:val="00C8410D"/>
    <w:rsid w:val="00C8768C"/>
    <w:rsid w:val="00C9160C"/>
    <w:rsid w:val="00C91616"/>
    <w:rsid w:val="00C91E55"/>
    <w:rsid w:val="00C952DF"/>
    <w:rsid w:val="00C96F25"/>
    <w:rsid w:val="00CA0362"/>
    <w:rsid w:val="00CA4119"/>
    <w:rsid w:val="00CA41C6"/>
    <w:rsid w:val="00CA4608"/>
    <w:rsid w:val="00CA5C54"/>
    <w:rsid w:val="00CA729C"/>
    <w:rsid w:val="00CB04CA"/>
    <w:rsid w:val="00CB0974"/>
    <w:rsid w:val="00CB214B"/>
    <w:rsid w:val="00CB33FB"/>
    <w:rsid w:val="00CB6167"/>
    <w:rsid w:val="00CB7818"/>
    <w:rsid w:val="00CC4682"/>
    <w:rsid w:val="00CD0383"/>
    <w:rsid w:val="00CD0E92"/>
    <w:rsid w:val="00CD3FB4"/>
    <w:rsid w:val="00CD7DF7"/>
    <w:rsid w:val="00CE0233"/>
    <w:rsid w:val="00CE2E44"/>
    <w:rsid w:val="00CE42D8"/>
    <w:rsid w:val="00CE4650"/>
    <w:rsid w:val="00CE4D12"/>
    <w:rsid w:val="00CE5324"/>
    <w:rsid w:val="00CE682A"/>
    <w:rsid w:val="00CE7128"/>
    <w:rsid w:val="00CE792D"/>
    <w:rsid w:val="00CF2B9D"/>
    <w:rsid w:val="00CF399E"/>
    <w:rsid w:val="00CF477F"/>
    <w:rsid w:val="00CF5152"/>
    <w:rsid w:val="00CF5A2B"/>
    <w:rsid w:val="00CF7484"/>
    <w:rsid w:val="00D024E3"/>
    <w:rsid w:val="00D02BD7"/>
    <w:rsid w:val="00D03BDB"/>
    <w:rsid w:val="00D03CD6"/>
    <w:rsid w:val="00D06474"/>
    <w:rsid w:val="00D10F7A"/>
    <w:rsid w:val="00D11B3C"/>
    <w:rsid w:val="00D12A9C"/>
    <w:rsid w:val="00D15A99"/>
    <w:rsid w:val="00D1631D"/>
    <w:rsid w:val="00D16E6B"/>
    <w:rsid w:val="00D204D7"/>
    <w:rsid w:val="00D233C1"/>
    <w:rsid w:val="00D33157"/>
    <w:rsid w:val="00D34F90"/>
    <w:rsid w:val="00D35BDC"/>
    <w:rsid w:val="00D40E4C"/>
    <w:rsid w:val="00D41D29"/>
    <w:rsid w:val="00D43EC2"/>
    <w:rsid w:val="00D4627E"/>
    <w:rsid w:val="00D55FD5"/>
    <w:rsid w:val="00D563F6"/>
    <w:rsid w:val="00D57AA3"/>
    <w:rsid w:val="00D6287A"/>
    <w:rsid w:val="00D63A92"/>
    <w:rsid w:val="00D6617B"/>
    <w:rsid w:val="00D66D8B"/>
    <w:rsid w:val="00D70246"/>
    <w:rsid w:val="00D73216"/>
    <w:rsid w:val="00D74AFA"/>
    <w:rsid w:val="00D75D75"/>
    <w:rsid w:val="00D80454"/>
    <w:rsid w:val="00D805B1"/>
    <w:rsid w:val="00D80DBD"/>
    <w:rsid w:val="00D82F5B"/>
    <w:rsid w:val="00D85BF4"/>
    <w:rsid w:val="00D86476"/>
    <w:rsid w:val="00D965A5"/>
    <w:rsid w:val="00D9748F"/>
    <w:rsid w:val="00D979F1"/>
    <w:rsid w:val="00DA0422"/>
    <w:rsid w:val="00DA0C7D"/>
    <w:rsid w:val="00DA15E9"/>
    <w:rsid w:val="00DA2E39"/>
    <w:rsid w:val="00DA2FF9"/>
    <w:rsid w:val="00DA5CCB"/>
    <w:rsid w:val="00DB0084"/>
    <w:rsid w:val="00DB01F8"/>
    <w:rsid w:val="00DB14D5"/>
    <w:rsid w:val="00DB311C"/>
    <w:rsid w:val="00DC1C3F"/>
    <w:rsid w:val="00DC6F6A"/>
    <w:rsid w:val="00DD2F03"/>
    <w:rsid w:val="00DD3584"/>
    <w:rsid w:val="00DD3F8D"/>
    <w:rsid w:val="00DD491C"/>
    <w:rsid w:val="00DD5141"/>
    <w:rsid w:val="00DD7A72"/>
    <w:rsid w:val="00DD7E71"/>
    <w:rsid w:val="00DE2DDE"/>
    <w:rsid w:val="00DE5BD9"/>
    <w:rsid w:val="00DE62C0"/>
    <w:rsid w:val="00DE6F49"/>
    <w:rsid w:val="00DE78FF"/>
    <w:rsid w:val="00DE7964"/>
    <w:rsid w:val="00DE7ACF"/>
    <w:rsid w:val="00DF10AB"/>
    <w:rsid w:val="00DF17C3"/>
    <w:rsid w:val="00DF2FA6"/>
    <w:rsid w:val="00DF5651"/>
    <w:rsid w:val="00DF6AA4"/>
    <w:rsid w:val="00E00D74"/>
    <w:rsid w:val="00E012A4"/>
    <w:rsid w:val="00E15441"/>
    <w:rsid w:val="00E15F93"/>
    <w:rsid w:val="00E16330"/>
    <w:rsid w:val="00E243B5"/>
    <w:rsid w:val="00E26870"/>
    <w:rsid w:val="00E30023"/>
    <w:rsid w:val="00E3307A"/>
    <w:rsid w:val="00E36C6A"/>
    <w:rsid w:val="00E37E13"/>
    <w:rsid w:val="00E41D9C"/>
    <w:rsid w:val="00E43D18"/>
    <w:rsid w:val="00E44D43"/>
    <w:rsid w:val="00E47B32"/>
    <w:rsid w:val="00E511F3"/>
    <w:rsid w:val="00E51932"/>
    <w:rsid w:val="00E52864"/>
    <w:rsid w:val="00E56538"/>
    <w:rsid w:val="00E604E6"/>
    <w:rsid w:val="00E60C90"/>
    <w:rsid w:val="00E61DDD"/>
    <w:rsid w:val="00E63B2F"/>
    <w:rsid w:val="00E66BE1"/>
    <w:rsid w:val="00E67A4D"/>
    <w:rsid w:val="00E67D8F"/>
    <w:rsid w:val="00E722E7"/>
    <w:rsid w:val="00E77579"/>
    <w:rsid w:val="00E81640"/>
    <w:rsid w:val="00E82A8C"/>
    <w:rsid w:val="00E830FA"/>
    <w:rsid w:val="00E87A85"/>
    <w:rsid w:val="00E900EC"/>
    <w:rsid w:val="00E92A3F"/>
    <w:rsid w:val="00E9392A"/>
    <w:rsid w:val="00E9506F"/>
    <w:rsid w:val="00E95CBB"/>
    <w:rsid w:val="00E978FC"/>
    <w:rsid w:val="00EA0C6B"/>
    <w:rsid w:val="00EA6798"/>
    <w:rsid w:val="00EA7AF3"/>
    <w:rsid w:val="00EB0473"/>
    <w:rsid w:val="00EB3D76"/>
    <w:rsid w:val="00EB6B5B"/>
    <w:rsid w:val="00EC559A"/>
    <w:rsid w:val="00ED193D"/>
    <w:rsid w:val="00ED6A7E"/>
    <w:rsid w:val="00ED6EB0"/>
    <w:rsid w:val="00ED719E"/>
    <w:rsid w:val="00EE1796"/>
    <w:rsid w:val="00EE3312"/>
    <w:rsid w:val="00EE5C01"/>
    <w:rsid w:val="00EF0445"/>
    <w:rsid w:val="00EF09CE"/>
    <w:rsid w:val="00EF2ED4"/>
    <w:rsid w:val="00EF40DE"/>
    <w:rsid w:val="00F018F0"/>
    <w:rsid w:val="00F04D51"/>
    <w:rsid w:val="00F05DE4"/>
    <w:rsid w:val="00F0656B"/>
    <w:rsid w:val="00F07D01"/>
    <w:rsid w:val="00F11AC8"/>
    <w:rsid w:val="00F11D52"/>
    <w:rsid w:val="00F11EE1"/>
    <w:rsid w:val="00F13162"/>
    <w:rsid w:val="00F13254"/>
    <w:rsid w:val="00F15267"/>
    <w:rsid w:val="00F16396"/>
    <w:rsid w:val="00F1704E"/>
    <w:rsid w:val="00F224C0"/>
    <w:rsid w:val="00F2433E"/>
    <w:rsid w:val="00F33F54"/>
    <w:rsid w:val="00F3432E"/>
    <w:rsid w:val="00F34B06"/>
    <w:rsid w:val="00F351E9"/>
    <w:rsid w:val="00F35980"/>
    <w:rsid w:val="00F35C55"/>
    <w:rsid w:val="00F360B0"/>
    <w:rsid w:val="00F36778"/>
    <w:rsid w:val="00F41932"/>
    <w:rsid w:val="00F44FE5"/>
    <w:rsid w:val="00F45040"/>
    <w:rsid w:val="00F45F59"/>
    <w:rsid w:val="00F51A3F"/>
    <w:rsid w:val="00F52D78"/>
    <w:rsid w:val="00F54106"/>
    <w:rsid w:val="00F5794B"/>
    <w:rsid w:val="00F6073C"/>
    <w:rsid w:val="00F62633"/>
    <w:rsid w:val="00F62FDE"/>
    <w:rsid w:val="00F63DBA"/>
    <w:rsid w:val="00F6559B"/>
    <w:rsid w:val="00F655B6"/>
    <w:rsid w:val="00F65C29"/>
    <w:rsid w:val="00F67BF5"/>
    <w:rsid w:val="00F71062"/>
    <w:rsid w:val="00F74269"/>
    <w:rsid w:val="00F76169"/>
    <w:rsid w:val="00F772ED"/>
    <w:rsid w:val="00F809A3"/>
    <w:rsid w:val="00F818A8"/>
    <w:rsid w:val="00F83744"/>
    <w:rsid w:val="00F84263"/>
    <w:rsid w:val="00F8437A"/>
    <w:rsid w:val="00F84655"/>
    <w:rsid w:val="00F8490B"/>
    <w:rsid w:val="00F85754"/>
    <w:rsid w:val="00F87912"/>
    <w:rsid w:val="00F87C7B"/>
    <w:rsid w:val="00F91627"/>
    <w:rsid w:val="00F93D00"/>
    <w:rsid w:val="00F952C9"/>
    <w:rsid w:val="00F959A6"/>
    <w:rsid w:val="00F965F8"/>
    <w:rsid w:val="00F96E00"/>
    <w:rsid w:val="00F97E8F"/>
    <w:rsid w:val="00FA03EB"/>
    <w:rsid w:val="00FA1AB6"/>
    <w:rsid w:val="00FA2BB9"/>
    <w:rsid w:val="00FA2D0A"/>
    <w:rsid w:val="00FA3438"/>
    <w:rsid w:val="00FA5A4C"/>
    <w:rsid w:val="00FA6D57"/>
    <w:rsid w:val="00FB1CA5"/>
    <w:rsid w:val="00FB1E0A"/>
    <w:rsid w:val="00FB2C53"/>
    <w:rsid w:val="00FB5C45"/>
    <w:rsid w:val="00FB792D"/>
    <w:rsid w:val="00FC1E27"/>
    <w:rsid w:val="00FC4938"/>
    <w:rsid w:val="00FC5303"/>
    <w:rsid w:val="00FC5454"/>
    <w:rsid w:val="00FC69E0"/>
    <w:rsid w:val="00FD0756"/>
    <w:rsid w:val="00FD5117"/>
    <w:rsid w:val="00FD53AD"/>
    <w:rsid w:val="00FD65DB"/>
    <w:rsid w:val="00FD7B1C"/>
    <w:rsid w:val="00FE3ADA"/>
    <w:rsid w:val="00FE41B8"/>
    <w:rsid w:val="00FE47B9"/>
    <w:rsid w:val="00FE4C2D"/>
    <w:rsid w:val="00FE4F06"/>
    <w:rsid w:val="00FE71BD"/>
    <w:rsid w:val="00FE7F4F"/>
    <w:rsid w:val="00FF0A44"/>
    <w:rsid w:val="00FF418D"/>
    <w:rsid w:val="00FF5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C9D5B"/>
  <w15:chartTrackingRefBased/>
  <w15:docId w15:val="{C6998301-A4DD-41FE-9081-A18A80A47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0DE"/>
    <w:pPr>
      <w:spacing w:after="0" w:line="360" w:lineRule="auto"/>
      <w:jc w:val="both"/>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81619"/>
    <w:rPr>
      <w:color w:val="808080"/>
    </w:rPr>
  </w:style>
  <w:style w:type="paragraph" w:styleId="a4">
    <w:name w:val="List Paragraph"/>
    <w:basedOn w:val="a"/>
    <w:uiPriority w:val="34"/>
    <w:qFormat/>
    <w:rsid w:val="004D2B65"/>
    <w:pPr>
      <w:ind w:left="720"/>
      <w:contextualSpacing/>
    </w:pPr>
  </w:style>
  <w:style w:type="character" w:styleId="a5">
    <w:name w:val="Hyperlink"/>
    <w:basedOn w:val="a0"/>
    <w:uiPriority w:val="99"/>
    <w:unhideWhenUsed/>
    <w:rsid w:val="004D2B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928">
      <w:bodyDiv w:val="1"/>
      <w:marLeft w:val="0"/>
      <w:marRight w:val="0"/>
      <w:marTop w:val="0"/>
      <w:marBottom w:val="0"/>
      <w:divBdr>
        <w:top w:val="none" w:sz="0" w:space="0" w:color="auto"/>
        <w:left w:val="none" w:sz="0" w:space="0" w:color="auto"/>
        <w:bottom w:val="none" w:sz="0" w:space="0" w:color="auto"/>
        <w:right w:val="none" w:sz="0" w:space="0" w:color="auto"/>
      </w:divBdr>
    </w:div>
    <w:div w:id="1173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socscimed.2021.113697" TargetMode="External"/><Relationship Id="rId3" Type="http://schemas.openxmlformats.org/officeDocument/2006/relationships/settings" Target="settings.xml"/><Relationship Id="rId7" Type="http://schemas.openxmlformats.org/officeDocument/2006/relationships/hyperlink" Target="https://doi.org/10.3390/ijerph1105051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2196/38099" TargetMode="External"/><Relationship Id="rId11" Type="http://schemas.openxmlformats.org/officeDocument/2006/relationships/theme" Target="theme/theme1.xml"/><Relationship Id="rId5" Type="http://schemas.openxmlformats.org/officeDocument/2006/relationships/hyperlink" Target="https://www.ncbi.nlm.nih.gov/books/NBK15448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234/ijhes.v3i7.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3</Pages>
  <Words>887</Words>
  <Characters>5057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Kizergedemin</dc:creator>
  <cp:keywords/>
  <dc:description/>
  <cp:lastModifiedBy>Kizergedemin</cp:lastModifiedBy>
  <cp:revision>15</cp:revision>
  <dcterms:created xsi:type="dcterms:W3CDTF">2024-05-10T18:38:00Z</dcterms:created>
  <dcterms:modified xsi:type="dcterms:W3CDTF">2024-05-12T12:18:00Z</dcterms:modified>
</cp:coreProperties>
</file>