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C1FB" w14:textId="2754F05F" w:rsidR="00291663" w:rsidRDefault="00291663" w:rsidP="00410D43">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Поплюйко Ярослава Валеріївна,</w:t>
      </w:r>
    </w:p>
    <w:p w14:paraId="1F2FC6B7" w14:textId="29ECD5DF" w:rsidR="00291663" w:rsidRDefault="00291663" w:rsidP="00410D43">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кандидат економічних наук, доцент,</w:t>
      </w:r>
    </w:p>
    <w:p w14:paraId="03380832" w14:textId="558ACE0A" w:rsidR="00291663" w:rsidRDefault="00291663" w:rsidP="00410D43">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Київський національний університет імені Тараса Шевченка, Київ</w:t>
      </w:r>
    </w:p>
    <w:p w14:paraId="666F08B2" w14:textId="06D49CFB" w:rsidR="00291663" w:rsidRPr="00B25421" w:rsidRDefault="00291663" w:rsidP="00410D43">
      <w:pPr>
        <w:spacing w:after="0" w:line="360" w:lineRule="auto"/>
        <w:ind w:firstLine="709"/>
        <w:jc w:val="right"/>
        <w:rPr>
          <w:rFonts w:ascii="Times New Roman" w:hAnsi="Times New Roman" w:cs="Times New Roman"/>
          <w:sz w:val="28"/>
          <w:szCs w:val="28"/>
          <w:lang w:val="ru-RU"/>
        </w:rPr>
      </w:pPr>
      <w:r>
        <w:rPr>
          <w:rFonts w:ascii="Times New Roman" w:hAnsi="Times New Roman" w:cs="Times New Roman"/>
          <w:sz w:val="28"/>
          <w:szCs w:val="28"/>
          <w:lang w:val="en-GB"/>
        </w:rPr>
        <w:t>ORCID</w:t>
      </w:r>
      <w:r w:rsidRPr="00B25421">
        <w:rPr>
          <w:rFonts w:ascii="Times New Roman" w:hAnsi="Times New Roman" w:cs="Times New Roman"/>
          <w:sz w:val="28"/>
          <w:szCs w:val="28"/>
          <w:lang w:val="ru-RU"/>
        </w:rPr>
        <w:t xml:space="preserve"> 0000-0002-3379-2177</w:t>
      </w:r>
    </w:p>
    <w:p w14:paraId="0934E286" w14:textId="1B6608B2" w:rsidR="00291663" w:rsidRPr="00291663" w:rsidRDefault="00D72673" w:rsidP="00410D43">
      <w:pPr>
        <w:spacing w:after="0" w:line="360" w:lineRule="auto"/>
        <w:ind w:firstLine="709"/>
        <w:jc w:val="center"/>
        <w:rPr>
          <w:rFonts w:ascii="Times New Roman" w:hAnsi="Times New Roman" w:cs="Times New Roman"/>
          <w:b/>
          <w:bCs/>
          <w:sz w:val="28"/>
          <w:szCs w:val="28"/>
        </w:rPr>
      </w:pPr>
      <w:r w:rsidRPr="00291663">
        <w:rPr>
          <w:rFonts w:ascii="Times New Roman" w:hAnsi="Times New Roman" w:cs="Times New Roman"/>
          <w:b/>
          <w:bCs/>
          <w:sz w:val="28"/>
          <w:szCs w:val="28"/>
        </w:rPr>
        <w:t>ДОЛАРИЗАЦІЯ В УКРАЇНІ: ВИКЛИКИ СПРИЧИНЕНІ ВІЙНОЮ</w:t>
      </w:r>
    </w:p>
    <w:p w14:paraId="48C46566" w14:textId="1AF1840D" w:rsidR="00B86158" w:rsidRDefault="00F210BC" w:rsidP="00410D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умовах подальших військових дій економіка України зазнає серйозних викликів, що вимагають </w:t>
      </w:r>
      <w:r w:rsidRPr="00F210BC">
        <w:rPr>
          <w:rFonts w:ascii="Times New Roman" w:hAnsi="Times New Roman" w:cs="Times New Roman"/>
          <w:sz w:val="28"/>
          <w:szCs w:val="28"/>
        </w:rPr>
        <w:t>невідкладного аналізу та розв'язання.</w:t>
      </w:r>
      <w:r w:rsidR="00935082">
        <w:rPr>
          <w:rFonts w:ascii="Times New Roman" w:hAnsi="Times New Roman" w:cs="Times New Roman"/>
          <w:sz w:val="28"/>
          <w:szCs w:val="28"/>
        </w:rPr>
        <w:t xml:space="preserve"> </w:t>
      </w:r>
      <w:r w:rsidR="00AB04FC" w:rsidRPr="00AB04FC">
        <w:rPr>
          <w:rFonts w:ascii="Times New Roman" w:hAnsi="Times New Roman" w:cs="Times New Roman"/>
          <w:sz w:val="28"/>
          <w:szCs w:val="28"/>
        </w:rPr>
        <w:t xml:space="preserve">Однією з </w:t>
      </w:r>
      <w:r w:rsidR="00AB04FC">
        <w:rPr>
          <w:rFonts w:ascii="Times New Roman" w:hAnsi="Times New Roman" w:cs="Times New Roman"/>
          <w:sz w:val="28"/>
          <w:szCs w:val="28"/>
        </w:rPr>
        <w:t>серйозних</w:t>
      </w:r>
      <w:r w:rsidR="00AB04FC" w:rsidRPr="00AB04FC">
        <w:rPr>
          <w:rFonts w:ascii="Times New Roman" w:hAnsi="Times New Roman" w:cs="Times New Roman"/>
          <w:sz w:val="28"/>
          <w:szCs w:val="28"/>
        </w:rPr>
        <w:t xml:space="preserve"> проблем, що </w:t>
      </w:r>
      <w:r w:rsidR="00AB04FC">
        <w:rPr>
          <w:rFonts w:ascii="Times New Roman" w:hAnsi="Times New Roman" w:cs="Times New Roman"/>
          <w:sz w:val="28"/>
          <w:szCs w:val="28"/>
        </w:rPr>
        <w:t>загострил</w:t>
      </w:r>
      <w:r w:rsidR="00D21291" w:rsidRPr="00D21291">
        <w:rPr>
          <w:rFonts w:ascii="Times New Roman" w:hAnsi="Times New Roman" w:cs="Times New Roman"/>
          <w:sz w:val="28"/>
          <w:szCs w:val="28"/>
        </w:rPr>
        <w:t>и</w:t>
      </w:r>
      <w:r w:rsidR="00AB04FC">
        <w:rPr>
          <w:rFonts w:ascii="Times New Roman" w:hAnsi="Times New Roman" w:cs="Times New Roman"/>
          <w:sz w:val="28"/>
          <w:szCs w:val="28"/>
        </w:rPr>
        <w:t>сь</w:t>
      </w:r>
      <w:r w:rsidR="00AB04FC" w:rsidRPr="00AB04FC">
        <w:rPr>
          <w:rFonts w:ascii="Times New Roman" w:hAnsi="Times New Roman" w:cs="Times New Roman"/>
          <w:sz w:val="28"/>
          <w:szCs w:val="28"/>
        </w:rPr>
        <w:t xml:space="preserve"> в контексті війни, є доларизація </w:t>
      </w:r>
      <w:r w:rsidR="00AB04FC">
        <w:rPr>
          <w:rFonts w:ascii="Times New Roman" w:hAnsi="Times New Roman" w:cs="Times New Roman"/>
          <w:sz w:val="28"/>
          <w:szCs w:val="28"/>
        </w:rPr>
        <w:t>економіки</w:t>
      </w:r>
      <w:r w:rsidR="00AB04FC" w:rsidRPr="00AB04FC">
        <w:rPr>
          <w:rFonts w:ascii="Times New Roman" w:hAnsi="Times New Roman" w:cs="Times New Roman"/>
          <w:sz w:val="28"/>
          <w:szCs w:val="28"/>
        </w:rPr>
        <w:t xml:space="preserve"> та виведення заощаджень з фінансової системи. </w:t>
      </w:r>
      <w:r w:rsidR="009072AC" w:rsidRPr="009072AC">
        <w:rPr>
          <w:rFonts w:ascii="Times New Roman" w:hAnsi="Times New Roman" w:cs="Times New Roman"/>
          <w:sz w:val="28"/>
          <w:szCs w:val="28"/>
        </w:rPr>
        <w:t>Підвищен</w:t>
      </w:r>
      <w:r w:rsidR="008977F4">
        <w:rPr>
          <w:rFonts w:ascii="Times New Roman" w:hAnsi="Times New Roman" w:cs="Times New Roman"/>
          <w:sz w:val="28"/>
          <w:szCs w:val="28"/>
        </w:rPr>
        <w:t>ня</w:t>
      </w:r>
      <w:r w:rsidR="009072AC" w:rsidRPr="009072AC">
        <w:rPr>
          <w:rFonts w:ascii="Times New Roman" w:hAnsi="Times New Roman" w:cs="Times New Roman"/>
          <w:sz w:val="28"/>
          <w:szCs w:val="28"/>
        </w:rPr>
        <w:t xml:space="preserve"> рів</w:t>
      </w:r>
      <w:r w:rsidR="008977F4">
        <w:rPr>
          <w:rFonts w:ascii="Times New Roman" w:hAnsi="Times New Roman" w:cs="Times New Roman"/>
          <w:sz w:val="28"/>
          <w:szCs w:val="28"/>
        </w:rPr>
        <w:t>ня</w:t>
      </w:r>
      <w:r w:rsidR="009072AC" w:rsidRPr="009072AC">
        <w:rPr>
          <w:rFonts w:ascii="Times New Roman" w:hAnsi="Times New Roman" w:cs="Times New Roman"/>
          <w:sz w:val="28"/>
          <w:szCs w:val="28"/>
        </w:rPr>
        <w:t xml:space="preserve"> доларизації створює ряд серйозних економічних та фінансових </w:t>
      </w:r>
      <w:r w:rsidR="00B86158">
        <w:rPr>
          <w:rFonts w:ascii="Times New Roman" w:hAnsi="Times New Roman" w:cs="Times New Roman"/>
          <w:sz w:val="28"/>
          <w:szCs w:val="28"/>
        </w:rPr>
        <w:t>загроз</w:t>
      </w:r>
      <w:r w:rsidR="009072AC" w:rsidRPr="009072AC">
        <w:rPr>
          <w:rFonts w:ascii="Times New Roman" w:hAnsi="Times New Roman" w:cs="Times New Roman"/>
          <w:sz w:val="28"/>
          <w:szCs w:val="28"/>
        </w:rPr>
        <w:t>, які потрібно вирішити для забезпечення стабільності та стійкості національної економіки</w:t>
      </w:r>
      <w:r w:rsidR="005820A9">
        <w:rPr>
          <w:rFonts w:ascii="Times New Roman" w:hAnsi="Times New Roman" w:cs="Times New Roman"/>
          <w:sz w:val="28"/>
          <w:szCs w:val="28"/>
        </w:rPr>
        <w:t>.</w:t>
      </w:r>
    </w:p>
    <w:p w14:paraId="3401801E" w14:textId="0B094DF4" w:rsidR="00B86158" w:rsidRDefault="00B86158" w:rsidP="00410D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Історичні передумови</w:t>
      </w:r>
      <w:r w:rsidR="00B42D30">
        <w:rPr>
          <w:rFonts w:ascii="Times New Roman" w:hAnsi="Times New Roman" w:cs="Times New Roman"/>
          <w:sz w:val="28"/>
          <w:szCs w:val="28"/>
        </w:rPr>
        <w:t xml:space="preserve"> виникнення та</w:t>
      </w:r>
      <w:r>
        <w:rPr>
          <w:rFonts w:ascii="Times New Roman" w:hAnsi="Times New Roman" w:cs="Times New Roman"/>
          <w:sz w:val="28"/>
          <w:szCs w:val="28"/>
        </w:rPr>
        <w:t xml:space="preserve"> існування доларизації</w:t>
      </w:r>
      <w:r w:rsidR="00B42D30">
        <w:rPr>
          <w:rFonts w:ascii="Times New Roman" w:hAnsi="Times New Roman" w:cs="Times New Roman"/>
          <w:sz w:val="28"/>
          <w:szCs w:val="28"/>
        </w:rPr>
        <w:t xml:space="preserve"> в Україні</w:t>
      </w:r>
      <w:r>
        <w:rPr>
          <w:rFonts w:ascii="Times New Roman" w:hAnsi="Times New Roman" w:cs="Times New Roman"/>
          <w:sz w:val="28"/>
          <w:szCs w:val="28"/>
        </w:rPr>
        <w:t xml:space="preserve">, закладені ще з початку становлення економіки країни </w:t>
      </w:r>
      <w:r w:rsidR="009C7CAC">
        <w:rPr>
          <w:rFonts w:ascii="Times New Roman" w:hAnsi="Times New Roman" w:cs="Times New Roman"/>
          <w:sz w:val="24"/>
          <w:szCs w:val="24"/>
        </w:rPr>
        <w:t>[3]</w:t>
      </w:r>
      <w:r>
        <w:rPr>
          <w:rFonts w:ascii="Times New Roman" w:hAnsi="Times New Roman" w:cs="Times New Roman"/>
          <w:sz w:val="28"/>
          <w:szCs w:val="28"/>
        </w:rPr>
        <w:t>,</w:t>
      </w:r>
      <w:r w:rsidR="00B42D30">
        <w:rPr>
          <w:rFonts w:ascii="Times New Roman" w:hAnsi="Times New Roman" w:cs="Times New Roman"/>
          <w:sz w:val="28"/>
          <w:szCs w:val="28"/>
        </w:rPr>
        <w:t xml:space="preserve"> лише</w:t>
      </w:r>
      <w:r>
        <w:rPr>
          <w:rFonts w:ascii="Times New Roman" w:hAnsi="Times New Roman" w:cs="Times New Roman"/>
          <w:sz w:val="28"/>
          <w:szCs w:val="28"/>
        </w:rPr>
        <w:t xml:space="preserve"> ускладнюють процеси монетарного регулювання цього явища.</w:t>
      </w:r>
      <w:r w:rsidR="006D22F5">
        <w:rPr>
          <w:rFonts w:ascii="Times New Roman" w:hAnsi="Times New Roman" w:cs="Times New Roman"/>
          <w:sz w:val="28"/>
          <w:szCs w:val="28"/>
        </w:rPr>
        <w:t xml:space="preserve"> Війна </w:t>
      </w:r>
      <w:r w:rsidR="007D4AA1">
        <w:rPr>
          <w:rFonts w:ascii="Times New Roman" w:hAnsi="Times New Roman" w:cs="Times New Roman"/>
          <w:sz w:val="28"/>
          <w:szCs w:val="28"/>
        </w:rPr>
        <w:t xml:space="preserve">додала до </w:t>
      </w:r>
      <w:r w:rsidR="00D21291">
        <w:rPr>
          <w:rFonts w:ascii="Times New Roman" w:hAnsi="Times New Roman" w:cs="Times New Roman"/>
          <w:sz w:val="28"/>
          <w:szCs w:val="28"/>
          <w:lang w:val="ru-RU"/>
        </w:rPr>
        <w:t>наявних</w:t>
      </w:r>
      <w:r w:rsidR="007D4AA1">
        <w:rPr>
          <w:rFonts w:ascii="Times New Roman" w:hAnsi="Times New Roman" w:cs="Times New Roman"/>
          <w:sz w:val="28"/>
          <w:szCs w:val="28"/>
        </w:rPr>
        <w:t xml:space="preserve"> викликів нові, які примусили відійти від політики вільного курсоутворення на валютному ринку </w:t>
      </w:r>
      <w:r w:rsidR="00DD6C5E">
        <w:rPr>
          <w:rFonts w:ascii="Times New Roman" w:hAnsi="Times New Roman" w:cs="Times New Roman"/>
          <w:sz w:val="28"/>
          <w:szCs w:val="28"/>
        </w:rPr>
        <w:t>та</w:t>
      </w:r>
      <w:r w:rsidR="007D4AA1">
        <w:rPr>
          <w:rFonts w:ascii="Times New Roman" w:hAnsi="Times New Roman" w:cs="Times New Roman"/>
          <w:sz w:val="28"/>
          <w:szCs w:val="28"/>
        </w:rPr>
        <w:t xml:space="preserve"> вжити заход</w:t>
      </w:r>
      <w:r w:rsidR="00D21291">
        <w:rPr>
          <w:rFonts w:ascii="Times New Roman" w:hAnsi="Times New Roman" w:cs="Times New Roman"/>
          <w:sz w:val="28"/>
          <w:szCs w:val="28"/>
          <w:lang w:val="ru-RU"/>
        </w:rPr>
        <w:t>ыв</w:t>
      </w:r>
      <w:r w:rsidR="007D4AA1">
        <w:rPr>
          <w:rFonts w:ascii="Times New Roman" w:hAnsi="Times New Roman" w:cs="Times New Roman"/>
          <w:sz w:val="28"/>
          <w:szCs w:val="28"/>
        </w:rPr>
        <w:t xml:space="preserve"> щодо можливого зростання рівня доларизації</w:t>
      </w:r>
      <w:r w:rsidR="00F53C62">
        <w:rPr>
          <w:rFonts w:ascii="Times New Roman" w:hAnsi="Times New Roman" w:cs="Times New Roman"/>
          <w:sz w:val="28"/>
          <w:szCs w:val="28"/>
        </w:rPr>
        <w:t xml:space="preserve">. </w:t>
      </w:r>
    </w:p>
    <w:p w14:paraId="6BD8C2EE" w14:textId="745C7DB1" w:rsidR="00F53C62" w:rsidRDefault="00F53C62" w:rsidP="00410D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Розглянемо детальніше фактори</w:t>
      </w:r>
      <w:r w:rsidR="003045A5">
        <w:rPr>
          <w:rFonts w:ascii="Times New Roman" w:hAnsi="Times New Roman" w:cs="Times New Roman"/>
          <w:sz w:val="28"/>
          <w:szCs w:val="28"/>
        </w:rPr>
        <w:t>,</w:t>
      </w:r>
      <w:r>
        <w:rPr>
          <w:rFonts w:ascii="Times New Roman" w:hAnsi="Times New Roman" w:cs="Times New Roman"/>
          <w:sz w:val="28"/>
          <w:szCs w:val="28"/>
        </w:rPr>
        <w:t xml:space="preserve"> </w:t>
      </w:r>
      <w:r w:rsidR="003045A5">
        <w:rPr>
          <w:rFonts w:ascii="Times New Roman" w:hAnsi="Times New Roman" w:cs="Times New Roman"/>
          <w:sz w:val="28"/>
          <w:szCs w:val="28"/>
        </w:rPr>
        <w:t xml:space="preserve">які </w:t>
      </w:r>
      <w:r w:rsidR="00C15CFB">
        <w:rPr>
          <w:rFonts w:ascii="Times New Roman" w:hAnsi="Times New Roman" w:cs="Times New Roman"/>
          <w:sz w:val="28"/>
          <w:szCs w:val="28"/>
        </w:rPr>
        <w:t xml:space="preserve">найбільше </w:t>
      </w:r>
      <w:r>
        <w:rPr>
          <w:rFonts w:ascii="Times New Roman" w:hAnsi="Times New Roman" w:cs="Times New Roman"/>
          <w:sz w:val="28"/>
          <w:szCs w:val="28"/>
        </w:rPr>
        <w:t>вплив</w:t>
      </w:r>
      <w:r w:rsidR="0084168B">
        <w:rPr>
          <w:rFonts w:ascii="Times New Roman" w:hAnsi="Times New Roman" w:cs="Times New Roman"/>
          <w:sz w:val="28"/>
          <w:szCs w:val="28"/>
        </w:rPr>
        <w:t>ають</w:t>
      </w:r>
      <w:r>
        <w:rPr>
          <w:rFonts w:ascii="Times New Roman" w:hAnsi="Times New Roman" w:cs="Times New Roman"/>
          <w:sz w:val="28"/>
          <w:szCs w:val="28"/>
        </w:rPr>
        <w:t xml:space="preserve"> на зміну</w:t>
      </w:r>
      <w:r w:rsidR="0084168B">
        <w:rPr>
          <w:rFonts w:ascii="Times New Roman" w:hAnsi="Times New Roman" w:cs="Times New Roman"/>
          <w:sz w:val="28"/>
          <w:szCs w:val="28"/>
        </w:rPr>
        <w:t xml:space="preserve"> рівня</w:t>
      </w:r>
      <w:r>
        <w:rPr>
          <w:rFonts w:ascii="Times New Roman" w:hAnsi="Times New Roman" w:cs="Times New Roman"/>
          <w:sz w:val="28"/>
          <w:szCs w:val="28"/>
        </w:rPr>
        <w:t xml:space="preserve"> показників доларизації в умовах війни.</w:t>
      </w:r>
      <w:r w:rsidR="00FB17A2">
        <w:rPr>
          <w:rFonts w:ascii="Times New Roman" w:hAnsi="Times New Roman" w:cs="Times New Roman"/>
          <w:sz w:val="28"/>
          <w:szCs w:val="28"/>
        </w:rPr>
        <w:t xml:space="preserve"> По</w:t>
      </w:r>
      <w:r w:rsidR="00D21291">
        <w:rPr>
          <w:rFonts w:ascii="Times New Roman" w:hAnsi="Times New Roman" w:cs="Times New Roman"/>
          <w:sz w:val="28"/>
          <w:szCs w:val="28"/>
          <w:lang w:val="ru-RU"/>
        </w:rPr>
        <w:t>-</w:t>
      </w:r>
      <w:r w:rsidR="00FB17A2">
        <w:rPr>
          <w:rFonts w:ascii="Times New Roman" w:hAnsi="Times New Roman" w:cs="Times New Roman"/>
          <w:sz w:val="28"/>
          <w:szCs w:val="28"/>
        </w:rPr>
        <w:t xml:space="preserve">перше, </w:t>
      </w:r>
      <w:r w:rsidR="003045A5">
        <w:rPr>
          <w:rFonts w:ascii="Times New Roman" w:hAnsi="Times New Roman" w:cs="Times New Roman"/>
          <w:sz w:val="28"/>
          <w:szCs w:val="28"/>
        </w:rPr>
        <w:t xml:space="preserve">це </w:t>
      </w:r>
      <w:r w:rsidR="00C15CFB">
        <w:rPr>
          <w:rFonts w:ascii="Times New Roman" w:hAnsi="Times New Roman" w:cs="Times New Roman"/>
          <w:sz w:val="28"/>
          <w:szCs w:val="28"/>
        </w:rPr>
        <w:t>паніка</w:t>
      </w:r>
      <w:r w:rsidR="003045A5">
        <w:rPr>
          <w:rFonts w:ascii="Times New Roman" w:hAnsi="Times New Roman" w:cs="Times New Roman"/>
          <w:sz w:val="28"/>
          <w:szCs w:val="28"/>
        </w:rPr>
        <w:t xml:space="preserve"> на валютному ри</w:t>
      </w:r>
      <w:r w:rsidR="00D21291">
        <w:rPr>
          <w:rFonts w:ascii="Times New Roman" w:hAnsi="Times New Roman" w:cs="Times New Roman"/>
          <w:sz w:val="28"/>
          <w:szCs w:val="28"/>
          <w:lang w:val="ru-RU"/>
        </w:rPr>
        <w:t>н</w:t>
      </w:r>
      <w:r w:rsidR="003045A5">
        <w:rPr>
          <w:rFonts w:ascii="Times New Roman" w:hAnsi="Times New Roman" w:cs="Times New Roman"/>
          <w:sz w:val="28"/>
          <w:szCs w:val="28"/>
        </w:rPr>
        <w:t>ку</w:t>
      </w:r>
      <w:r w:rsidR="00C15CFB">
        <w:rPr>
          <w:rFonts w:ascii="Times New Roman" w:hAnsi="Times New Roman" w:cs="Times New Roman"/>
          <w:sz w:val="28"/>
          <w:szCs w:val="28"/>
        </w:rPr>
        <w:t>, викликана девальваційними очікуваннями суб’єктів економіки. По</w:t>
      </w:r>
      <w:r w:rsidR="00D21291" w:rsidRPr="00D21291">
        <w:rPr>
          <w:rFonts w:ascii="Times New Roman" w:hAnsi="Times New Roman" w:cs="Times New Roman"/>
          <w:sz w:val="28"/>
          <w:szCs w:val="28"/>
        </w:rPr>
        <w:t>-</w:t>
      </w:r>
      <w:r w:rsidR="00C15CFB">
        <w:rPr>
          <w:rFonts w:ascii="Times New Roman" w:hAnsi="Times New Roman" w:cs="Times New Roman"/>
          <w:sz w:val="28"/>
          <w:szCs w:val="28"/>
        </w:rPr>
        <w:t>друге,</w:t>
      </w:r>
      <w:r w:rsidR="00FB17A2">
        <w:rPr>
          <w:rFonts w:ascii="Times New Roman" w:hAnsi="Times New Roman" w:cs="Times New Roman"/>
          <w:sz w:val="28"/>
          <w:szCs w:val="28"/>
        </w:rPr>
        <w:t xml:space="preserve"> зміна сальдо торгівельного балансу: вплив неринкових факторів на зміну експорту, викликаний ускладненням логістики, затримками платеж</w:t>
      </w:r>
      <w:r w:rsidR="00C15CFB">
        <w:rPr>
          <w:rFonts w:ascii="Times New Roman" w:hAnsi="Times New Roman" w:cs="Times New Roman"/>
          <w:sz w:val="28"/>
          <w:szCs w:val="28"/>
        </w:rPr>
        <w:t>ів</w:t>
      </w:r>
      <w:r w:rsidR="00FB17A2">
        <w:rPr>
          <w:rFonts w:ascii="Times New Roman" w:hAnsi="Times New Roman" w:cs="Times New Roman"/>
          <w:sz w:val="28"/>
          <w:szCs w:val="28"/>
        </w:rPr>
        <w:t xml:space="preserve">, знищенням/пошкодженням виробничих потужностей, втрата постачальників та </w:t>
      </w:r>
      <w:r w:rsidR="009C7CAC">
        <w:rPr>
          <w:rFonts w:ascii="Times New Roman" w:hAnsi="Times New Roman" w:cs="Times New Roman"/>
          <w:sz w:val="28"/>
          <w:szCs w:val="28"/>
        </w:rPr>
        <w:t>бізнес</w:t>
      </w:r>
      <w:r w:rsidR="00D21291" w:rsidRPr="00D21291">
        <w:rPr>
          <w:rFonts w:ascii="Times New Roman" w:hAnsi="Times New Roman" w:cs="Times New Roman"/>
          <w:sz w:val="28"/>
          <w:szCs w:val="28"/>
        </w:rPr>
        <w:t>-</w:t>
      </w:r>
      <w:r w:rsidR="009C7CAC">
        <w:rPr>
          <w:rFonts w:ascii="Times New Roman" w:hAnsi="Times New Roman" w:cs="Times New Roman"/>
          <w:sz w:val="28"/>
          <w:szCs w:val="28"/>
        </w:rPr>
        <w:t>партнерів</w:t>
      </w:r>
      <w:r w:rsidR="00FB17A2">
        <w:rPr>
          <w:rFonts w:ascii="Times New Roman" w:hAnsi="Times New Roman" w:cs="Times New Roman"/>
          <w:sz w:val="28"/>
          <w:szCs w:val="28"/>
        </w:rPr>
        <w:t xml:space="preserve">, що відбувається на </w:t>
      </w:r>
      <w:r w:rsidR="00D21291" w:rsidRPr="00D21291">
        <w:rPr>
          <w:rFonts w:ascii="Times New Roman" w:hAnsi="Times New Roman" w:cs="Times New Roman"/>
          <w:sz w:val="28"/>
          <w:szCs w:val="28"/>
        </w:rPr>
        <w:t>тл</w:t>
      </w:r>
      <w:r w:rsidR="00D21291">
        <w:rPr>
          <w:rFonts w:ascii="Times New Roman" w:hAnsi="Times New Roman" w:cs="Times New Roman"/>
          <w:sz w:val="28"/>
          <w:szCs w:val="28"/>
        </w:rPr>
        <w:t>і</w:t>
      </w:r>
      <w:r w:rsidR="00FB17A2">
        <w:rPr>
          <w:rFonts w:ascii="Times New Roman" w:hAnsi="Times New Roman" w:cs="Times New Roman"/>
          <w:sz w:val="28"/>
          <w:szCs w:val="28"/>
        </w:rPr>
        <w:t xml:space="preserve"> стрімкого зростання імпорту. </w:t>
      </w:r>
      <w:r w:rsidR="00C15CFB">
        <w:rPr>
          <w:rFonts w:ascii="Times New Roman" w:hAnsi="Times New Roman" w:cs="Times New Roman"/>
          <w:sz w:val="28"/>
          <w:szCs w:val="28"/>
        </w:rPr>
        <w:t>Ще одним</w:t>
      </w:r>
      <w:r w:rsidR="003045A5">
        <w:rPr>
          <w:rFonts w:ascii="Times New Roman" w:hAnsi="Times New Roman" w:cs="Times New Roman"/>
          <w:sz w:val="28"/>
          <w:szCs w:val="28"/>
        </w:rPr>
        <w:t>,</w:t>
      </w:r>
      <w:r w:rsidR="00C15CFB">
        <w:rPr>
          <w:rFonts w:ascii="Times New Roman" w:hAnsi="Times New Roman" w:cs="Times New Roman"/>
          <w:sz w:val="28"/>
          <w:szCs w:val="28"/>
        </w:rPr>
        <w:t xml:space="preserve"> не менш важливим</w:t>
      </w:r>
      <w:r w:rsidR="003045A5">
        <w:rPr>
          <w:rFonts w:ascii="Times New Roman" w:hAnsi="Times New Roman" w:cs="Times New Roman"/>
          <w:sz w:val="28"/>
          <w:szCs w:val="28"/>
        </w:rPr>
        <w:t>,</w:t>
      </w:r>
      <w:r w:rsidR="00C15CFB">
        <w:rPr>
          <w:rFonts w:ascii="Times New Roman" w:hAnsi="Times New Roman" w:cs="Times New Roman"/>
          <w:sz w:val="28"/>
          <w:szCs w:val="28"/>
        </w:rPr>
        <w:t xml:space="preserve"> фактором є збільшення валютних надходжень від іноземних партнерів у вигляді грантів і кредитів.</w:t>
      </w:r>
    </w:p>
    <w:p w14:paraId="5ADB7FDC" w14:textId="76F4A0AF" w:rsidR="00DD6C5E" w:rsidRDefault="00DD6C5E" w:rsidP="00410D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84168B">
        <w:rPr>
          <w:rFonts w:ascii="Times New Roman" w:hAnsi="Times New Roman" w:cs="Times New Roman"/>
          <w:sz w:val="28"/>
          <w:szCs w:val="28"/>
        </w:rPr>
        <w:t>креслимо о</w:t>
      </w:r>
      <w:r>
        <w:rPr>
          <w:rFonts w:ascii="Times New Roman" w:hAnsi="Times New Roman" w:cs="Times New Roman"/>
          <w:sz w:val="28"/>
          <w:szCs w:val="28"/>
        </w:rPr>
        <w:t>сновні проблеми, пов’язані з підвищенням рівня доларизації</w:t>
      </w:r>
      <w:r w:rsidR="00B70996">
        <w:rPr>
          <w:rFonts w:ascii="Times New Roman" w:hAnsi="Times New Roman" w:cs="Times New Roman"/>
          <w:sz w:val="28"/>
          <w:szCs w:val="28"/>
        </w:rPr>
        <w:t xml:space="preserve"> в умовах війни</w:t>
      </w:r>
      <w:r>
        <w:rPr>
          <w:rFonts w:ascii="Times New Roman" w:hAnsi="Times New Roman" w:cs="Times New Roman"/>
          <w:sz w:val="28"/>
          <w:szCs w:val="28"/>
        </w:rPr>
        <w:t>:</w:t>
      </w:r>
    </w:p>
    <w:p w14:paraId="31C50FE3" w14:textId="77777777" w:rsidR="00DD6C5E" w:rsidRPr="007179DC" w:rsidRDefault="00DD6C5E" w:rsidP="00410D43">
      <w:pPr>
        <w:pStyle w:val="a5"/>
        <w:numPr>
          <w:ilvl w:val="1"/>
          <w:numId w:val="5"/>
        </w:numPr>
        <w:tabs>
          <w:tab w:val="left" w:pos="851"/>
        </w:tabs>
        <w:spacing w:after="0" w:line="360" w:lineRule="auto"/>
        <w:ind w:left="0" w:firstLine="709"/>
        <w:jc w:val="both"/>
        <w:rPr>
          <w:rFonts w:ascii="Times New Roman" w:hAnsi="Times New Roman" w:cs="Times New Roman"/>
          <w:sz w:val="28"/>
          <w:szCs w:val="28"/>
        </w:rPr>
      </w:pPr>
      <w:r w:rsidRPr="007179DC">
        <w:rPr>
          <w:rFonts w:ascii="Times New Roman" w:hAnsi="Times New Roman" w:cs="Times New Roman"/>
          <w:sz w:val="28"/>
          <w:szCs w:val="28"/>
        </w:rPr>
        <w:lastRenderedPageBreak/>
        <w:t xml:space="preserve"> макроекономічні виклики: різке погіршення макроекономічних показників, втрата стабільності національної валюти та зростання інфляційного тиску;</w:t>
      </w:r>
    </w:p>
    <w:p w14:paraId="6FFF3FB1" w14:textId="74B73E6E" w:rsidR="00DD6C5E" w:rsidRPr="007179DC" w:rsidRDefault="003045A5" w:rsidP="00410D43">
      <w:pPr>
        <w:pStyle w:val="a5"/>
        <w:numPr>
          <w:ilvl w:val="1"/>
          <w:numId w:val="5"/>
        </w:numPr>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загроза </w:t>
      </w:r>
      <w:r w:rsidR="00DD6C5E" w:rsidRPr="007179DC">
        <w:rPr>
          <w:rFonts w:ascii="Times New Roman" w:hAnsi="Times New Roman" w:cs="Times New Roman"/>
          <w:sz w:val="28"/>
          <w:szCs w:val="28"/>
        </w:rPr>
        <w:t>фінансов</w:t>
      </w:r>
      <w:r>
        <w:rPr>
          <w:rFonts w:ascii="Times New Roman" w:hAnsi="Times New Roman" w:cs="Times New Roman"/>
          <w:sz w:val="28"/>
          <w:szCs w:val="28"/>
        </w:rPr>
        <w:t>ій</w:t>
      </w:r>
      <w:r w:rsidR="00DD6C5E" w:rsidRPr="007179DC">
        <w:rPr>
          <w:rFonts w:ascii="Times New Roman" w:hAnsi="Times New Roman" w:cs="Times New Roman"/>
          <w:sz w:val="28"/>
          <w:szCs w:val="28"/>
        </w:rPr>
        <w:t xml:space="preserve"> стабільн</w:t>
      </w:r>
      <w:r>
        <w:rPr>
          <w:rFonts w:ascii="Times New Roman" w:hAnsi="Times New Roman" w:cs="Times New Roman"/>
          <w:sz w:val="28"/>
          <w:szCs w:val="28"/>
        </w:rPr>
        <w:t>ості</w:t>
      </w:r>
      <w:r w:rsidR="00DD6C5E" w:rsidRPr="007179DC">
        <w:rPr>
          <w:rFonts w:ascii="Times New Roman" w:hAnsi="Times New Roman" w:cs="Times New Roman"/>
          <w:sz w:val="28"/>
          <w:szCs w:val="28"/>
        </w:rPr>
        <w:t>: зростання рівня доларизації може призвести до девальвації національної валюти та інфляції, що загрожує фінансовій стабільності на макро</w:t>
      </w:r>
      <w:r w:rsidR="00D21291">
        <w:rPr>
          <w:rFonts w:ascii="Times New Roman" w:hAnsi="Times New Roman" w:cs="Times New Roman"/>
          <w:sz w:val="28"/>
          <w:szCs w:val="28"/>
        </w:rPr>
        <w:t>-</w:t>
      </w:r>
      <w:r w:rsidR="00DD6C5E" w:rsidRPr="007179DC">
        <w:rPr>
          <w:rFonts w:ascii="Times New Roman" w:hAnsi="Times New Roman" w:cs="Times New Roman"/>
          <w:sz w:val="28"/>
          <w:szCs w:val="28"/>
        </w:rPr>
        <w:t xml:space="preserve"> та на мікрорівн</w:t>
      </w:r>
      <w:r w:rsidR="00D21291">
        <w:rPr>
          <w:rFonts w:ascii="Times New Roman" w:hAnsi="Times New Roman" w:cs="Times New Roman"/>
          <w:sz w:val="28"/>
          <w:szCs w:val="28"/>
        </w:rPr>
        <w:t>ях</w:t>
      </w:r>
      <w:r w:rsidR="00DD6C5E" w:rsidRPr="007179DC">
        <w:rPr>
          <w:rFonts w:ascii="Times New Roman" w:hAnsi="Times New Roman" w:cs="Times New Roman"/>
          <w:sz w:val="28"/>
          <w:szCs w:val="28"/>
        </w:rPr>
        <w:t>;</w:t>
      </w:r>
    </w:p>
    <w:p w14:paraId="2E3B6D67" w14:textId="2FA0B799" w:rsidR="00DD6C5E" w:rsidRPr="007179DC" w:rsidRDefault="003045A5" w:rsidP="00410D43">
      <w:pPr>
        <w:pStyle w:val="a5"/>
        <w:numPr>
          <w:ilvl w:val="1"/>
          <w:numId w:val="5"/>
        </w:numPr>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дестабілізація </w:t>
      </w:r>
      <w:r w:rsidR="00DD6C5E" w:rsidRPr="007179DC">
        <w:rPr>
          <w:rFonts w:ascii="Times New Roman" w:hAnsi="Times New Roman" w:cs="Times New Roman"/>
          <w:sz w:val="28"/>
          <w:szCs w:val="28"/>
        </w:rPr>
        <w:t>банківськ</w:t>
      </w:r>
      <w:r>
        <w:rPr>
          <w:rFonts w:ascii="Times New Roman" w:hAnsi="Times New Roman" w:cs="Times New Roman"/>
          <w:sz w:val="28"/>
          <w:szCs w:val="28"/>
        </w:rPr>
        <w:t>ої</w:t>
      </w:r>
      <w:r w:rsidR="00DD6C5E" w:rsidRPr="007179DC">
        <w:rPr>
          <w:rFonts w:ascii="Times New Roman" w:hAnsi="Times New Roman" w:cs="Times New Roman"/>
          <w:sz w:val="28"/>
          <w:szCs w:val="28"/>
        </w:rPr>
        <w:t xml:space="preserve"> систем</w:t>
      </w:r>
      <w:r>
        <w:rPr>
          <w:rFonts w:ascii="Times New Roman" w:hAnsi="Times New Roman" w:cs="Times New Roman"/>
          <w:sz w:val="28"/>
          <w:szCs w:val="28"/>
        </w:rPr>
        <w:t>и</w:t>
      </w:r>
      <w:r w:rsidR="00DD6C5E" w:rsidRPr="007179DC">
        <w:rPr>
          <w:rFonts w:ascii="Times New Roman" w:hAnsi="Times New Roman" w:cs="Times New Roman"/>
          <w:sz w:val="28"/>
          <w:szCs w:val="28"/>
        </w:rPr>
        <w:t xml:space="preserve">: високий рівень доларизації може збільшити ризики для банківської системи, оскільки комерційні банки мають значний обсяг доларових активів та зобов'язань; </w:t>
      </w:r>
    </w:p>
    <w:p w14:paraId="38E0C4E3" w14:textId="000879DA" w:rsidR="00DD6C5E" w:rsidRPr="007179DC" w:rsidRDefault="003045A5" w:rsidP="00410D43">
      <w:pPr>
        <w:pStyle w:val="a5"/>
        <w:numPr>
          <w:ilvl w:val="1"/>
          <w:numId w:val="5"/>
        </w:numPr>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негативні </w:t>
      </w:r>
      <w:r w:rsidR="00DD6C5E" w:rsidRPr="007179DC">
        <w:rPr>
          <w:rFonts w:ascii="Times New Roman" w:hAnsi="Times New Roman" w:cs="Times New Roman"/>
          <w:sz w:val="28"/>
          <w:szCs w:val="28"/>
        </w:rPr>
        <w:t>соціальн</w:t>
      </w:r>
      <w:r>
        <w:rPr>
          <w:rFonts w:ascii="Times New Roman" w:hAnsi="Times New Roman" w:cs="Times New Roman"/>
          <w:sz w:val="28"/>
          <w:szCs w:val="28"/>
        </w:rPr>
        <w:t>о-економічні</w:t>
      </w:r>
      <w:r w:rsidR="00DD6C5E" w:rsidRPr="007179DC">
        <w:rPr>
          <w:rFonts w:ascii="Times New Roman" w:hAnsi="Times New Roman" w:cs="Times New Roman"/>
          <w:sz w:val="28"/>
          <w:szCs w:val="28"/>
        </w:rPr>
        <w:t xml:space="preserve"> наслідки: доларизація негативно впливає на купівельну спроможність громадян та підприємств, робить іноземну валюту більш привабливою для зберігання і</w:t>
      </w:r>
      <w:r w:rsidR="00D21291">
        <w:rPr>
          <w:rFonts w:ascii="Times New Roman" w:hAnsi="Times New Roman" w:cs="Times New Roman"/>
          <w:sz w:val="28"/>
          <w:szCs w:val="28"/>
        </w:rPr>
        <w:t>,</w:t>
      </w:r>
      <w:r w:rsidR="00DD6C5E" w:rsidRPr="007179DC">
        <w:rPr>
          <w:rFonts w:ascii="Times New Roman" w:hAnsi="Times New Roman" w:cs="Times New Roman"/>
          <w:sz w:val="28"/>
          <w:szCs w:val="28"/>
        </w:rPr>
        <w:t xml:space="preserve"> як наслідок, призв</w:t>
      </w:r>
      <w:r>
        <w:rPr>
          <w:rFonts w:ascii="Times New Roman" w:hAnsi="Times New Roman" w:cs="Times New Roman"/>
          <w:sz w:val="28"/>
          <w:szCs w:val="28"/>
        </w:rPr>
        <w:t>одить</w:t>
      </w:r>
      <w:r w:rsidR="00DD6C5E" w:rsidRPr="007179DC">
        <w:rPr>
          <w:rFonts w:ascii="Times New Roman" w:hAnsi="Times New Roman" w:cs="Times New Roman"/>
          <w:sz w:val="28"/>
          <w:szCs w:val="28"/>
        </w:rPr>
        <w:t xml:space="preserve"> до погіршення соціально</w:t>
      </w:r>
      <w:r>
        <w:rPr>
          <w:rFonts w:ascii="Times New Roman" w:hAnsi="Times New Roman" w:cs="Times New Roman"/>
          <w:sz w:val="28"/>
          <w:szCs w:val="28"/>
        </w:rPr>
        <w:t>-економічного</w:t>
      </w:r>
      <w:r w:rsidR="00DD6C5E" w:rsidRPr="007179DC">
        <w:rPr>
          <w:rFonts w:ascii="Times New Roman" w:hAnsi="Times New Roman" w:cs="Times New Roman"/>
          <w:sz w:val="28"/>
          <w:szCs w:val="28"/>
        </w:rPr>
        <w:t xml:space="preserve"> стану населення та збільшення соціальн</w:t>
      </w:r>
      <w:r>
        <w:rPr>
          <w:rFonts w:ascii="Times New Roman" w:hAnsi="Times New Roman" w:cs="Times New Roman"/>
          <w:sz w:val="28"/>
          <w:szCs w:val="28"/>
        </w:rPr>
        <w:t>ої</w:t>
      </w:r>
      <w:r w:rsidR="00DD6C5E" w:rsidRPr="007179DC">
        <w:rPr>
          <w:rFonts w:ascii="Times New Roman" w:hAnsi="Times New Roman" w:cs="Times New Roman"/>
          <w:sz w:val="28"/>
          <w:szCs w:val="28"/>
        </w:rPr>
        <w:t xml:space="preserve"> розшарованості;</w:t>
      </w:r>
    </w:p>
    <w:p w14:paraId="21EE0259" w14:textId="1189C711" w:rsidR="00DD6C5E" w:rsidRPr="007179DC" w:rsidRDefault="003045A5" w:rsidP="00410D43">
      <w:pPr>
        <w:pStyle w:val="a5"/>
        <w:numPr>
          <w:ilvl w:val="1"/>
          <w:numId w:val="5"/>
        </w:numPr>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зменшення податкових надходжень</w:t>
      </w:r>
      <w:r w:rsidR="00DD6C5E" w:rsidRPr="007179DC">
        <w:rPr>
          <w:rFonts w:ascii="Times New Roman" w:hAnsi="Times New Roman" w:cs="Times New Roman"/>
          <w:sz w:val="28"/>
          <w:szCs w:val="28"/>
        </w:rPr>
        <w:t>: може призвести до складнощів у оподаткуванні, оскільки багато операцій проводяться в іноземній валюті;</w:t>
      </w:r>
    </w:p>
    <w:p w14:paraId="42DCC78E" w14:textId="22910B8F" w:rsidR="00DD6C5E" w:rsidRPr="007179DC" w:rsidRDefault="00DD6C5E" w:rsidP="00410D43">
      <w:pPr>
        <w:pStyle w:val="a5"/>
        <w:numPr>
          <w:ilvl w:val="1"/>
          <w:numId w:val="5"/>
        </w:numPr>
        <w:tabs>
          <w:tab w:val="left" w:pos="851"/>
        </w:tabs>
        <w:spacing w:after="0" w:line="360" w:lineRule="auto"/>
        <w:ind w:left="0" w:firstLine="709"/>
        <w:jc w:val="both"/>
        <w:rPr>
          <w:rFonts w:ascii="Times New Roman" w:hAnsi="Times New Roman" w:cs="Times New Roman"/>
          <w:sz w:val="28"/>
          <w:szCs w:val="28"/>
        </w:rPr>
      </w:pPr>
      <w:r w:rsidRPr="007179DC">
        <w:rPr>
          <w:rFonts w:ascii="Times New Roman" w:hAnsi="Times New Roman" w:cs="Times New Roman"/>
          <w:sz w:val="28"/>
          <w:szCs w:val="28"/>
        </w:rPr>
        <w:t xml:space="preserve">залежність від імпорту: підвищуються ризики для зовнішньої торгівлі та платіжного балансу; </w:t>
      </w:r>
      <w:r w:rsidR="00D21291">
        <w:rPr>
          <w:rFonts w:ascii="Times New Roman" w:hAnsi="Times New Roman" w:cs="Times New Roman"/>
          <w:sz w:val="28"/>
          <w:szCs w:val="28"/>
        </w:rPr>
        <w:t>зростає</w:t>
      </w:r>
      <w:r w:rsidRPr="007179DC">
        <w:rPr>
          <w:rFonts w:ascii="Times New Roman" w:hAnsi="Times New Roman" w:cs="Times New Roman"/>
          <w:sz w:val="28"/>
          <w:szCs w:val="28"/>
        </w:rPr>
        <w:t xml:space="preserve"> залежності від імпорту;</w:t>
      </w:r>
    </w:p>
    <w:p w14:paraId="2AE06768" w14:textId="77777777" w:rsidR="00DD6C5E" w:rsidRDefault="00DD6C5E" w:rsidP="00410D43">
      <w:pPr>
        <w:pStyle w:val="a5"/>
        <w:numPr>
          <w:ilvl w:val="1"/>
          <w:numId w:val="5"/>
        </w:numPr>
        <w:tabs>
          <w:tab w:val="left" w:pos="851"/>
        </w:tabs>
        <w:spacing w:after="0" w:line="360" w:lineRule="auto"/>
        <w:ind w:left="0" w:firstLine="709"/>
        <w:jc w:val="both"/>
        <w:rPr>
          <w:rFonts w:ascii="Times New Roman" w:hAnsi="Times New Roman" w:cs="Times New Roman"/>
          <w:sz w:val="28"/>
          <w:szCs w:val="28"/>
        </w:rPr>
      </w:pPr>
      <w:r w:rsidRPr="007179DC">
        <w:rPr>
          <w:rFonts w:ascii="Times New Roman" w:hAnsi="Times New Roman" w:cs="Times New Roman"/>
          <w:sz w:val="28"/>
          <w:szCs w:val="28"/>
        </w:rPr>
        <w:t>контроль капіталу: введення обмежень на обмін валюти або інші заходи для зниження доларизації</w:t>
      </w:r>
      <w:r>
        <w:rPr>
          <w:rFonts w:ascii="Times New Roman" w:hAnsi="Times New Roman" w:cs="Times New Roman"/>
          <w:sz w:val="28"/>
          <w:szCs w:val="28"/>
        </w:rPr>
        <w:t xml:space="preserve"> мають негативні</w:t>
      </w:r>
      <w:r w:rsidRPr="00362D59">
        <w:rPr>
          <w:rFonts w:ascii="Times New Roman" w:hAnsi="Times New Roman" w:cs="Times New Roman"/>
          <w:sz w:val="28"/>
          <w:szCs w:val="28"/>
        </w:rPr>
        <w:t xml:space="preserve"> наслідк</w:t>
      </w:r>
      <w:r>
        <w:rPr>
          <w:rFonts w:ascii="Times New Roman" w:hAnsi="Times New Roman" w:cs="Times New Roman"/>
          <w:sz w:val="28"/>
          <w:szCs w:val="28"/>
        </w:rPr>
        <w:t>и</w:t>
      </w:r>
      <w:r w:rsidRPr="00362D59">
        <w:rPr>
          <w:rFonts w:ascii="Times New Roman" w:hAnsi="Times New Roman" w:cs="Times New Roman"/>
          <w:sz w:val="28"/>
          <w:szCs w:val="28"/>
        </w:rPr>
        <w:t xml:space="preserve"> для бізнесу та інвестиційної активності.</w:t>
      </w:r>
    </w:p>
    <w:p w14:paraId="56FC5439" w14:textId="143D85FB" w:rsidR="005743CF" w:rsidRDefault="005743CF" w:rsidP="005743CF">
      <w:pPr>
        <w:spacing w:after="0" w:line="360" w:lineRule="auto"/>
        <w:ind w:firstLine="709"/>
        <w:jc w:val="both"/>
        <w:rPr>
          <w:rFonts w:ascii="Times New Roman" w:hAnsi="Times New Roman" w:cs="Times New Roman"/>
          <w:sz w:val="28"/>
          <w:szCs w:val="28"/>
        </w:rPr>
      </w:pPr>
      <w:r w:rsidRPr="005743CF">
        <w:rPr>
          <w:rFonts w:ascii="Times New Roman" w:hAnsi="Times New Roman" w:cs="Times New Roman"/>
          <w:sz w:val="28"/>
          <w:szCs w:val="28"/>
        </w:rPr>
        <w:t xml:space="preserve">Всі ці аспекти можуть спричиняти значні виклики для макроекономічної стабільності України. Уряд та </w:t>
      </w:r>
      <w:r>
        <w:rPr>
          <w:rFonts w:ascii="Times New Roman" w:hAnsi="Times New Roman" w:cs="Times New Roman"/>
          <w:sz w:val="28"/>
          <w:szCs w:val="28"/>
        </w:rPr>
        <w:t>Національний банк</w:t>
      </w:r>
      <w:r w:rsidRPr="005743CF">
        <w:rPr>
          <w:rFonts w:ascii="Times New Roman" w:hAnsi="Times New Roman" w:cs="Times New Roman"/>
          <w:sz w:val="28"/>
          <w:szCs w:val="28"/>
        </w:rPr>
        <w:t xml:space="preserve"> мають важливе завдання в розробці та реалізації політики, спрямованої на зменшення доларизації та збереження фінансової стабільності в умовах конфлікту.</w:t>
      </w:r>
    </w:p>
    <w:p w14:paraId="6848F267" w14:textId="2E4BA514" w:rsidR="00C15CFB" w:rsidRPr="00C15CFB" w:rsidRDefault="00C15CFB" w:rsidP="00C15CFB">
      <w:pPr>
        <w:spacing w:after="0" w:line="360" w:lineRule="auto"/>
        <w:ind w:firstLine="709"/>
        <w:jc w:val="both"/>
        <w:rPr>
          <w:rFonts w:ascii="Times New Roman" w:hAnsi="Times New Roman" w:cs="Times New Roman"/>
          <w:sz w:val="28"/>
          <w:szCs w:val="28"/>
        </w:rPr>
      </w:pPr>
      <w:r w:rsidRPr="00C15CFB">
        <w:rPr>
          <w:rFonts w:ascii="Times New Roman" w:hAnsi="Times New Roman" w:cs="Times New Roman"/>
          <w:sz w:val="28"/>
          <w:szCs w:val="28"/>
        </w:rPr>
        <w:t xml:space="preserve">Статистичний аналіз неофіційної доларизації економіки доречно проводити в розрізі трьох форм </w:t>
      </w:r>
      <w:r w:rsidRPr="00C15CFB">
        <w:rPr>
          <w:rFonts w:ascii="Times New Roman" w:hAnsi="Times New Roman" w:cs="Times New Roman"/>
          <w:sz w:val="24"/>
          <w:szCs w:val="24"/>
        </w:rPr>
        <w:t>[3]</w:t>
      </w:r>
      <w:r w:rsidRPr="00C15CFB">
        <w:rPr>
          <w:rFonts w:ascii="Times New Roman" w:hAnsi="Times New Roman" w:cs="Times New Roman"/>
          <w:sz w:val="28"/>
          <w:szCs w:val="28"/>
        </w:rPr>
        <w:t xml:space="preserve">: фінансова доларизація, позабанківська доларизація та неофіційна фінансова доларизація. І якщо визначення фінансової доларизації не </w:t>
      </w:r>
      <w:r w:rsidR="00D21291">
        <w:rPr>
          <w:rFonts w:ascii="Times New Roman" w:hAnsi="Times New Roman" w:cs="Times New Roman"/>
          <w:sz w:val="28"/>
          <w:szCs w:val="28"/>
        </w:rPr>
        <w:t>є</w:t>
      </w:r>
      <w:r w:rsidRPr="00C15CFB">
        <w:rPr>
          <w:rFonts w:ascii="Times New Roman" w:hAnsi="Times New Roman" w:cs="Times New Roman"/>
          <w:sz w:val="28"/>
          <w:szCs w:val="28"/>
        </w:rPr>
        <w:t xml:space="preserve"> проблем</w:t>
      </w:r>
      <w:r w:rsidR="00D21291">
        <w:rPr>
          <w:rFonts w:ascii="Times New Roman" w:hAnsi="Times New Roman" w:cs="Times New Roman"/>
          <w:sz w:val="28"/>
          <w:szCs w:val="28"/>
        </w:rPr>
        <w:t>ою</w:t>
      </w:r>
      <w:r w:rsidRPr="00C15CFB">
        <w:rPr>
          <w:rFonts w:ascii="Times New Roman" w:hAnsi="Times New Roman" w:cs="Times New Roman"/>
          <w:sz w:val="28"/>
          <w:szCs w:val="28"/>
        </w:rPr>
        <w:t>, то наступні дві форми, які набули широкого поширення під час війни, оцінити практично неможливо.</w:t>
      </w:r>
    </w:p>
    <w:p w14:paraId="352BE7C0" w14:textId="1E697244" w:rsidR="00B70996" w:rsidRPr="00362D59" w:rsidRDefault="00B70996" w:rsidP="00410D43">
      <w:pPr>
        <w:spacing w:after="0" w:line="360" w:lineRule="auto"/>
        <w:ind w:firstLine="709"/>
        <w:jc w:val="both"/>
        <w:rPr>
          <w:rFonts w:ascii="Times New Roman" w:hAnsi="Times New Roman" w:cs="Times New Roman"/>
          <w:sz w:val="28"/>
          <w:szCs w:val="28"/>
        </w:rPr>
      </w:pPr>
      <w:r w:rsidRPr="00B70996">
        <w:rPr>
          <w:rFonts w:ascii="Times New Roman" w:hAnsi="Times New Roman" w:cs="Times New Roman"/>
          <w:sz w:val="28"/>
          <w:szCs w:val="28"/>
        </w:rPr>
        <w:lastRenderedPageBreak/>
        <w:t xml:space="preserve">Проаналізуємо динаміку показників </w:t>
      </w:r>
      <w:r w:rsidR="00CF12D6">
        <w:rPr>
          <w:rFonts w:ascii="Times New Roman" w:hAnsi="Times New Roman" w:cs="Times New Roman"/>
          <w:sz w:val="28"/>
          <w:szCs w:val="28"/>
        </w:rPr>
        <w:t xml:space="preserve">фінансової </w:t>
      </w:r>
      <w:r w:rsidRPr="00B70996">
        <w:rPr>
          <w:rFonts w:ascii="Times New Roman" w:hAnsi="Times New Roman" w:cs="Times New Roman"/>
          <w:sz w:val="28"/>
          <w:szCs w:val="28"/>
        </w:rPr>
        <w:t>доларизації за період 2012-2022рр</w:t>
      </w:r>
      <w:r w:rsidR="008F204F">
        <w:rPr>
          <w:rFonts w:ascii="Times New Roman" w:hAnsi="Times New Roman" w:cs="Times New Roman"/>
          <w:sz w:val="28"/>
          <w:szCs w:val="28"/>
        </w:rPr>
        <w:t>.</w:t>
      </w:r>
      <w:r w:rsidRPr="00B70996">
        <w:rPr>
          <w:rFonts w:ascii="Times New Roman" w:hAnsi="Times New Roman" w:cs="Times New Roman"/>
          <w:sz w:val="28"/>
          <w:szCs w:val="28"/>
        </w:rPr>
        <w:t xml:space="preserve"> (рис.1)</w:t>
      </w:r>
      <w:r>
        <w:rPr>
          <w:rFonts w:ascii="Times New Roman" w:hAnsi="Times New Roman" w:cs="Times New Roman"/>
          <w:sz w:val="28"/>
          <w:szCs w:val="28"/>
        </w:rPr>
        <w:t>.</w:t>
      </w:r>
    </w:p>
    <w:p w14:paraId="31A67B78" w14:textId="2CD5EC8B" w:rsidR="00DD6C5E" w:rsidRDefault="00DA355C" w:rsidP="00410D43">
      <w:pPr>
        <w:spacing w:after="0" w:line="360" w:lineRule="auto"/>
        <w:jc w:val="right"/>
        <w:rPr>
          <w:rFonts w:ascii="Times New Roman" w:hAnsi="Times New Roman" w:cs="Times New Roman"/>
          <w:sz w:val="28"/>
          <w:szCs w:val="28"/>
        </w:rPr>
      </w:pPr>
      <w:r w:rsidRPr="008577A7">
        <w:rPr>
          <w:rFonts w:ascii="Times New Roman" w:hAnsi="Times New Roman" w:cs="Times New Roman"/>
          <w:noProof/>
          <w:sz w:val="24"/>
          <w:szCs w:val="24"/>
        </w:rPr>
        <w:drawing>
          <wp:inline distT="0" distB="0" distL="0" distR="0" wp14:anchorId="25E06983" wp14:editId="6FFCF154">
            <wp:extent cx="6096000" cy="2560320"/>
            <wp:effectExtent l="0" t="0" r="0" b="0"/>
            <wp:docPr id="1948292831" name="Діаграма 1">
              <a:extLst xmlns:a="http://schemas.openxmlformats.org/drawingml/2006/main">
                <a:ext uri="{FF2B5EF4-FFF2-40B4-BE49-F238E27FC236}">
                  <a16:creationId xmlns:a16="http://schemas.microsoft.com/office/drawing/2014/main" id="{88997D0C-127F-1DDC-8D76-2CC63542B9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4664158" w14:textId="77682A54" w:rsidR="00DA355C" w:rsidRPr="00B70996" w:rsidRDefault="00DA355C" w:rsidP="00915104">
      <w:pPr>
        <w:spacing w:after="0" w:line="360" w:lineRule="auto"/>
        <w:jc w:val="both"/>
        <w:rPr>
          <w:rFonts w:ascii="Times New Roman" w:hAnsi="Times New Roman" w:cs="Times New Roman"/>
          <w:sz w:val="24"/>
          <w:szCs w:val="24"/>
        </w:rPr>
      </w:pPr>
      <w:r w:rsidRPr="00B70996">
        <w:rPr>
          <w:rFonts w:ascii="Times New Roman" w:hAnsi="Times New Roman" w:cs="Times New Roman"/>
          <w:sz w:val="24"/>
          <w:szCs w:val="24"/>
        </w:rPr>
        <w:t xml:space="preserve">Рис. 1. Динаміка </w:t>
      </w:r>
      <w:r w:rsidR="00881D3E" w:rsidRPr="00B70996">
        <w:rPr>
          <w:rFonts w:ascii="Times New Roman" w:hAnsi="Times New Roman" w:cs="Times New Roman"/>
          <w:sz w:val="24"/>
          <w:szCs w:val="24"/>
        </w:rPr>
        <w:t>показників доларизації банківських операцій в Україні за 2012-202</w:t>
      </w:r>
      <w:r w:rsidR="00CF12D6">
        <w:rPr>
          <w:rFonts w:ascii="Times New Roman" w:hAnsi="Times New Roman" w:cs="Times New Roman"/>
          <w:sz w:val="24"/>
          <w:szCs w:val="24"/>
        </w:rPr>
        <w:t>2</w:t>
      </w:r>
      <w:r w:rsidR="00881D3E" w:rsidRPr="00B70996">
        <w:rPr>
          <w:rFonts w:ascii="Times New Roman" w:hAnsi="Times New Roman" w:cs="Times New Roman"/>
          <w:sz w:val="24"/>
          <w:szCs w:val="24"/>
        </w:rPr>
        <w:t xml:space="preserve"> рр.</w:t>
      </w:r>
    </w:p>
    <w:p w14:paraId="2EDCC48E" w14:textId="53C09188" w:rsidR="00B70996" w:rsidRDefault="00B70996" w:rsidP="00915104">
      <w:pPr>
        <w:spacing w:after="0" w:line="360" w:lineRule="auto"/>
        <w:jc w:val="both"/>
        <w:rPr>
          <w:rFonts w:ascii="Times New Roman" w:hAnsi="Times New Roman" w:cs="Times New Roman"/>
          <w:sz w:val="24"/>
          <w:szCs w:val="24"/>
        </w:rPr>
      </w:pPr>
      <w:r w:rsidRPr="00B70996">
        <w:rPr>
          <w:rFonts w:ascii="Times New Roman" w:hAnsi="Times New Roman" w:cs="Times New Roman"/>
          <w:sz w:val="24"/>
          <w:szCs w:val="24"/>
        </w:rPr>
        <w:t xml:space="preserve">Джерело: </w:t>
      </w:r>
      <w:r w:rsidR="00915104">
        <w:rPr>
          <w:rFonts w:ascii="Times New Roman" w:hAnsi="Times New Roman" w:cs="Times New Roman"/>
          <w:sz w:val="24"/>
          <w:szCs w:val="24"/>
        </w:rPr>
        <w:t xml:space="preserve">побудовано автором за власними </w:t>
      </w:r>
      <w:r w:rsidRPr="00B70996">
        <w:rPr>
          <w:rFonts w:ascii="Times New Roman" w:hAnsi="Times New Roman" w:cs="Times New Roman"/>
          <w:sz w:val="24"/>
          <w:szCs w:val="24"/>
        </w:rPr>
        <w:t>розрахунк</w:t>
      </w:r>
      <w:r w:rsidR="00915104">
        <w:rPr>
          <w:rFonts w:ascii="Times New Roman" w:hAnsi="Times New Roman" w:cs="Times New Roman"/>
          <w:sz w:val="24"/>
          <w:szCs w:val="24"/>
        </w:rPr>
        <w:t>ами</w:t>
      </w:r>
      <w:r w:rsidR="00CF12D6">
        <w:rPr>
          <w:rFonts w:ascii="Times New Roman" w:hAnsi="Times New Roman" w:cs="Times New Roman"/>
          <w:sz w:val="24"/>
          <w:szCs w:val="24"/>
        </w:rPr>
        <w:t xml:space="preserve"> на основі даних [2]  </w:t>
      </w:r>
    </w:p>
    <w:p w14:paraId="272C0458" w14:textId="71342B45" w:rsidR="00B70996" w:rsidRDefault="00B70996" w:rsidP="00410D43">
      <w:pPr>
        <w:spacing w:after="0" w:line="360" w:lineRule="auto"/>
        <w:ind w:firstLine="709"/>
        <w:jc w:val="both"/>
        <w:rPr>
          <w:rFonts w:ascii="Times New Roman" w:hAnsi="Times New Roman" w:cs="Times New Roman"/>
          <w:sz w:val="28"/>
          <w:szCs w:val="28"/>
        </w:rPr>
      </w:pPr>
      <w:r w:rsidRPr="00713BD2">
        <w:rPr>
          <w:rFonts w:ascii="Times New Roman" w:hAnsi="Times New Roman" w:cs="Times New Roman"/>
          <w:sz w:val="28"/>
          <w:szCs w:val="28"/>
        </w:rPr>
        <w:t>За результатами розрахунків (рис.1) можна зробити висновки щодо загальної тенденції</w:t>
      </w:r>
      <w:r w:rsidR="00410D43">
        <w:rPr>
          <w:rFonts w:ascii="Times New Roman" w:hAnsi="Times New Roman" w:cs="Times New Roman"/>
          <w:sz w:val="28"/>
          <w:szCs w:val="28"/>
        </w:rPr>
        <w:t xml:space="preserve"> </w:t>
      </w:r>
      <w:r w:rsidRPr="00713BD2">
        <w:rPr>
          <w:rFonts w:ascii="Times New Roman" w:hAnsi="Times New Roman" w:cs="Times New Roman"/>
          <w:sz w:val="28"/>
          <w:szCs w:val="28"/>
        </w:rPr>
        <w:t>зниження усіх показників доларизації за п’ять років</w:t>
      </w:r>
      <w:r w:rsidR="00926F99">
        <w:rPr>
          <w:rFonts w:ascii="Times New Roman" w:hAnsi="Times New Roman" w:cs="Times New Roman"/>
          <w:sz w:val="28"/>
          <w:szCs w:val="28"/>
        </w:rPr>
        <w:t xml:space="preserve"> до повномасштабного вторгнення</w:t>
      </w:r>
      <w:r w:rsidRPr="00713BD2">
        <w:rPr>
          <w:rFonts w:ascii="Times New Roman" w:hAnsi="Times New Roman" w:cs="Times New Roman"/>
          <w:sz w:val="28"/>
          <w:szCs w:val="28"/>
        </w:rPr>
        <w:t>. Виключенням є період 2014</w:t>
      </w:r>
      <w:r w:rsidR="00713BD2">
        <w:rPr>
          <w:rFonts w:ascii="Times New Roman" w:hAnsi="Times New Roman" w:cs="Times New Roman"/>
          <w:sz w:val="28"/>
          <w:szCs w:val="28"/>
        </w:rPr>
        <w:t>-</w:t>
      </w:r>
      <w:r w:rsidRPr="00713BD2">
        <w:rPr>
          <w:rFonts w:ascii="Times New Roman" w:hAnsi="Times New Roman" w:cs="Times New Roman"/>
          <w:sz w:val="28"/>
          <w:szCs w:val="28"/>
        </w:rPr>
        <w:t>201</w:t>
      </w:r>
      <w:r w:rsidR="00926F99">
        <w:rPr>
          <w:rFonts w:ascii="Times New Roman" w:hAnsi="Times New Roman" w:cs="Times New Roman"/>
          <w:sz w:val="28"/>
          <w:szCs w:val="28"/>
        </w:rPr>
        <w:t>5</w:t>
      </w:r>
      <w:r w:rsidRPr="00713BD2">
        <w:rPr>
          <w:rFonts w:ascii="Times New Roman" w:hAnsi="Times New Roman" w:cs="Times New Roman"/>
          <w:sz w:val="28"/>
          <w:szCs w:val="28"/>
        </w:rPr>
        <w:t xml:space="preserve"> рр.</w:t>
      </w:r>
      <w:r w:rsidR="00D21291">
        <w:rPr>
          <w:rFonts w:ascii="Times New Roman" w:hAnsi="Times New Roman" w:cs="Times New Roman"/>
          <w:sz w:val="28"/>
          <w:szCs w:val="28"/>
        </w:rPr>
        <w:t>:</w:t>
      </w:r>
      <w:r w:rsidRPr="00713BD2">
        <w:rPr>
          <w:rFonts w:ascii="Times New Roman" w:hAnsi="Times New Roman" w:cs="Times New Roman"/>
          <w:sz w:val="28"/>
          <w:szCs w:val="28"/>
        </w:rPr>
        <w:t xml:space="preserve"> </w:t>
      </w:r>
      <w:r w:rsidR="00926F99">
        <w:rPr>
          <w:rFonts w:ascii="Times New Roman" w:hAnsi="Times New Roman" w:cs="Times New Roman"/>
          <w:sz w:val="28"/>
          <w:szCs w:val="28"/>
        </w:rPr>
        <w:t xml:space="preserve">різке </w:t>
      </w:r>
      <w:r w:rsidRPr="00713BD2">
        <w:rPr>
          <w:rFonts w:ascii="Times New Roman" w:hAnsi="Times New Roman" w:cs="Times New Roman"/>
          <w:sz w:val="28"/>
          <w:szCs w:val="28"/>
        </w:rPr>
        <w:t>зростання показників в ці роки пов’язано з впровадженням політики вільного курсоутворення на валютному ринку</w:t>
      </w:r>
      <w:r w:rsidR="007179DC">
        <w:rPr>
          <w:rFonts w:ascii="Times New Roman" w:hAnsi="Times New Roman" w:cs="Times New Roman"/>
          <w:sz w:val="28"/>
          <w:szCs w:val="28"/>
        </w:rPr>
        <w:t>, початком військового конфлікту та анексією Криму.</w:t>
      </w:r>
      <w:r w:rsidR="001412AD" w:rsidRPr="00713BD2">
        <w:rPr>
          <w:rFonts w:ascii="Times New Roman" w:hAnsi="Times New Roman" w:cs="Times New Roman"/>
          <w:sz w:val="28"/>
          <w:szCs w:val="28"/>
        </w:rPr>
        <w:t xml:space="preserve"> Шокове гнучке курсоутворення призвело до зростання девальваційних очікувань суб’єктів економіки і росту всіх</w:t>
      </w:r>
      <w:r w:rsidR="00713BD2">
        <w:rPr>
          <w:rFonts w:ascii="Times New Roman" w:hAnsi="Times New Roman" w:cs="Times New Roman"/>
          <w:sz w:val="28"/>
          <w:szCs w:val="28"/>
        </w:rPr>
        <w:t xml:space="preserve"> показників доларизації. </w:t>
      </w:r>
      <w:r w:rsidR="00926F99">
        <w:rPr>
          <w:rFonts w:ascii="Times New Roman" w:hAnsi="Times New Roman" w:cs="Times New Roman"/>
          <w:sz w:val="28"/>
          <w:szCs w:val="28"/>
        </w:rPr>
        <w:t xml:space="preserve">Девальвація гривні в той період склала майже 200%. </w:t>
      </w:r>
      <w:r w:rsidR="007179DC">
        <w:rPr>
          <w:rFonts w:ascii="Times New Roman" w:hAnsi="Times New Roman" w:cs="Times New Roman"/>
          <w:sz w:val="28"/>
          <w:szCs w:val="28"/>
        </w:rPr>
        <w:t xml:space="preserve">Введення обмеження на виведення капіталу дозволило приборкати </w:t>
      </w:r>
      <w:r w:rsidR="00926F99">
        <w:rPr>
          <w:rFonts w:ascii="Times New Roman" w:hAnsi="Times New Roman" w:cs="Times New Roman"/>
          <w:sz w:val="28"/>
          <w:szCs w:val="28"/>
        </w:rPr>
        <w:t>валютн</w:t>
      </w:r>
      <w:r w:rsidR="007179DC">
        <w:rPr>
          <w:rFonts w:ascii="Times New Roman" w:hAnsi="Times New Roman" w:cs="Times New Roman"/>
          <w:sz w:val="28"/>
          <w:szCs w:val="28"/>
        </w:rPr>
        <w:t>у</w:t>
      </w:r>
      <w:r w:rsidR="00926F99">
        <w:rPr>
          <w:rFonts w:ascii="Times New Roman" w:hAnsi="Times New Roman" w:cs="Times New Roman"/>
          <w:sz w:val="28"/>
          <w:szCs w:val="28"/>
        </w:rPr>
        <w:t xml:space="preserve"> криз</w:t>
      </w:r>
      <w:r w:rsidR="007179DC">
        <w:rPr>
          <w:rFonts w:ascii="Times New Roman" w:hAnsi="Times New Roman" w:cs="Times New Roman"/>
          <w:sz w:val="28"/>
          <w:szCs w:val="28"/>
        </w:rPr>
        <w:t>у і нормалізувати значення показників доларизації</w:t>
      </w:r>
      <w:r w:rsidR="008F204F">
        <w:rPr>
          <w:rFonts w:ascii="Times New Roman" w:hAnsi="Times New Roman" w:cs="Times New Roman"/>
          <w:sz w:val="28"/>
          <w:szCs w:val="28"/>
        </w:rPr>
        <w:t>: а</w:t>
      </w:r>
      <w:r w:rsidR="007179DC" w:rsidRPr="007179DC">
        <w:rPr>
          <w:rFonts w:ascii="Times New Roman" w:hAnsi="Times New Roman" w:cs="Times New Roman"/>
          <w:sz w:val="28"/>
          <w:szCs w:val="28"/>
        </w:rPr>
        <w:t>мплітуда коливань курсу гривн</w:t>
      </w:r>
      <w:r w:rsidR="004C46F6">
        <w:rPr>
          <w:rFonts w:ascii="Times New Roman" w:hAnsi="Times New Roman" w:cs="Times New Roman"/>
          <w:sz w:val="28"/>
          <w:szCs w:val="28"/>
        </w:rPr>
        <w:t>я</w:t>
      </w:r>
      <w:r w:rsidR="007179DC" w:rsidRPr="007179DC">
        <w:rPr>
          <w:rFonts w:ascii="Times New Roman" w:hAnsi="Times New Roman" w:cs="Times New Roman"/>
          <w:sz w:val="28"/>
          <w:szCs w:val="28"/>
        </w:rPr>
        <w:t>/долар США за 2016-2021 рр. не перевищувала 180 грн за 100 дол.США.</w:t>
      </w:r>
    </w:p>
    <w:p w14:paraId="1CF6123A" w14:textId="22A0DA11" w:rsidR="00343180" w:rsidRDefault="007179DC" w:rsidP="00410D43">
      <w:pPr>
        <w:spacing w:after="0" w:line="360" w:lineRule="auto"/>
        <w:ind w:firstLine="709"/>
        <w:jc w:val="both"/>
        <w:rPr>
          <w:rFonts w:ascii="Times New Roman" w:hAnsi="Times New Roman" w:cs="Times New Roman"/>
          <w:sz w:val="28"/>
          <w:szCs w:val="28"/>
        </w:rPr>
      </w:pPr>
      <w:r w:rsidRPr="00BA6B61">
        <w:rPr>
          <w:rFonts w:ascii="Times New Roman" w:hAnsi="Times New Roman" w:cs="Times New Roman"/>
          <w:sz w:val="28"/>
          <w:szCs w:val="28"/>
        </w:rPr>
        <w:t>До кінця 2021р. НБУ вдалося значно знизити рівень доларизації та зберегти контроль за інфляційними очікуваннями: у 2021р. в порівнянні з 2020р. доларизація депозитної діяльності знизилась з 38% до 32%, а кредитної – з 37% до 29%. Цьому сприяла монетарна політика в сфері банківської діяльності: підвищення облікової ставки, режим плаваючого обмінного курсу, позитивне сальдо валютних інтервенцій та зростання міжнародних резервів</w:t>
      </w:r>
      <w:r>
        <w:rPr>
          <w:rFonts w:ascii="Times New Roman" w:hAnsi="Times New Roman" w:cs="Times New Roman"/>
          <w:sz w:val="28"/>
          <w:szCs w:val="28"/>
        </w:rPr>
        <w:t xml:space="preserve">. </w:t>
      </w:r>
    </w:p>
    <w:p w14:paraId="79201F3F" w14:textId="605BA733" w:rsidR="00410D43" w:rsidRDefault="00410D43" w:rsidP="00410D43">
      <w:pPr>
        <w:spacing w:after="0" w:line="360" w:lineRule="auto"/>
        <w:jc w:val="both"/>
        <w:rPr>
          <w:rFonts w:ascii="Times New Roman" w:hAnsi="Times New Roman" w:cs="Times New Roman"/>
          <w:sz w:val="28"/>
          <w:szCs w:val="28"/>
        </w:rPr>
      </w:pPr>
      <w:r w:rsidRPr="008577A7">
        <w:rPr>
          <w:rFonts w:ascii="Times New Roman" w:hAnsi="Times New Roman" w:cs="Times New Roman"/>
          <w:noProof/>
          <w:sz w:val="24"/>
          <w:szCs w:val="24"/>
        </w:rPr>
        <w:lastRenderedPageBreak/>
        <w:drawing>
          <wp:inline distT="0" distB="0" distL="0" distR="0" wp14:anchorId="372A3E59" wp14:editId="18CBED16">
            <wp:extent cx="6134100" cy="3040380"/>
            <wp:effectExtent l="0" t="0" r="0" b="0"/>
            <wp:docPr id="1838173102" name="Діаграма 1">
              <a:extLst xmlns:a="http://schemas.openxmlformats.org/drawingml/2006/main">
                <a:ext uri="{FF2B5EF4-FFF2-40B4-BE49-F238E27FC236}">
                  <a16:creationId xmlns:a16="http://schemas.microsoft.com/office/drawing/2014/main" id="{4F28AE86-ECCF-2BDC-9426-48A85DD614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EE9DA90" w14:textId="1032824C" w:rsidR="004913CB" w:rsidRDefault="004913CB" w:rsidP="00410D43">
      <w:pPr>
        <w:spacing w:after="0" w:line="360" w:lineRule="auto"/>
        <w:jc w:val="both"/>
        <w:rPr>
          <w:rFonts w:ascii="Times New Roman" w:hAnsi="Times New Roman" w:cs="Times New Roman"/>
          <w:sz w:val="24"/>
          <w:szCs w:val="24"/>
        </w:rPr>
      </w:pPr>
      <w:r w:rsidRPr="004913CB">
        <w:rPr>
          <w:rFonts w:ascii="Times New Roman" w:hAnsi="Times New Roman" w:cs="Times New Roman"/>
          <w:sz w:val="24"/>
          <w:szCs w:val="24"/>
        </w:rPr>
        <w:t xml:space="preserve">Рис. 2. </w:t>
      </w:r>
      <w:r w:rsidR="00410D43">
        <w:rPr>
          <w:rFonts w:ascii="Times New Roman" w:hAnsi="Times New Roman" w:cs="Times New Roman"/>
          <w:sz w:val="24"/>
          <w:szCs w:val="24"/>
        </w:rPr>
        <w:t>Темпи приросту/зниження показників фінансової доларизації</w:t>
      </w:r>
      <w:r w:rsidRPr="004913CB">
        <w:rPr>
          <w:rFonts w:ascii="Times New Roman" w:hAnsi="Times New Roman" w:cs="Times New Roman"/>
          <w:sz w:val="24"/>
          <w:szCs w:val="24"/>
        </w:rPr>
        <w:t xml:space="preserve"> в Україні</w:t>
      </w:r>
      <w:r>
        <w:rPr>
          <w:rFonts w:ascii="Times New Roman" w:hAnsi="Times New Roman" w:cs="Times New Roman"/>
          <w:sz w:val="24"/>
          <w:szCs w:val="24"/>
        </w:rPr>
        <w:t xml:space="preserve"> за 2012-2020рр.</w:t>
      </w:r>
    </w:p>
    <w:p w14:paraId="3FB51BE4" w14:textId="6DE76380" w:rsidR="00915104" w:rsidRPr="004913CB" w:rsidRDefault="00915104" w:rsidP="00410D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Джерело: побудовано автором за власними розрахунками на основі </w:t>
      </w:r>
      <w:r w:rsidR="009C7CAC">
        <w:rPr>
          <w:rFonts w:ascii="Times New Roman" w:hAnsi="Times New Roman" w:cs="Times New Roman"/>
          <w:sz w:val="24"/>
          <w:szCs w:val="24"/>
        </w:rPr>
        <w:t>даних</w:t>
      </w:r>
      <w:r>
        <w:rPr>
          <w:rFonts w:ascii="Times New Roman" w:hAnsi="Times New Roman" w:cs="Times New Roman"/>
          <w:sz w:val="24"/>
          <w:szCs w:val="24"/>
        </w:rPr>
        <w:t xml:space="preserve"> </w:t>
      </w:r>
      <w:r w:rsidR="009C7CAC">
        <w:rPr>
          <w:rFonts w:ascii="Times New Roman" w:hAnsi="Times New Roman" w:cs="Times New Roman"/>
          <w:sz w:val="24"/>
          <w:szCs w:val="24"/>
        </w:rPr>
        <w:t>[2]</w:t>
      </w:r>
      <w:r>
        <w:rPr>
          <w:rFonts w:ascii="Times New Roman" w:hAnsi="Times New Roman" w:cs="Times New Roman"/>
          <w:sz w:val="24"/>
          <w:szCs w:val="24"/>
        </w:rPr>
        <w:t xml:space="preserve">  </w:t>
      </w:r>
    </w:p>
    <w:p w14:paraId="026BE7AC" w14:textId="1BDA283D" w:rsidR="00865DF7" w:rsidRDefault="00865DF7" w:rsidP="00865D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Початок 2022р. приніс нові виклики для країни та монетарної політики. Очікування війни на початку року і повномасштабне вторгнення в лютому спричинили неабиякий тиск на стабільність національної грошової одиниці загалом та рівень доларизації зокрема. Темпи приросту показників  доларизацій (рис.2), по відношенню до попереднього року, показали результати аналогічні до результатів 2014 року: показник за методикою МВФ у 2014р. </w:t>
      </w:r>
      <w:r w:rsidR="00CA42D9">
        <w:rPr>
          <w:rFonts w:ascii="Times New Roman" w:hAnsi="Times New Roman" w:cs="Times New Roman"/>
          <w:sz w:val="28"/>
          <w:szCs w:val="28"/>
        </w:rPr>
        <w:t>в порівнянні</w:t>
      </w:r>
      <w:r>
        <w:rPr>
          <w:rFonts w:ascii="Times New Roman" w:hAnsi="Times New Roman" w:cs="Times New Roman"/>
          <w:sz w:val="28"/>
          <w:szCs w:val="28"/>
        </w:rPr>
        <w:t xml:space="preserve"> з попереднім роком зрі</w:t>
      </w:r>
      <w:r w:rsidR="00CA42D9">
        <w:rPr>
          <w:rFonts w:ascii="Times New Roman" w:hAnsi="Times New Roman" w:cs="Times New Roman"/>
          <w:sz w:val="28"/>
          <w:szCs w:val="28"/>
        </w:rPr>
        <w:t>с</w:t>
      </w:r>
      <w:r>
        <w:rPr>
          <w:rFonts w:ascii="Times New Roman" w:hAnsi="Times New Roman" w:cs="Times New Roman"/>
          <w:sz w:val="28"/>
          <w:szCs w:val="28"/>
        </w:rPr>
        <w:t xml:space="preserve"> на 18%, а у 2022р. – на 16%.</w:t>
      </w:r>
    </w:p>
    <w:p w14:paraId="2D8F3CEF" w14:textId="2411A6CA" w:rsidR="004913CB" w:rsidRDefault="00123437" w:rsidP="00410D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Задля упередження розкручування валютної кризи, подальшого зростання показників фінансової доларизації та запобіганню непродуктивного відтоку капіталу з країни Національним банком України</w:t>
      </w:r>
      <w:r w:rsidR="00DC60BF">
        <w:rPr>
          <w:rFonts w:ascii="Times New Roman" w:hAnsi="Times New Roman" w:cs="Times New Roman"/>
          <w:sz w:val="28"/>
          <w:szCs w:val="28"/>
        </w:rPr>
        <w:t xml:space="preserve"> на початку повномасштабного вторгнення</w:t>
      </w:r>
      <w:r>
        <w:rPr>
          <w:rFonts w:ascii="Times New Roman" w:hAnsi="Times New Roman" w:cs="Times New Roman"/>
          <w:sz w:val="28"/>
          <w:szCs w:val="28"/>
        </w:rPr>
        <w:t xml:space="preserve"> було запроваджено ряд заходів</w:t>
      </w:r>
      <w:r w:rsidR="004076E4">
        <w:rPr>
          <w:rFonts w:ascii="Times New Roman" w:hAnsi="Times New Roman" w:cs="Times New Roman"/>
          <w:sz w:val="28"/>
          <w:szCs w:val="28"/>
        </w:rPr>
        <w:t xml:space="preserve"> </w:t>
      </w:r>
      <w:r w:rsidR="009C7CAC">
        <w:rPr>
          <w:rFonts w:ascii="Times New Roman" w:hAnsi="Times New Roman" w:cs="Times New Roman"/>
          <w:sz w:val="24"/>
          <w:szCs w:val="24"/>
        </w:rPr>
        <w:t>[1]</w:t>
      </w:r>
      <w:r>
        <w:rPr>
          <w:rFonts w:ascii="Times New Roman" w:hAnsi="Times New Roman" w:cs="Times New Roman"/>
          <w:sz w:val="28"/>
          <w:szCs w:val="28"/>
        </w:rPr>
        <w:t xml:space="preserve">: </w:t>
      </w:r>
      <w:r w:rsidR="004076E4">
        <w:rPr>
          <w:rFonts w:ascii="Times New Roman" w:hAnsi="Times New Roman" w:cs="Times New Roman"/>
          <w:sz w:val="28"/>
          <w:szCs w:val="28"/>
        </w:rPr>
        <w:t>зафіксовано валютний курс</w:t>
      </w:r>
      <w:r w:rsidRPr="00123437">
        <w:rPr>
          <w:rFonts w:ascii="Times New Roman" w:hAnsi="Times New Roman" w:cs="Times New Roman"/>
          <w:sz w:val="28"/>
          <w:szCs w:val="28"/>
        </w:rPr>
        <w:t>,</w:t>
      </w:r>
      <w:r w:rsidR="004076E4">
        <w:rPr>
          <w:rFonts w:ascii="Times New Roman" w:hAnsi="Times New Roman" w:cs="Times New Roman"/>
          <w:sz w:val="28"/>
          <w:szCs w:val="28"/>
        </w:rPr>
        <w:t xml:space="preserve"> призупинено роботу валютного ринку, </w:t>
      </w:r>
      <w:r w:rsidR="004076E4" w:rsidRPr="004076E4">
        <w:rPr>
          <w:rFonts w:ascii="Times New Roman" w:hAnsi="Times New Roman" w:cs="Times New Roman"/>
          <w:sz w:val="28"/>
          <w:szCs w:val="28"/>
        </w:rPr>
        <w:t>заборонено видачу готівкових коштів з рахунків клієнтів в іноземній валюті,</w:t>
      </w:r>
      <w:r w:rsidR="004076E4">
        <w:rPr>
          <w:rFonts w:ascii="Times New Roman" w:hAnsi="Times New Roman" w:cs="Times New Roman"/>
          <w:sz w:val="28"/>
          <w:szCs w:val="28"/>
        </w:rPr>
        <w:t xml:space="preserve"> </w:t>
      </w:r>
      <w:r w:rsidRPr="00123437">
        <w:rPr>
          <w:rFonts w:ascii="Times New Roman" w:hAnsi="Times New Roman" w:cs="Times New Roman"/>
          <w:sz w:val="28"/>
          <w:szCs w:val="28"/>
        </w:rPr>
        <w:t xml:space="preserve"> </w:t>
      </w:r>
      <w:r>
        <w:rPr>
          <w:rFonts w:ascii="Times New Roman" w:hAnsi="Times New Roman" w:cs="Times New Roman"/>
          <w:sz w:val="28"/>
          <w:szCs w:val="28"/>
        </w:rPr>
        <w:t>введен</w:t>
      </w:r>
      <w:r w:rsidR="00DC60BF">
        <w:rPr>
          <w:rFonts w:ascii="Times New Roman" w:hAnsi="Times New Roman" w:cs="Times New Roman"/>
          <w:sz w:val="28"/>
          <w:szCs w:val="28"/>
        </w:rPr>
        <w:t>о</w:t>
      </w:r>
      <w:r>
        <w:rPr>
          <w:rFonts w:ascii="Times New Roman" w:hAnsi="Times New Roman" w:cs="Times New Roman"/>
          <w:sz w:val="28"/>
          <w:szCs w:val="28"/>
        </w:rPr>
        <w:t xml:space="preserve"> </w:t>
      </w:r>
      <w:r w:rsidRPr="00123437">
        <w:rPr>
          <w:rFonts w:ascii="Times New Roman" w:hAnsi="Times New Roman" w:cs="Times New Roman"/>
          <w:sz w:val="28"/>
          <w:szCs w:val="28"/>
        </w:rPr>
        <w:t>обмежен</w:t>
      </w:r>
      <w:r w:rsidR="00CA42D9">
        <w:rPr>
          <w:rFonts w:ascii="Times New Roman" w:hAnsi="Times New Roman" w:cs="Times New Roman"/>
          <w:sz w:val="28"/>
          <w:szCs w:val="28"/>
        </w:rPr>
        <w:t>ня</w:t>
      </w:r>
      <w:r w:rsidRPr="00123437">
        <w:rPr>
          <w:rFonts w:ascii="Times New Roman" w:hAnsi="Times New Roman" w:cs="Times New Roman"/>
          <w:sz w:val="28"/>
          <w:szCs w:val="28"/>
        </w:rPr>
        <w:t xml:space="preserve"> на транскордонні</w:t>
      </w:r>
      <w:r w:rsidR="00DC60BF">
        <w:rPr>
          <w:rFonts w:ascii="Times New Roman" w:hAnsi="Times New Roman" w:cs="Times New Roman"/>
          <w:sz w:val="28"/>
          <w:szCs w:val="28"/>
        </w:rPr>
        <w:t xml:space="preserve"> валютні</w:t>
      </w:r>
      <w:r w:rsidRPr="00123437">
        <w:rPr>
          <w:rFonts w:ascii="Times New Roman" w:hAnsi="Times New Roman" w:cs="Times New Roman"/>
          <w:sz w:val="28"/>
          <w:szCs w:val="28"/>
        </w:rPr>
        <w:t xml:space="preserve"> операції</w:t>
      </w:r>
      <w:r w:rsidR="00DC60BF">
        <w:rPr>
          <w:rFonts w:ascii="Times New Roman" w:hAnsi="Times New Roman" w:cs="Times New Roman"/>
          <w:sz w:val="28"/>
          <w:szCs w:val="28"/>
        </w:rPr>
        <w:t xml:space="preserve"> та інш</w:t>
      </w:r>
      <w:r w:rsidR="00CA42D9">
        <w:rPr>
          <w:rFonts w:ascii="Times New Roman" w:hAnsi="Times New Roman" w:cs="Times New Roman"/>
          <w:sz w:val="28"/>
          <w:szCs w:val="28"/>
        </w:rPr>
        <w:t>е</w:t>
      </w:r>
      <w:r w:rsidR="00DC60BF">
        <w:rPr>
          <w:rFonts w:ascii="Times New Roman" w:hAnsi="Times New Roman" w:cs="Times New Roman"/>
          <w:sz w:val="28"/>
          <w:szCs w:val="28"/>
        </w:rPr>
        <w:t>. Навесні 2022р. ситуація на валютному ринку покращилась і більшість обмежень</w:t>
      </w:r>
      <w:r w:rsidR="0007582E">
        <w:rPr>
          <w:rFonts w:ascii="Times New Roman" w:hAnsi="Times New Roman" w:cs="Times New Roman"/>
          <w:sz w:val="28"/>
          <w:szCs w:val="28"/>
        </w:rPr>
        <w:t xml:space="preserve"> почали поступов</w:t>
      </w:r>
      <w:r w:rsidR="005E22A8">
        <w:rPr>
          <w:rFonts w:ascii="Times New Roman" w:hAnsi="Times New Roman" w:cs="Times New Roman"/>
          <w:sz w:val="28"/>
          <w:szCs w:val="28"/>
        </w:rPr>
        <w:t>о</w:t>
      </w:r>
      <w:r w:rsidR="0007582E">
        <w:rPr>
          <w:rFonts w:ascii="Times New Roman" w:hAnsi="Times New Roman" w:cs="Times New Roman"/>
          <w:sz w:val="28"/>
          <w:szCs w:val="28"/>
        </w:rPr>
        <w:t xml:space="preserve"> </w:t>
      </w:r>
      <w:r w:rsidR="00DC60BF">
        <w:rPr>
          <w:rFonts w:ascii="Times New Roman" w:hAnsi="Times New Roman" w:cs="Times New Roman"/>
          <w:sz w:val="28"/>
          <w:szCs w:val="28"/>
        </w:rPr>
        <w:t>послабл</w:t>
      </w:r>
      <w:r w:rsidR="0007582E">
        <w:rPr>
          <w:rFonts w:ascii="Times New Roman" w:hAnsi="Times New Roman" w:cs="Times New Roman"/>
          <w:sz w:val="28"/>
          <w:szCs w:val="28"/>
        </w:rPr>
        <w:t>юватися</w:t>
      </w:r>
      <w:r w:rsidR="00DC60BF">
        <w:rPr>
          <w:rFonts w:ascii="Times New Roman" w:hAnsi="Times New Roman" w:cs="Times New Roman"/>
          <w:sz w:val="28"/>
          <w:szCs w:val="28"/>
        </w:rPr>
        <w:t>.</w:t>
      </w:r>
      <w:r w:rsidR="008A497C">
        <w:rPr>
          <w:rFonts w:ascii="Times New Roman" w:hAnsi="Times New Roman" w:cs="Times New Roman"/>
          <w:sz w:val="28"/>
          <w:szCs w:val="28"/>
        </w:rPr>
        <w:t xml:space="preserve"> </w:t>
      </w:r>
    </w:p>
    <w:p w14:paraId="62FC177F" w14:textId="760B22EB" w:rsidR="008A497C" w:rsidRPr="00123437" w:rsidRDefault="00C7206F" w:rsidP="00410D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w:t>
      </w:r>
      <w:r w:rsidR="005E22A8">
        <w:rPr>
          <w:rFonts w:ascii="Times New Roman" w:hAnsi="Times New Roman" w:cs="Times New Roman"/>
          <w:sz w:val="28"/>
          <w:szCs w:val="28"/>
        </w:rPr>
        <w:t>,</w:t>
      </w:r>
      <w:r>
        <w:rPr>
          <w:rFonts w:ascii="Times New Roman" w:hAnsi="Times New Roman" w:cs="Times New Roman"/>
          <w:sz w:val="28"/>
          <w:szCs w:val="28"/>
        </w:rPr>
        <w:t xml:space="preserve"> можна зробити висновки, що п</w:t>
      </w:r>
      <w:r w:rsidR="008A497C">
        <w:rPr>
          <w:rFonts w:ascii="Times New Roman" w:hAnsi="Times New Roman" w:cs="Times New Roman"/>
          <w:sz w:val="28"/>
          <w:szCs w:val="28"/>
        </w:rPr>
        <w:t xml:space="preserve">овернення до фіксованого валютного курсу та валютні обмеження дозволили запобігти валютній паніці на ринку, </w:t>
      </w:r>
      <w:r w:rsidR="00600AF6">
        <w:rPr>
          <w:rFonts w:ascii="Times New Roman" w:hAnsi="Times New Roman" w:cs="Times New Roman"/>
          <w:sz w:val="28"/>
          <w:szCs w:val="28"/>
        </w:rPr>
        <w:lastRenderedPageBreak/>
        <w:t xml:space="preserve">втримати показники доларизації в прийнятних межах, </w:t>
      </w:r>
      <w:r w:rsidR="008A497C">
        <w:rPr>
          <w:rFonts w:ascii="Times New Roman" w:hAnsi="Times New Roman" w:cs="Times New Roman"/>
          <w:sz w:val="28"/>
          <w:szCs w:val="28"/>
        </w:rPr>
        <w:t xml:space="preserve">зменшити рівень вразливості економіки країни, стабілізувати боргову позицію </w:t>
      </w:r>
      <w:r w:rsidR="00600AF6">
        <w:rPr>
          <w:rFonts w:ascii="Times New Roman" w:hAnsi="Times New Roman" w:cs="Times New Roman"/>
          <w:sz w:val="28"/>
          <w:szCs w:val="28"/>
        </w:rPr>
        <w:t>(більша частина державного боргу України номінована саме в іноземній валюті).</w:t>
      </w:r>
    </w:p>
    <w:p w14:paraId="3E1334ED" w14:textId="1FD71519" w:rsidR="00291663" w:rsidRPr="00291663" w:rsidRDefault="00291663" w:rsidP="008F204F">
      <w:pPr>
        <w:spacing w:after="0" w:line="360" w:lineRule="auto"/>
        <w:ind w:firstLine="709"/>
        <w:jc w:val="center"/>
        <w:rPr>
          <w:rFonts w:ascii="Times New Roman" w:hAnsi="Times New Roman" w:cs="Times New Roman"/>
          <w:sz w:val="24"/>
          <w:szCs w:val="24"/>
        </w:rPr>
      </w:pPr>
      <w:r w:rsidRPr="00291663">
        <w:rPr>
          <w:rFonts w:ascii="Times New Roman" w:hAnsi="Times New Roman" w:cs="Times New Roman"/>
          <w:sz w:val="24"/>
          <w:szCs w:val="24"/>
        </w:rPr>
        <w:t>Література</w:t>
      </w:r>
    </w:p>
    <w:p w14:paraId="40450CD9" w14:textId="58ACB0D4" w:rsidR="007C172A" w:rsidRDefault="007C172A" w:rsidP="008F204F">
      <w:pPr>
        <w:pStyle w:val="a5"/>
        <w:numPr>
          <w:ilvl w:val="0"/>
          <w:numId w:val="6"/>
        </w:numPr>
        <w:spacing w:after="0" w:line="360" w:lineRule="auto"/>
        <w:ind w:left="0" w:firstLine="709"/>
        <w:jc w:val="both"/>
        <w:rPr>
          <w:rFonts w:ascii="Times New Roman" w:hAnsi="Times New Roman" w:cs="Times New Roman"/>
          <w:sz w:val="24"/>
          <w:szCs w:val="24"/>
        </w:rPr>
      </w:pPr>
      <w:r w:rsidRPr="007C172A">
        <w:rPr>
          <w:rFonts w:ascii="Times New Roman" w:hAnsi="Times New Roman" w:cs="Times New Roman"/>
          <w:sz w:val="24"/>
          <w:szCs w:val="24"/>
        </w:rPr>
        <w:t xml:space="preserve">Постанова </w:t>
      </w:r>
      <w:r>
        <w:rPr>
          <w:rFonts w:ascii="Times New Roman" w:hAnsi="Times New Roman" w:cs="Times New Roman"/>
          <w:sz w:val="24"/>
          <w:szCs w:val="24"/>
        </w:rPr>
        <w:t>Національного банку України</w:t>
      </w:r>
      <w:r w:rsidRPr="007C172A">
        <w:rPr>
          <w:rFonts w:ascii="Times New Roman" w:hAnsi="Times New Roman" w:cs="Times New Roman"/>
          <w:sz w:val="24"/>
          <w:szCs w:val="24"/>
        </w:rPr>
        <w:t xml:space="preserve"> від 24.02.2022 № 18 “Про роботу банківської системи та валютного ринку з 24 лютого 2022 року в умовах воєнного стану по всій території України” </w:t>
      </w:r>
      <w:r w:rsidR="005E22A8" w:rsidRPr="005E22A8">
        <w:rPr>
          <w:rFonts w:ascii="Times New Roman" w:hAnsi="Times New Roman" w:cs="Times New Roman"/>
          <w:sz w:val="24"/>
          <w:szCs w:val="24"/>
        </w:rPr>
        <w:t>[Електронний ресурс]. – Режим доступу</w:t>
      </w:r>
      <w:r w:rsidR="005E22A8">
        <w:rPr>
          <w:rFonts w:ascii="Helvetica" w:hAnsi="Helvetica" w:cs="Helvetica"/>
          <w:color w:val="333333"/>
          <w:sz w:val="21"/>
          <w:szCs w:val="21"/>
          <w:shd w:val="clear" w:color="auto" w:fill="FFFFFF"/>
        </w:rPr>
        <w:t>:</w:t>
      </w:r>
      <w:hyperlink r:id="rId7" w:history="1">
        <w:r w:rsidRPr="005A399F">
          <w:rPr>
            <w:rStyle w:val="a6"/>
            <w:rFonts w:ascii="Times New Roman" w:hAnsi="Times New Roman" w:cs="Times New Roman"/>
            <w:sz w:val="24"/>
            <w:szCs w:val="24"/>
          </w:rPr>
          <w:t>https://bank.gov.ua/ua/news/all/pro-robotu-bankivskoyi-sistemi-ta-valyutnogo-rinku-z-24-lyutogo-2022-roku-za-umovi-voyennogo-stanu-po-vsiy-teritoriyi-ukrayini</w:t>
        </w:r>
      </w:hyperlink>
      <w:r w:rsidRPr="00007423">
        <w:rPr>
          <w:rFonts w:ascii="Times New Roman" w:hAnsi="Times New Roman" w:cs="Times New Roman"/>
          <w:sz w:val="24"/>
          <w:szCs w:val="24"/>
        </w:rPr>
        <w:t xml:space="preserve"> </w:t>
      </w:r>
    </w:p>
    <w:p w14:paraId="2F6151F0" w14:textId="50946549" w:rsidR="007C172A" w:rsidRPr="00915104" w:rsidRDefault="007C172A" w:rsidP="008F204F">
      <w:pPr>
        <w:pStyle w:val="a5"/>
        <w:numPr>
          <w:ilvl w:val="0"/>
          <w:numId w:val="6"/>
        </w:numPr>
        <w:spacing w:after="0" w:line="360" w:lineRule="auto"/>
        <w:ind w:left="0" w:firstLine="709"/>
        <w:jc w:val="both"/>
        <w:rPr>
          <w:rFonts w:ascii="Times New Roman" w:hAnsi="Times New Roman" w:cs="Times New Roman"/>
          <w:sz w:val="24"/>
          <w:szCs w:val="24"/>
        </w:rPr>
      </w:pPr>
      <w:r w:rsidRPr="00915104">
        <w:rPr>
          <w:rFonts w:ascii="Times New Roman" w:hAnsi="Times New Roman" w:cs="Times New Roman"/>
          <w:sz w:val="24"/>
          <w:szCs w:val="24"/>
        </w:rPr>
        <w:t>Офіційний сайт Національного банку України</w:t>
      </w:r>
      <w:r w:rsidR="00915104" w:rsidRPr="00915104">
        <w:rPr>
          <w:rFonts w:ascii="Times New Roman" w:hAnsi="Times New Roman" w:cs="Times New Roman"/>
          <w:sz w:val="24"/>
          <w:szCs w:val="24"/>
        </w:rPr>
        <w:t xml:space="preserve">. </w:t>
      </w:r>
      <w:r w:rsidR="005E22A8" w:rsidRPr="005E22A8">
        <w:rPr>
          <w:rFonts w:ascii="Times New Roman" w:hAnsi="Times New Roman" w:cs="Times New Roman"/>
          <w:sz w:val="24"/>
          <w:szCs w:val="24"/>
        </w:rPr>
        <w:t>[Електронний ресурс]. – Режим доступу:</w:t>
      </w:r>
      <w:r w:rsidR="00915104">
        <w:rPr>
          <w:rFonts w:ascii="Times New Roman" w:hAnsi="Times New Roman" w:cs="Times New Roman"/>
          <w:sz w:val="24"/>
          <w:szCs w:val="24"/>
        </w:rPr>
        <w:t xml:space="preserve"> </w:t>
      </w:r>
      <w:hyperlink r:id="rId8" w:history="1">
        <w:r w:rsidR="00915104" w:rsidRPr="005A399F">
          <w:rPr>
            <w:rStyle w:val="a6"/>
            <w:rFonts w:ascii="Times New Roman" w:hAnsi="Times New Roman" w:cs="Times New Roman"/>
            <w:sz w:val="24"/>
            <w:szCs w:val="24"/>
          </w:rPr>
          <w:t>https://bank.gov.ua/ua/statistic/sector-financial</w:t>
        </w:r>
      </w:hyperlink>
      <w:r w:rsidR="00915104">
        <w:rPr>
          <w:rFonts w:ascii="Times New Roman" w:hAnsi="Times New Roman" w:cs="Times New Roman"/>
          <w:sz w:val="24"/>
          <w:szCs w:val="24"/>
        </w:rPr>
        <w:t xml:space="preserve"> </w:t>
      </w:r>
    </w:p>
    <w:p w14:paraId="781210CF" w14:textId="12181552" w:rsidR="00600AF6" w:rsidRPr="00C7206F" w:rsidRDefault="007C172A" w:rsidP="008F204F">
      <w:pPr>
        <w:pStyle w:val="a5"/>
        <w:numPr>
          <w:ilvl w:val="0"/>
          <w:numId w:val="6"/>
        </w:numPr>
        <w:spacing w:after="0" w:line="360" w:lineRule="auto"/>
        <w:ind w:left="0" w:firstLine="709"/>
        <w:jc w:val="both"/>
        <w:rPr>
          <w:rFonts w:ascii="Times New Roman" w:hAnsi="Times New Roman" w:cs="Times New Roman"/>
          <w:sz w:val="24"/>
          <w:szCs w:val="24"/>
        </w:rPr>
      </w:pPr>
      <w:r w:rsidRPr="00C7206F">
        <w:rPr>
          <w:rFonts w:ascii="Times New Roman" w:hAnsi="Times New Roman" w:cs="Times New Roman"/>
          <w:sz w:val="24"/>
          <w:szCs w:val="24"/>
        </w:rPr>
        <w:t xml:space="preserve">Поплюйко Я. В. Доларизація економіки України: статистичні оцінки / Я.В. Поплюйко // Статистика України – 2008 . - № 2 – С-44-50. </w:t>
      </w:r>
    </w:p>
    <w:sectPr w:rsidR="00600AF6" w:rsidRPr="00C7206F" w:rsidSect="00410D4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2384"/>
    <w:multiLevelType w:val="hybridMultilevel"/>
    <w:tmpl w:val="C1321C4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DD830CF"/>
    <w:multiLevelType w:val="hybridMultilevel"/>
    <w:tmpl w:val="172C5F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AC507A4"/>
    <w:multiLevelType w:val="multilevel"/>
    <w:tmpl w:val="9D7C0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1A01EA"/>
    <w:multiLevelType w:val="multilevel"/>
    <w:tmpl w:val="3D0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7947B3"/>
    <w:multiLevelType w:val="multilevel"/>
    <w:tmpl w:val="E5662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DE414A"/>
    <w:multiLevelType w:val="multilevel"/>
    <w:tmpl w:val="EB1C5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863126"/>
    <w:multiLevelType w:val="multilevel"/>
    <w:tmpl w:val="942E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440093"/>
    <w:multiLevelType w:val="multilevel"/>
    <w:tmpl w:val="007E539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7643419">
    <w:abstractNumId w:val="2"/>
  </w:num>
  <w:num w:numId="2" w16cid:durableId="923076356">
    <w:abstractNumId w:val="6"/>
  </w:num>
  <w:num w:numId="3" w16cid:durableId="1313678714">
    <w:abstractNumId w:val="4"/>
  </w:num>
  <w:num w:numId="4" w16cid:durableId="495852082">
    <w:abstractNumId w:val="5"/>
  </w:num>
  <w:num w:numId="5" w16cid:durableId="1060590481">
    <w:abstractNumId w:val="7"/>
  </w:num>
  <w:num w:numId="6" w16cid:durableId="1569730853">
    <w:abstractNumId w:val="1"/>
  </w:num>
  <w:num w:numId="7" w16cid:durableId="306587983">
    <w:abstractNumId w:val="3"/>
  </w:num>
  <w:num w:numId="8" w16cid:durableId="1616517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85F75"/>
    <w:rsid w:val="00007423"/>
    <w:rsid w:val="0007582E"/>
    <w:rsid w:val="000957F6"/>
    <w:rsid w:val="00123437"/>
    <w:rsid w:val="001412AD"/>
    <w:rsid w:val="001B4342"/>
    <w:rsid w:val="00291663"/>
    <w:rsid w:val="00301472"/>
    <w:rsid w:val="003045A5"/>
    <w:rsid w:val="00343180"/>
    <w:rsid w:val="00362D59"/>
    <w:rsid w:val="004076E4"/>
    <w:rsid w:val="00410D43"/>
    <w:rsid w:val="004661B2"/>
    <w:rsid w:val="004913CB"/>
    <w:rsid w:val="004C46F6"/>
    <w:rsid w:val="005743CF"/>
    <w:rsid w:val="005820A9"/>
    <w:rsid w:val="005E22A8"/>
    <w:rsid w:val="005F4CB5"/>
    <w:rsid w:val="00600AF6"/>
    <w:rsid w:val="006D22F5"/>
    <w:rsid w:val="00713BD2"/>
    <w:rsid w:val="007179DC"/>
    <w:rsid w:val="007C172A"/>
    <w:rsid w:val="007D4AA1"/>
    <w:rsid w:val="0084168B"/>
    <w:rsid w:val="008466A7"/>
    <w:rsid w:val="00865DF7"/>
    <w:rsid w:val="00881D3E"/>
    <w:rsid w:val="008977F4"/>
    <w:rsid w:val="008A497C"/>
    <w:rsid w:val="008C7ACF"/>
    <w:rsid w:val="008F204F"/>
    <w:rsid w:val="009072AC"/>
    <w:rsid w:val="00915104"/>
    <w:rsid w:val="00926F99"/>
    <w:rsid w:val="00935082"/>
    <w:rsid w:val="00947A5D"/>
    <w:rsid w:val="00971BEE"/>
    <w:rsid w:val="009C7CAC"/>
    <w:rsid w:val="00AB04FC"/>
    <w:rsid w:val="00B23D2E"/>
    <w:rsid w:val="00B25421"/>
    <w:rsid w:val="00B32F24"/>
    <w:rsid w:val="00B42D30"/>
    <w:rsid w:val="00B70996"/>
    <w:rsid w:val="00B86158"/>
    <w:rsid w:val="00BA6B61"/>
    <w:rsid w:val="00C15CFB"/>
    <w:rsid w:val="00C34B93"/>
    <w:rsid w:val="00C7206F"/>
    <w:rsid w:val="00CA42D9"/>
    <w:rsid w:val="00CB7AA8"/>
    <w:rsid w:val="00CF12D6"/>
    <w:rsid w:val="00D21291"/>
    <w:rsid w:val="00D647F5"/>
    <w:rsid w:val="00D72673"/>
    <w:rsid w:val="00D85F75"/>
    <w:rsid w:val="00DA355C"/>
    <w:rsid w:val="00DC60BF"/>
    <w:rsid w:val="00DD6C5E"/>
    <w:rsid w:val="00E15779"/>
    <w:rsid w:val="00F210BC"/>
    <w:rsid w:val="00F53C62"/>
    <w:rsid w:val="00FB17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7392C"/>
  <w15:docId w15:val="{DA2C3570-62DF-4625-8CE6-920339B5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5F75"/>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4">
    <w:name w:val="Strong"/>
    <w:basedOn w:val="a0"/>
    <w:uiPriority w:val="22"/>
    <w:qFormat/>
    <w:rsid w:val="00D85F75"/>
    <w:rPr>
      <w:b/>
      <w:bCs/>
    </w:rPr>
  </w:style>
  <w:style w:type="paragraph" w:styleId="a5">
    <w:name w:val="List Paragraph"/>
    <w:basedOn w:val="a"/>
    <w:uiPriority w:val="34"/>
    <w:qFormat/>
    <w:rsid w:val="00291663"/>
    <w:pPr>
      <w:ind w:left="720"/>
      <w:contextualSpacing/>
    </w:pPr>
  </w:style>
  <w:style w:type="character" w:styleId="a6">
    <w:name w:val="Hyperlink"/>
    <w:basedOn w:val="a0"/>
    <w:uiPriority w:val="99"/>
    <w:unhideWhenUsed/>
    <w:rsid w:val="00600AF6"/>
    <w:rPr>
      <w:color w:val="0563C1" w:themeColor="hyperlink"/>
      <w:u w:val="single"/>
    </w:rPr>
  </w:style>
  <w:style w:type="character" w:styleId="a7">
    <w:name w:val="Unresolved Mention"/>
    <w:basedOn w:val="a0"/>
    <w:uiPriority w:val="99"/>
    <w:semiHidden/>
    <w:unhideWhenUsed/>
    <w:rsid w:val="00600AF6"/>
    <w:rPr>
      <w:color w:val="605E5C"/>
      <w:shd w:val="clear" w:color="auto" w:fill="E1DFDD"/>
    </w:rPr>
  </w:style>
  <w:style w:type="character" w:styleId="a8">
    <w:name w:val="Emphasis"/>
    <w:basedOn w:val="a0"/>
    <w:uiPriority w:val="20"/>
    <w:qFormat/>
    <w:rsid w:val="007C17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12793">
      <w:bodyDiv w:val="1"/>
      <w:marLeft w:val="0"/>
      <w:marRight w:val="0"/>
      <w:marTop w:val="0"/>
      <w:marBottom w:val="0"/>
      <w:divBdr>
        <w:top w:val="none" w:sz="0" w:space="0" w:color="auto"/>
        <w:left w:val="none" w:sz="0" w:space="0" w:color="auto"/>
        <w:bottom w:val="none" w:sz="0" w:space="0" w:color="auto"/>
        <w:right w:val="none" w:sz="0" w:space="0" w:color="auto"/>
      </w:divBdr>
      <w:divsChild>
        <w:div w:id="659231256">
          <w:marLeft w:val="0"/>
          <w:marRight w:val="0"/>
          <w:marTop w:val="0"/>
          <w:marBottom w:val="0"/>
          <w:divBdr>
            <w:top w:val="single" w:sz="2" w:space="0" w:color="auto"/>
            <w:left w:val="single" w:sz="2" w:space="0" w:color="auto"/>
            <w:bottom w:val="single" w:sz="6" w:space="0" w:color="auto"/>
            <w:right w:val="single" w:sz="2" w:space="0" w:color="auto"/>
          </w:divBdr>
          <w:divsChild>
            <w:div w:id="1335231399">
              <w:marLeft w:val="0"/>
              <w:marRight w:val="0"/>
              <w:marTop w:val="100"/>
              <w:marBottom w:val="100"/>
              <w:divBdr>
                <w:top w:val="single" w:sz="2" w:space="0" w:color="D9D9E3"/>
                <w:left w:val="single" w:sz="2" w:space="0" w:color="D9D9E3"/>
                <w:bottom w:val="single" w:sz="2" w:space="0" w:color="D9D9E3"/>
                <w:right w:val="single" w:sz="2" w:space="0" w:color="D9D9E3"/>
              </w:divBdr>
              <w:divsChild>
                <w:div w:id="218902356">
                  <w:marLeft w:val="0"/>
                  <w:marRight w:val="0"/>
                  <w:marTop w:val="0"/>
                  <w:marBottom w:val="0"/>
                  <w:divBdr>
                    <w:top w:val="single" w:sz="2" w:space="0" w:color="D9D9E3"/>
                    <w:left w:val="single" w:sz="2" w:space="0" w:color="D9D9E3"/>
                    <w:bottom w:val="single" w:sz="2" w:space="0" w:color="D9D9E3"/>
                    <w:right w:val="single" w:sz="2" w:space="0" w:color="D9D9E3"/>
                  </w:divBdr>
                  <w:divsChild>
                    <w:div w:id="1717118622">
                      <w:marLeft w:val="0"/>
                      <w:marRight w:val="0"/>
                      <w:marTop w:val="0"/>
                      <w:marBottom w:val="0"/>
                      <w:divBdr>
                        <w:top w:val="single" w:sz="2" w:space="0" w:color="D9D9E3"/>
                        <w:left w:val="single" w:sz="2" w:space="0" w:color="D9D9E3"/>
                        <w:bottom w:val="single" w:sz="2" w:space="0" w:color="D9D9E3"/>
                        <w:right w:val="single" w:sz="2" w:space="0" w:color="D9D9E3"/>
                      </w:divBdr>
                      <w:divsChild>
                        <w:div w:id="428887378">
                          <w:marLeft w:val="0"/>
                          <w:marRight w:val="0"/>
                          <w:marTop w:val="0"/>
                          <w:marBottom w:val="0"/>
                          <w:divBdr>
                            <w:top w:val="single" w:sz="2" w:space="0" w:color="D9D9E3"/>
                            <w:left w:val="single" w:sz="2" w:space="0" w:color="D9D9E3"/>
                            <w:bottom w:val="single" w:sz="2" w:space="0" w:color="D9D9E3"/>
                            <w:right w:val="single" w:sz="2" w:space="0" w:color="D9D9E3"/>
                          </w:divBdr>
                          <w:divsChild>
                            <w:div w:id="1538081013">
                              <w:marLeft w:val="0"/>
                              <w:marRight w:val="0"/>
                              <w:marTop w:val="0"/>
                              <w:marBottom w:val="0"/>
                              <w:divBdr>
                                <w:top w:val="single" w:sz="2" w:space="0" w:color="D9D9E3"/>
                                <w:left w:val="single" w:sz="2" w:space="0" w:color="D9D9E3"/>
                                <w:bottom w:val="single" w:sz="2" w:space="0" w:color="D9D9E3"/>
                                <w:right w:val="single" w:sz="2" w:space="0" w:color="D9D9E3"/>
                              </w:divBdr>
                              <w:divsChild>
                                <w:div w:id="11637394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90152219">
          <w:marLeft w:val="0"/>
          <w:marRight w:val="0"/>
          <w:marTop w:val="0"/>
          <w:marBottom w:val="0"/>
          <w:divBdr>
            <w:top w:val="single" w:sz="2" w:space="0" w:color="auto"/>
            <w:left w:val="single" w:sz="2" w:space="0" w:color="auto"/>
            <w:bottom w:val="single" w:sz="6" w:space="0" w:color="auto"/>
            <w:right w:val="single" w:sz="2" w:space="0" w:color="auto"/>
          </w:divBdr>
          <w:divsChild>
            <w:div w:id="174998704">
              <w:marLeft w:val="0"/>
              <w:marRight w:val="0"/>
              <w:marTop w:val="100"/>
              <w:marBottom w:val="100"/>
              <w:divBdr>
                <w:top w:val="single" w:sz="2" w:space="0" w:color="D9D9E3"/>
                <w:left w:val="single" w:sz="2" w:space="0" w:color="D9D9E3"/>
                <w:bottom w:val="single" w:sz="2" w:space="0" w:color="D9D9E3"/>
                <w:right w:val="single" w:sz="2" w:space="0" w:color="D9D9E3"/>
              </w:divBdr>
              <w:divsChild>
                <w:div w:id="414936812">
                  <w:marLeft w:val="0"/>
                  <w:marRight w:val="0"/>
                  <w:marTop w:val="0"/>
                  <w:marBottom w:val="0"/>
                  <w:divBdr>
                    <w:top w:val="single" w:sz="2" w:space="0" w:color="D9D9E3"/>
                    <w:left w:val="single" w:sz="2" w:space="0" w:color="D9D9E3"/>
                    <w:bottom w:val="single" w:sz="2" w:space="0" w:color="D9D9E3"/>
                    <w:right w:val="single" w:sz="2" w:space="0" w:color="D9D9E3"/>
                  </w:divBdr>
                  <w:divsChild>
                    <w:div w:id="312872781">
                      <w:marLeft w:val="0"/>
                      <w:marRight w:val="0"/>
                      <w:marTop w:val="0"/>
                      <w:marBottom w:val="0"/>
                      <w:divBdr>
                        <w:top w:val="single" w:sz="2" w:space="0" w:color="D9D9E3"/>
                        <w:left w:val="single" w:sz="2" w:space="0" w:color="D9D9E3"/>
                        <w:bottom w:val="single" w:sz="2" w:space="0" w:color="D9D9E3"/>
                        <w:right w:val="single" w:sz="2" w:space="0" w:color="D9D9E3"/>
                      </w:divBdr>
                      <w:divsChild>
                        <w:div w:id="978651918">
                          <w:marLeft w:val="0"/>
                          <w:marRight w:val="0"/>
                          <w:marTop w:val="0"/>
                          <w:marBottom w:val="0"/>
                          <w:divBdr>
                            <w:top w:val="single" w:sz="2" w:space="0" w:color="D9D9E3"/>
                            <w:left w:val="single" w:sz="2" w:space="0" w:color="D9D9E3"/>
                            <w:bottom w:val="single" w:sz="2" w:space="0" w:color="D9D9E3"/>
                            <w:right w:val="single" w:sz="2" w:space="0" w:color="D9D9E3"/>
                          </w:divBdr>
                          <w:divsChild>
                            <w:div w:id="232543696">
                              <w:marLeft w:val="0"/>
                              <w:marRight w:val="0"/>
                              <w:marTop w:val="0"/>
                              <w:marBottom w:val="0"/>
                              <w:divBdr>
                                <w:top w:val="single" w:sz="2" w:space="0" w:color="D9D9E3"/>
                                <w:left w:val="single" w:sz="2" w:space="0" w:color="D9D9E3"/>
                                <w:bottom w:val="single" w:sz="2" w:space="0" w:color="D9D9E3"/>
                                <w:right w:val="single" w:sz="2" w:space="0" w:color="D9D9E3"/>
                              </w:divBdr>
                              <w:divsChild>
                                <w:div w:id="7627298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62828188">
                      <w:marLeft w:val="0"/>
                      <w:marRight w:val="0"/>
                      <w:marTop w:val="0"/>
                      <w:marBottom w:val="0"/>
                      <w:divBdr>
                        <w:top w:val="single" w:sz="2" w:space="0" w:color="D9D9E3"/>
                        <w:left w:val="single" w:sz="2" w:space="0" w:color="D9D9E3"/>
                        <w:bottom w:val="single" w:sz="2" w:space="0" w:color="D9D9E3"/>
                        <w:right w:val="single" w:sz="2" w:space="0" w:color="D9D9E3"/>
                      </w:divBdr>
                      <w:divsChild>
                        <w:div w:id="856311164">
                          <w:marLeft w:val="0"/>
                          <w:marRight w:val="0"/>
                          <w:marTop w:val="0"/>
                          <w:marBottom w:val="0"/>
                          <w:divBdr>
                            <w:top w:val="single" w:sz="2" w:space="0" w:color="D9D9E3"/>
                            <w:left w:val="single" w:sz="2" w:space="0" w:color="D9D9E3"/>
                            <w:bottom w:val="single" w:sz="2" w:space="0" w:color="D9D9E3"/>
                            <w:right w:val="single" w:sz="2" w:space="0" w:color="D9D9E3"/>
                          </w:divBdr>
                          <w:divsChild>
                            <w:div w:id="1028067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32013128">
      <w:bodyDiv w:val="1"/>
      <w:marLeft w:val="0"/>
      <w:marRight w:val="0"/>
      <w:marTop w:val="0"/>
      <w:marBottom w:val="0"/>
      <w:divBdr>
        <w:top w:val="none" w:sz="0" w:space="0" w:color="auto"/>
        <w:left w:val="none" w:sz="0" w:space="0" w:color="auto"/>
        <w:bottom w:val="none" w:sz="0" w:space="0" w:color="auto"/>
        <w:right w:val="none" w:sz="0" w:space="0" w:color="auto"/>
      </w:divBdr>
    </w:div>
    <w:div w:id="746418554">
      <w:bodyDiv w:val="1"/>
      <w:marLeft w:val="0"/>
      <w:marRight w:val="0"/>
      <w:marTop w:val="0"/>
      <w:marBottom w:val="0"/>
      <w:divBdr>
        <w:top w:val="none" w:sz="0" w:space="0" w:color="auto"/>
        <w:left w:val="none" w:sz="0" w:space="0" w:color="auto"/>
        <w:bottom w:val="none" w:sz="0" w:space="0" w:color="auto"/>
        <w:right w:val="none" w:sz="0" w:space="0" w:color="auto"/>
      </w:divBdr>
    </w:div>
    <w:div w:id="874658777">
      <w:bodyDiv w:val="1"/>
      <w:marLeft w:val="0"/>
      <w:marRight w:val="0"/>
      <w:marTop w:val="0"/>
      <w:marBottom w:val="0"/>
      <w:divBdr>
        <w:top w:val="none" w:sz="0" w:space="0" w:color="auto"/>
        <w:left w:val="none" w:sz="0" w:space="0" w:color="auto"/>
        <w:bottom w:val="none" w:sz="0" w:space="0" w:color="auto"/>
        <w:right w:val="none" w:sz="0" w:space="0" w:color="auto"/>
      </w:divBdr>
    </w:div>
    <w:div w:id="948397152">
      <w:bodyDiv w:val="1"/>
      <w:marLeft w:val="0"/>
      <w:marRight w:val="0"/>
      <w:marTop w:val="0"/>
      <w:marBottom w:val="0"/>
      <w:divBdr>
        <w:top w:val="none" w:sz="0" w:space="0" w:color="auto"/>
        <w:left w:val="none" w:sz="0" w:space="0" w:color="auto"/>
        <w:bottom w:val="none" w:sz="0" w:space="0" w:color="auto"/>
        <w:right w:val="none" w:sz="0" w:space="0" w:color="auto"/>
      </w:divBdr>
    </w:div>
    <w:div w:id="1430388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nk.gov.ua/ua/statistic/sector-financial" TargetMode="External"/><Relationship Id="rId3" Type="http://schemas.openxmlformats.org/officeDocument/2006/relationships/settings" Target="settings.xml"/><Relationship Id="rId7" Type="http://schemas.openxmlformats.org/officeDocument/2006/relationships/hyperlink" Target="https://bank.gov.ua/ua/news/all/pro-robotu-bankivskoyi-sistemi-ta-valyutnogo-rinku-z-24-lyutogo-2022-roku-za-umovi-voyennogo-stanu-po-vsiy-teritoriyi-ukrayi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040;&#1085;&#1072;&#1089;&#1090;&#1072;&#1089;&#1080;&#1103;\Downloads\Telegram%20Desktop\&#1044;&#1086;&#1083;&#1072;&#1088;&#1080;&#1079;&#1072;&#1094;&#1110;&#1103;%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040;&#1085;&#1072;&#1089;&#1090;&#1072;&#1089;&#1080;&#1103;\Downloads\Telegram%20Desktop\&#1044;&#1086;&#1083;&#1072;&#1088;&#1080;&#1079;&#1072;&#1094;&#1110;&#1103;%2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916666666666665E-2"/>
          <c:y val="0"/>
          <c:w val="0.95416666666666672"/>
          <c:h val="0.71227854330708662"/>
        </c:manualLayout>
      </c:layout>
      <c:lineChart>
        <c:grouping val="standard"/>
        <c:varyColors val="0"/>
        <c:ser>
          <c:idx val="0"/>
          <c:order val="0"/>
          <c:tx>
            <c:strRef>
              <c:f>Sheet1!$N$2</c:f>
              <c:strCache>
                <c:ptCount val="1"/>
                <c:pt idx="0">
                  <c:v>Рівень доларизації за методикою МВФ</c:v>
                </c:pt>
              </c:strCache>
            </c:strRef>
          </c:tx>
          <c:spPr>
            <a:ln w="19050" cap="rnd" cmpd="dbl" algn="ctr">
              <a:solidFill>
                <a:schemeClr val="accent1">
                  <a:shade val="95000"/>
                  <a:satMod val="105000"/>
                </a:schemeClr>
              </a:solidFill>
              <a:round/>
            </a:ln>
            <a:effectLst/>
          </c:spPr>
          <c:marker>
            <c:symbol val="circle"/>
            <c:size val="17"/>
            <c:spPr>
              <a:solidFill>
                <a:schemeClr val="lt1"/>
              </a:solidFill>
              <a:ln>
                <a:noFill/>
              </a:ln>
              <a:effectLst/>
            </c:spPr>
          </c:marker>
          <c:dLbls>
            <c:spPr>
              <a:noFill/>
              <a:ln>
                <a:solidFill>
                  <a:schemeClr val="accent2"/>
                </a:solidFill>
                <a:prstDash val="sysDot"/>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Sheet1!$A$3:$A$133</c:f>
              <c:numCache>
                <c:formatCode>0</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Sheet1!$N$3:$N$133</c:f>
              <c:numCache>
                <c:formatCode>0%</c:formatCode>
                <c:ptCount val="11"/>
                <c:pt idx="0">
                  <c:v>0.32689068106091268</c:v>
                </c:pt>
                <c:pt idx="1">
                  <c:v>0.27390257054215977</c:v>
                </c:pt>
                <c:pt idx="2">
                  <c:v>0.32411037614102056</c:v>
                </c:pt>
                <c:pt idx="3">
                  <c:v>0.32683948263605228</c:v>
                </c:pt>
                <c:pt idx="4">
                  <c:v>0.33296384210218688</c:v>
                </c:pt>
                <c:pt idx="5">
                  <c:v>0.33748704761169884</c:v>
                </c:pt>
                <c:pt idx="6">
                  <c:v>0.30797026853361126</c:v>
                </c:pt>
                <c:pt idx="7">
                  <c:v>0.29887733514960252</c:v>
                </c:pt>
                <c:pt idx="8">
                  <c:v>0.27495475226207167</c:v>
                </c:pt>
                <c:pt idx="9">
                  <c:v>0.23525072477402345</c:v>
                </c:pt>
                <c:pt idx="10">
                  <c:v>0.27350251743731424</c:v>
                </c:pt>
              </c:numCache>
            </c:numRef>
          </c:val>
          <c:smooth val="0"/>
          <c:extLst>
            <c:ext xmlns:c16="http://schemas.microsoft.com/office/drawing/2014/chart" uri="{C3380CC4-5D6E-409C-BE32-E72D297353CC}">
              <c16:uniqueId val="{00000000-BC0B-4A09-B653-D341227B2904}"/>
            </c:ext>
          </c:extLst>
        </c:ser>
        <c:ser>
          <c:idx val="1"/>
          <c:order val="1"/>
          <c:tx>
            <c:strRef>
              <c:f>Sheet1!$O$2</c:f>
              <c:strCache>
                <c:ptCount val="1"/>
                <c:pt idx="0">
                  <c:v>Рівень доларизації депозитної діяльності</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Sheet1!$A$3:$A$133</c:f>
              <c:numCache>
                <c:formatCode>0</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Sheet1!$O$3:$O$133</c:f>
              <c:numCache>
                <c:formatCode>0%</c:formatCode>
                <c:ptCount val="11"/>
                <c:pt idx="0">
                  <c:v>0.44042551694468535</c:v>
                </c:pt>
                <c:pt idx="1">
                  <c:v>0.37049268896009413</c:v>
                </c:pt>
                <c:pt idx="2">
                  <c:v>0.45866056729171473</c:v>
                </c:pt>
                <c:pt idx="3">
                  <c:v>0.45319425464634289</c:v>
                </c:pt>
                <c:pt idx="4">
                  <c:v>0.46259361094595663</c:v>
                </c:pt>
                <c:pt idx="5">
                  <c:v>0.45377454500223818</c:v>
                </c:pt>
                <c:pt idx="6">
                  <c:v>0.42046898720979364</c:v>
                </c:pt>
                <c:pt idx="7">
                  <c:v>0.40026933336593862</c:v>
                </c:pt>
                <c:pt idx="8">
                  <c:v>0.37677474810022088</c:v>
                </c:pt>
                <c:pt idx="9">
                  <c:v>0.32374061168628615</c:v>
                </c:pt>
                <c:pt idx="10">
                  <c:v>0.36111270623976555</c:v>
                </c:pt>
              </c:numCache>
            </c:numRef>
          </c:val>
          <c:smooth val="0"/>
          <c:extLst>
            <c:ext xmlns:c16="http://schemas.microsoft.com/office/drawing/2014/chart" uri="{C3380CC4-5D6E-409C-BE32-E72D297353CC}">
              <c16:uniqueId val="{00000001-BC0B-4A09-B653-D341227B2904}"/>
            </c:ext>
          </c:extLst>
        </c:ser>
        <c:ser>
          <c:idx val="2"/>
          <c:order val="2"/>
          <c:tx>
            <c:strRef>
              <c:f>Sheet1!$P$2</c:f>
              <c:strCache>
                <c:ptCount val="1"/>
                <c:pt idx="0">
                  <c:v>Рівень доларизації кредитної діяльності</c:v>
                </c:pt>
              </c:strCache>
            </c:strRef>
          </c:tx>
          <c:spPr>
            <a:ln w="25400" cap="rnd" cmpd="sng" algn="ctr">
              <a:solidFill>
                <a:schemeClr val="accent3">
                  <a:shade val="95000"/>
                  <a:satMod val="105000"/>
                </a:schemeClr>
              </a:solidFill>
              <a:prstDash val="sysDash"/>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Sheet1!$A$3:$A$133</c:f>
              <c:numCache>
                <c:formatCode>0</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Sheet1!$P$3:$P$133</c:f>
              <c:numCache>
                <c:formatCode>0%</c:formatCode>
                <c:ptCount val="11"/>
                <c:pt idx="0">
                  <c:v>0.36749694001138561</c:v>
                </c:pt>
                <c:pt idx="1">
                  <c:v>0.33817768434733786</c:v>
                </c:pt>
                <c:pt idx="2">
                  <c:v>0.46310920400819627</c:v>
                </c:pt>
                <c:pt idx="3">
                  <c:v>0.5580546199140064</c:v>
                </c:pt>
                <c:pt idx="4">
                  <c:v>0.49433490555043386</c:v>
                </c:pt>
                <c:pt idx="5">
                  <c:v>0.43872269574717904</c:v>
                </c:pt>
                <c:pt idx="6">
                  <c:v>0.42784787834585702</c:v>
                </c:pt>
                <c:pt idx="7">
                  <c:v>0.36852887568097481</c:v>
                </c:pt>
                <c:pt idx="8">
                  <c:v>0.36684680793714886</c:v>
                </c:pt>
                <c:pt idx="9">
                  <c:v>0.28895348967426365</c:v>
                </c:pt>
                <c:pt idx="10">
                  <c:v>0.27732359445501631</c:v>
                </c:pt>
              </c:numCache>
            </c:numRef>
          </c:val>
          <c:smooth val="0"/>
          <c:extLst>
            <c:ext xmlns:c16="http://schemas.microsoft.com/office/drawing/2014/chart" uri="{C3380CC4-5D6E-409C-BE32-E72D297353CC}">
              <c16:uniqueId val="{00000002-BC0B-4A09-B653-D341227B2904}"/>
            </c:ext>
          </c:extLst>
        </c:ser>
        <c:dLbls>
          <c:dLblPos val="ctr"/>
          <c:showLegendKey val="0"/>
          <c:showVal val="1"/>
          <c:showCatName val="0"/>
          <c:showSerName val="0"/>
          <c:showPercent val="0"/>
          <c:showBubbleSize val="0"/>
        </c:dLbls>
        <c:marker val="1"/>
        <c:smooth val="0"/>
        <c:axId val="650314832"/>
        <c:axId val="650323832"/>
      </c:lineChart>
      <c:catAx>
        <c:axId val="650314832"/>
        <c:scaling>
          <c:orientation val="minMax"/>
        </c:scaling>
        <c:delete val="0"/>
        <c:axPos val="b"/>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uk-UA"/>
          </a:p>
        </c:txPr>
        <c:crossAx val="650323832"/>
        <c:crossesAt val="0"/>
        <c:auto val="1"/>
        <c:lblAlgn val="ctr"/>
        <c:lblOffset val="100"/>
        <c:noMultiLvlLbl val="0"/>
      </c:catAx>
      <c:valAx>
        <c:axId val="650323832"/>
        <c:scaling>
          <c:orientation val="minMax"/>
          <c:min val="0.2"/>
        </c:scaling>
        <c:delete val="1"/>
        <c:axPos val="l"/>
        <c:numFmt formatCode="0%" sourceLinked="1"/>
        <c:majorTickMark val="none"/>
        <c:minorTickMark val="none"/>
        <c:tickLblPos val="nextTo"/>
        <c:crossAx val="650314832"/>
        <c:crosses val="autoZero"/>
        <c:crossBetween val="between"/>
      </c:valAx>
      <c:spPr>
        <a:noFill/>
        <a:ln>
          <a:noFill/>
        </a:ln>
        <a:effectLst/>
      </c:spPr>
    </c:plotArea>
    <c:legend>
      <c:legendPos val="b"/>
      <c:layout>
        <c:manualLayout>
          <c:xMode val="edge"/>
          <c:yMode val="edge"/>
          <c:x val="3.1604166666666669E-2"/>
          <c:y val="0.82498176060181905"/>
          <c:w val="0.95137499999999997"/>
          <c:h val="0.147564567469560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uk-UA"/>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516168969444861E-2"/>
          <c:y val="6.6833751044277356E-2"/>
          <c:w val="0.90742303438485283"/>
          <c:h val="0.76085949782592965"/>
        </c:manualLayout>
      </c:layout>
      <c:lineChart>
        <c:grouping val="standard"/>
        <c:varyColors val="0"/>
        <c:ser>
          <c:idx val="0"/>
          <c:order val="0"/>
          <c:tx>
            <c:strRef>
              <c:f>Sheet1!$S$2:$S$15</c:f>
              <c:strCache>
                <c:ptCount val="14"/>
                <c:pt idx="0">
                  <c:v>Рівень доларизації за методикою МВФ</c:v>
                </c:pt>
                <c:pt idx="1">
                  <c:v>-</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delete val="1"/>
          </c:dLbls>
          <c:cat>
            <c:numRef>
              <c:f>Sheet1!$A$16:$A$133</c:f>
              <c:numCache>
                <c:formatCode>0</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Sheet1!$S$16:$S$133</c:f>
              <c:numCache>
                <c:formatCode>0%</c:formatCode>
                <c:ptCount val="10"/>
                <c:pt idx="0">
                  <c:v>-0.16209734198228529</c:v>
                </c:pt>
                <c:pt idx="1">
                  <c:v>0.18330534649412017</c:v>
                </c:pt>
                <c:pt idx="2">
                  <c:v>8.4202996754546462E-3</c:v>
                </c:pt>
                <c:pt idx="3">
                  <c:v>1.8738126179676698E-2</c:v>
                </c:pt>
                <c:pt idx="4">
                  <c:v>1.3584674783166958E-2</c:v>
                </c:pt>
                <c:pt idx="5">
                  <c:v>-8.7460479704242131E-2</c:v>
                </c:pt>
                <c:pt idx="6">
                  <c:v>-2.9525361091849535E-2</c:v>
                </c:pt>
                <c:pt idx="7">
                  <c:v>-8.0041475462020048E-2</c:v>
                </c:pt>
                <c:pt idx="8">
                  <c:v>-0.1444020412864315</c:v>
                </c:pt>
                <c:pt idx="9">
                  <c:v>0.16260010548335016</c:v>
                </c:pt>
              </c:numCache>
            </c:numRef>
          </c:val>
          <c:smooth val="0"/>
          <c:extLst>
            <c:ext xmlns:c16="http://schemas.microsoft.com/office/drawing/2014/chart" uri="{C3380CC4-5D6E-409C-BE32-E72D297353CC}">
              <c16:uniqueId val="{00000000-E557-4E86-A8C0-253C94F1BC3D}"/>
            </c:ext>
          </c:extLst>
        </c:ser>
        <c:ser>
          <c:idx val="1"/>
          <c:order val="1"/>
          <c:tx>
            <c:strRef>
              <c:f>Sheet1!$T$2:$T$15</c:f>
              <c:strCache>
                <c:ptCount val="14"/>
                <c:pt idx="0">
                  <c:v>Рівень доларизації депозитної діяльності</c:v>
                </c:pt>
                <c:pt idx="1">
                  <c:v>-</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delete val="1"/>
          </c:dLbls>
          <c:cat>
            <c:numRef>
              <c:f>Sheet1!$A$16:$A$133</c:f>
              <c:numCache>
                <c:formatCode>0</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Sheet1!$T$16:$T$133</c:f>
              <c:numCache>
                <c:formatCode>0%</c:formatCode>
                <c:ptCount val="10"/>
                <c:pt idx="0">
                  <c:v>-0.15878468729452461</c:v>
                </c:pt>
                <c:pt idx="1">
                  <c:v>0.23797467793249</c:v>
                </c:pt>
                <c:pt idx="2">
                  <c:v>-1.1917991288523364E-2</c:v>
                </c:pt>
                <c:pt idx="3">
                  <c:v>2.0740237112998442E-2</c:v>
                </c:pt>
                <c:pt idx="4">
                  <c:v>-1.9064392017184077E-2</c:v>
                </c:pt>
                <c:pt idx="5">
                  <c:v>-7.3396708033237668E-2</c:v>
                </c:pt>
                <c:pt idx="6">
                  <c:v>-4.8040769850586813E-2</c:v>
                </c:pt>
                <c:pt idx="7">
                  <c:v>-5.8696940552870835E-2</c:v>
                </c:pt>
                <c:pt idx="8">
                  <c:v>-0.1407582028289959</c:v>
                </c:pt>
                <c:pt idx="9">
                  <c:v>0.11543838864953408</c:v>
                </c:pt>
              </c:numCache>
            </c:numRef>
          </c:val>
          <c:smooth val="0"/>
          <c:extLst>
            <c:ext xmlns:c16="http://schemas.microsoft.com/office/drawing/2014/chart" uri="{C3380CC4-5D6E-409C-BE32-E72D297353CC}">
              <c16:uniqueId val="{00000001-E557-4E86-A8C0-253C94F1BC3D}"/>
            </c:ext>
          </c:extLst>
        </c:ser>
        <c:ser>
          <c:idx val="2"/>
          <c:order val="2"/>
          <c:tx>
            <c:strRef>
              <c:f>Sheet1!$U$2:$U$15</c:f>
              <c:strCache>
                <c:ptCount val="14"/>
                <c:pt idx="0">
                  <c:v>Рівень доларизації кредитної діяльності</c:v>
                </c:pt>
                <c:pt idx="1">
                  <c:v>-</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dLbls>
            <c:delete val="1"/>
          </c:dLbls>
          <c:cat>
            <c:numRef>
              <c:f>Sheet1!$A$16:$A$133</c:f>
              <c:numCache>
                <c:formatCode>0</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Sheet1!$U$16:$U$133</c:f>
              <c:numCache>
                <c:formatCode>0%</c:formatCode>
                <c:ptCount val="10"/>
                <c:pt idx="0">
                  <c:v>-7.9780951817284229E-2</c:v>
                </c:pt>
                <c:pt idx="1">
                  <c:v>0.36942567603763854</c:v>
                </c:pt>
                <c:pt idx="2">
                  <c:v>0.20501733734518857</c:v>
                </c:pt>
                <c:pt idx="3">
                  <c:v>-0.11418185978532254</c:v>
                </c:pt>
                <c:pt idx="4">
                  <c:v>-0.11249905515235978</c:v>
                </c:pt>
                <c:pt idx="5">
                  <c:v>-2.4787451177562966E-2</c:v>
                </c:pt>
                <c:pt idx="6">
                  <c:v>-0.13864507846625534</c:v>
                </c:pt>
                <c:pt idx="7">
                  <c:v>-4.5642766546252237E-3</c:v>
                </c:pt>
                <c:pt idx="8">
                  <c:v>-0.21233200501564814</c:v>
                </c:pt>
                <c:pt idx="9">
                  <c:v>-4.0248329350019922E-2</c:v>
                </c:pt>
              </c:numCache>
            </c:numRef>
          </c:val>
          <c:smooth val="0"/>
          <c:extLst>
            <c:ext xmlns:c16="http://schemas.microsoft.com/office/drawing/2014/chart" uri="{C3380CC4-5D6E-409C-BE32-E72D297353CC}">
              <c16:uniqueId val="{00000002-E557-4E86-A8C0-253C94F1BC3D}"/>
            </c:ext>
          </c:extLst>
        </c:ser>
        <c:ser>
          <c:idx val="3"/>
          <c:order val="3"/>
          <c:tx>
            <c:strRef>
              <c:f>Sheet1!$V$2:$V$15</c:f>
              <c:strCache>
                <c:ptCount val="14"/>
                <c:pt idx="0">
                  <c:v>Питома вага валюти в М3</c:v>
                </c:pt>
                <c:pt idx="1">
                  <c:v>-</c:v>
                </c:pt>
              </c:strCache>
            </c:strRef>
          </c:tx>
          <c:spPr>
            <a:ln w="22225" cap="rnd">
              <a:solidFill>
                <a:schemeClr val="accent4"/>
              </a:solidFill>
              <a:round/>
            </a:ln>
            <a:effectLst/>
          </c:spPr>
          <c:marker>
            <c:symbol val="x"/>
            <c:size val="6"/>
            <c:spPr>
              <a:noFill/>
              <a:ln w="9525">
                <a:solidFill>
                  <a:schemeClr val="accent4"/>
                </a:solidFill>
                <a:round/>
              </a:ln>
              <a:effectLst/>
            </c:spPr>
          </c:marker>
          <c:dLbls>
            <c:delete val="1"/>
          </c:dLbls>
          <c:cat>
            <c:numRef>
              <c:f>Sheet1!$A$16:$A$133</c:f>
              <c:numCache>
                <c:formatCode>0</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Sheet1!$V$16:$V$133</c:f>
              <c:numCache>
                <c:formatCode>0%</c:formatCode>
                <c:ptCount val="10"/>
                <c:pt idx="0">
                  <c:v>-3.1479593938185655E-3</c:v>
                </c:pt>
                <c:pt idx="1">
                  <c:v>0.2428110292824518</c:v>
                </c:pt>
                <c:pt idx="2">
                  <c:v>3.9181563640960461E-2</c:v>
                </c:pt>
                <c:pt idx="3">
                  <c:v>0.13360691704109476</c:v>
                </c:pt>
                <c:pt idx="4">
                  <c:v>6.3782971038071401E-2</c:v>
                </c:pt>
                <c:pt idx="5">
                  <c:v>-3.1002661363033271E-2</c:v>
                </c:pt>
                <c:pt idx="6">
                  <c:v>0.10467901577361875</c:v>
                </c:pt>
                <c:pt idx="7">
                  <c:v>0.20367451700191763</c:v>
                </c:pt>
                <c:pt idx="8">
                  <c:v>-4.2528322354456839E-2</c:v>
                </c:pt>
                <c:pt idx="9">
                  <c:v>0.32699722043325002</c:v>
                </c:pt>
              </c:numCache>
            </c:numRef>
          </c:val>
          <c:smooth val="0"/>
          <c:extLst>
            <c:ext xmlns:c16="http://schemas.microsoft.com/office/drawing/2014/chart" uri="{C3380CC4-5D6E-409C-BE32-E72D297353CC}">
              <c16:uniqueId val="{00000003-E557-4E86-A8C0-253C94F1BC3D}"/>
            </c:ext>
          </c:extLst>
        </c:ser>
        <c:dLbls>
          <c:dLblPos val="t"/>
          <c:showLegendKey val="0"/>
          <c:showVal val="1"/>
          <c:showCatName val="0"/>
          <c:showSerName val="0"/>
          <c:showPercent val="0"/>
          <c:showBubbleSize val="0"/>
        </c:dLbls>
        <c:marker val="1"/>
        <c:smooth val="0"/>
        <c:axId val="650301512"/>
        <c:axId val="650302952"/>
      </c:lineChart>
      <c:catAx>
        <c:axId val="65030151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accent6">
                <a:alpha val="96000"/>
              </a:schemeClr>
            </a:solidFill>
            <a:round/>
          </a:ln>
          <a:effectLst/>
        </c:spPr>
        <c:txPr>
          <a:bodyPr rot="-60000000" spcFirstLastPara="1" vertOverflow="ellipsis" vert="horz" wrap="square" anchor="b" anchorCtr="0"/>
          <a:lstStyle/>
          <a:p>
            <a:pPr>
              <a:defRPr sz="800" b="0" i="0" u="none" strike="noStrike" kern="1200" cap="all" spc="120" normalizeH="0" baseline="0">
                <a:solidFill>
                  <a:schemeClr val="tx1">
                    <a:lumMod val="65000"/>
                    <a:lumOff val="35000"/>
                  </a:schemeClr>
                </a:solidFill>
                <a:latin typeface="+mn-lt"/>
                <a:ea typeface="+mn-ea"/>
                <a:cs typeface="+mn-cs"/>
              </a:defRPr>
            </a:pPr>
            <a:endParaRPr lang="uk-UA"/>
          </a:p>
        </c:txPr>
        <c:crossAx val="650302952"/>
        <c:crosses val="max"/>
        <c:auto val="1"/>
        <c:lblAlgn val="ctr"/>
        <c:lblOffset val="100"/>
        <c:noMultiLvlLbl val="0"/>
      </c:catAx>
      <c:valAx>
        <c:axId val="650302952"/>
        <c:scaling>
          <c:orientation val="minMax"/>
          <c:max val="0.4"/>
          <c:min val="-0.22000000000000003"/>
        </c:scaling>
        <c:delete val="0"/>
        <c:axPos val="l"/>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50301512"/>
        <c:crosses val="autoZero"/>
        <c:crossBetween val="between"/>
        <c:minorUnit val="1.0000000000000002E-2"/>
      </c:valAx>
      <c:spPr>
        <a:noFill/>
        <a:ln>
          <a:noFill/>
        </a:ln>
        <a:effectLst/>
      </c:spPr>
    </c:plotArea>
    <c:legend>
      <c:legendPos val="t"/>
      <c:layout>
        <c:manualLayout>
          <c:xMode val="edge"/>
          <c:yMode val="edge"/>
          <c:x val="0.10876310272536688"/>
          <c:y val="0.86466165413533835"/>
          <c:w val="0.77275362318840579"/>
          <c:h val="0.134712766167386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10048</TotalTime>
  <Pages>5</Pages>
  <Words>4781</Words>
  <Characters>2726</Characters>
  <Application>Microsoft Office Word</Application>
  <DocSecurity>0</DocSecurity>
  <Lines>22</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Yaroslava Slava</dc:creator>
  <cp:keywords/>
  <dc:description/>
  <cp:lastModifiedBy>Yaroslava Slava</cp:lastModifiedBy>
  <cp:revision>16</cp:revision>
  <dcterms:created xsi:type="dcterms:W3CDTF">2023-09-29T18:09:00Z</dcterms:created>
  <dcterms:modified xsi:type="dcterms:W3CDTF">2023-12-07T09:55:00Z</dcterms:modified>
</cp:coreProperties>
</file>