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20B3" w14:textId="77777777" w:rsidR="009B0F23" w:rsidRPr="00257B94" w:rsidRDefault="009B0F23" w:rsidP="00257B9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7B94">
        <w:rPr>
          <w:rFonts w:ascii="Times New Roman" w:hAnsi="Times New Roman" w:cs="Times New Roman"/>
          <w:b/>
          <w:sz w:val="28"/>
          <w:szCs w:val="28"/>
          <w:lang w:val="uk-UA"/>
        </w:rPr>
        <w:t>Поліщук Василь Андрійович</w:t>
      </w:r>
      <w:r w:rsidRPr="00257B94">
        <w:rPr>
          <w:rFonts w:ascii="Times New Roman" w:hAnsi="Times New Roman" w:cs="Times New Roman"/>
          <w:bCs/>
          <w:sz w:val="28"/>
          <w:szCs w:val="28"/>
          <w:lang w:val="uk-UA"/>
        </w:rPr>
        <w:t>, аспірант</w:t>
      </w:r>
    </w:p>
    <w:p w14:paraId="1C90A040" w14:textId="77777777" w:rsidR="00C235E5" w:rsidRDefault="009B0F23" w:rsidP="00257B9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B0F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Національний юридичний університет імені Ярослава Мудрого, </w:t>
      </w:r>
    </w:p>
    <w:p w14:paraId="06152010" w14:textId="4FF8F30A" w:rsidR="009B0F23" w:rsidRPr="009B0F23" w:rsidRDefault="00257B94" w:rsidP="00257B9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 Харків</w:t>
      </w:r>
    </w:p>
    <w:p w14:paraId="737BBFA8" w14:textId="77777777" w:rsidR="009B0F23" w:rsidRPr="009B0F23" w:rsidRDefault="009B0F23" w:rsidP="00257B9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B0F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ORCID: </w:t>
      </w:r>
      <w:r w:rsidRPr="009B0F23">
        <w:rPr>
          <w:rFonts w:ascii="Times New Roman" w:hAnsi="Times New Roman" w:cs="Times New Roman"/>
          <w:sz w:val="28"/>
          <w:szCs w:val="28"/>
          <w:lang w:val="uk-UA"/>
        </w:rPr>
        <w:t>0009-0002-0722-1917</w:t>
      </w:r>
    </w:p>
    <w:p w14:paraId="2F4F8410" w14:textId="77777777" w:rsidR="009B0F23" w:rsidRDefault="009B0F23" w:rsidP="009B0F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6E8538" w14:textId="40419720" w:rsidR="00DD0A75" w:rsidRPr="00C9081D" w:rsidRDefault="00DD0A75" w:rsidP="009B0F2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ЄВРОІНТЕГРАЦІЇ НА ЮРИДИЧНИЙ КОНТРОЛЬ В УКРАЇНІ</w:t>
      </w:r>
    </w:p>
    <w:p w14:paraId="7C06AC1C" w14:textId="3EF5D5F5" w:rsidR="00C029A8" w:rsidRPr="00257B94" w:rsidRDefault="009B7684" w:rsidP="00257B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2647640"/>
      <w:r w:rsidRPr="00C9081D">
        <w:rPr>
          <w:rFonts w:ascii="Times New Roman" w:hAnsi="Times New Roman" w:cs="Times New Roman"/>
          <w:sz w:val="28"/>
          <w:szCs w:val="28"/>
          <w:lang w:val="uk-UA"/>
        </w:rPr>
        <w:t>Демократичний транзит та включення України до є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вроінтеграці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йного руху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віддзеркалює оновлення в регулюванні інституту юридичного контролю, його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принципів,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процедур,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функцій, цілей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закономірним розширенням кола об’єктів контролю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. Це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є безумовним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через європейські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нормативи –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директиви та регламенти, які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стимулюють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національні органи впроваджувати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досвід та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практики,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універсальні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верховенства права та дотримання прав людини.</w:t>
      </w:r>
      <w:r w:rsidR="00257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Євро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інтеграція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своєю чергою, чітко дотримується демократичного імперативу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законності,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справедливості та прозорості</w:t>
      </w:r>
      <w:r w:rsidR="00257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правозастосуванн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я, що стають домінуючим право-культурним важелем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держав.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Оновлення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зумовлені євроінтеграційн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им вибором. Вони 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юридично налаштовують та демократично оптимізують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взаємоді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владою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інститутами громадянського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суспільс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>тва,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>ючи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його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здійсненн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контролюючих функцій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суттєво обмежує 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правом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державну владу, </w:t>
      </w:r>
      <w:r w:rsidR="009C1F6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юридично внормовуючи 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257B94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та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7715BB" w:rsidRPr="00C9081D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  <w:r w:rsidR="00315B07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B32B26" w14:textId="77777777" w:rsidR="00A31C9B" w:rsidRPr="00C9081D" w:rsidRDefault="002E35B0" w:rsidP="009B0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Правовою підставою процесу є низка 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фіційн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ів,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постанов щодо програм євроінтеграції та правових реформ.</w:t>
      </w:r>
      <w:r w:rsidR="004D5D5E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Прикладом таких документів є: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інтеграції України до Європейського Союзу на 2021-2027 р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., що</w:t>
      </w:r>
      <w:r w:rsidRPr="00C908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Pr="00C908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цілі та пріоритети в напрямку євроінтеграційних реформ, включаючи співпрацю в сферах економіки, політики та права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; аналітичні звіти про вплив євроінтеграційних процесів на правову систему України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стратегічних досліджень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де досліджено вплив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євроінтеграційн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на законо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творчість,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правозастосування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сприя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гармонізації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права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з євро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стандартами. </w:t>
      </w:r>
    </w:p>
    <w:p w14:paraId="7B39C03B" w14:textId="5C7F461B" w:rsidR="0005744E" w:rsidRPr="00C9081D" w:rsidRDefault="00A31C9B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Вагомий внесок в процес євроінтеграції помітний у доповідях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Управління Верховного Комісара ООН з прав людини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щодо правосуддя, прозорості та участі громадськості у правозастосуванні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а також у звітах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Європейськ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про стан розвитку правової системи в Україні та рекомендації для реформ</w:t>
      </w:r>
      <w:r w:rsidR="003C3B2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3B25" w:rsidRPr="00C9081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30AEDA" w14:textId="1DE33D13" w:rsidR="00DD0A75" w:rsidRPr="00C9081D" w:rsidRDefault="00A31C9B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плив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євроінтеграції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відбивається через гармонізацію законодавства, впровадження європейських </w:t>
      </w:r>
      <w:r w:rsidR="00DD0A75" w:rsidRPr="00C9081D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стандартів та принципів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а також через створення механізмів взаємодії між національними та європейськими інституціями. Основні аспекти цього впливу полягають в визнанні та впровадженні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основоположних принципів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в законодавство, практику державних інститутів та забезпеченн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норм органами ЄС передусім такого принципу юридичного контролю, як принцип </w:t>
      </w:r>
      <w:r w:rsidR="00DD0A75" w:rsidRPr="00C9081D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верховенства права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(Rule of Law), як основи функціонування держав-членів. Зміст принципу вимагає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переконаного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 здійснення контролю на основі правових норм та в правових межах і юридичних процедурах, з метою прийняття будь-яких юридично значущих рішень, які мають бути чітко визначеними, зрозумілими, передбачуваними та справедливими. </w:t>
      </w:r>
    </w:p>
    <w:p w14:paraId="1E52533F" w14:textId="086EC959" w:rsidR="00387035" w:rsidRPr="00C9081D" w:rsidRDefault="007D6B7B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Вимога 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ерховенств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судової системи як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незалежно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ї інституції та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її неупередженості та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об'єктивн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. Це, сво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черг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формує довіру громадян до 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інститутів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держави. Розуміння </w:t>
      </w:r>
      <w:r w:rsidR="00A31C9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та сприйняття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цього принципу пов'язане з наявн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еквівалентного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механізму регулю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судової діяльності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як інституції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прав та свобод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. Узгодження національного законодавства з європейськими стандартами вимагає створ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платформ для обміну досвідом,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програм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навчання державних службовців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активного діалогу з громадянським суспільством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ромадськ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, правозахисник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щодо їх участі в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обговоренн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законо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проектів.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035" w:rsidRPr="00C9081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роцес гармонізації законодавства та дотримання принципу верховенства права є багатогранним завданням</w:t>
      </w:r>
      <w:r w:rsidR="00E11909" w:rsidRPr="00C90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3B25" w:rsidRPr="00C9081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06558" w:rsidRPr="00C9081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C3B2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с. 66-73; 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3B2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3B25" w:rsidRPr="00C908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B25" w:rsidRPr="00C9081D">
        <w:rPr>
          <w:rFonts w:ascii="Times New Roman" w:hAnsi="Times New Roman" w:cs="Times New Roman"/>
          <w:sz w:val="28"/>
          <w:szCs w:val="28"/>
          <w:lang w:val="uk-UA"/>
        </w:rPr>
        <w:t>с. 61-69</w:t>
      </w:r>
      <w:r w:rsidR="003C3B25" w:rsidRPr="00C9081D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20C1F7FC" w14:textId="1E87C94E" w:rsidR="00DD0A75" w:rsidRPr="00C9081D" w:rsidRDefault="00B6554B" w:rsidP="009B0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имогою для контролю</w:t>
      </w:r>
      <w:r w:rsidR="004D5D5E" w:rsidRPr="00C9081D">
        <w:rPr>
          <w:rFonts w:ascii="Times New Roman" w:hAnsi="Times New Roman" w:cs="Times New Roman"/>
          <w:sz w:val="28"/>
          <w:szCs w:val="28"/>
          <w:lang w:val="uk-UA"/>
        </w:rPr>
        <w:t>ючих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є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також оснований на європейському праві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принцип пропорційності, який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спрямовує результати їх діяльності на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забезпеченн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балансу між ефектив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ним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правозастосування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захистом прав громадян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вимагає, щоб діяльність суб’єктів юридичного контролю здійснювалася з урахуванням конкретних обставин справи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всі заходи та юридично обумовлені засоби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бути адекватними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для досягнення юридично значущих цілей у конкретному контрольному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кейсі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ринцип пропорційності стимулює контрольні органи діяти розумно,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що надмірні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невиправдані заходи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тягнуть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неприпустим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обмежен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прав і свобод.</w:t>
      </w:r>
    </w:p>
    <w:p w14:paraId="34F782B7" w14:textId="5CCB663A" w:rsidR="00DD0A75" w:rsidRPr="00C9081D" w:rsidRDefault="00D715FC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Принцип субсидіарності визнаний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законодавстві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ЄС,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та поширюється на діяльність та систему юридичного контролю. Сутність його полягає у тому, що контрольні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рішення повинні прийматися на найближчому до громадянина рівні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3B80E8" w14:textId="28D3B91B" w:rsidR="00524C44" w:rsidRPr="00C9081D" w:rsidRDefault="00524C44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Згідно з принципом субсидіарності в Європейському Союзі «рішення мають прийматися на найнижчому рівні (на рівні держав-членів, регіонів чи місцевих громад), який є достатньо компетентним для вирішення питання. ЄС втручається лише тоді, коли спільні дії є ефективнішими, ніж дії на місцевому рівні. Це означає, що ЄС не повинен приймати рішення, якщо вони можуть бути краще прийняті на іншому рівні»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558" w:rsidRPr="00C9081D">
        <w:rPr>
          <w:rFonts w:ascii="Times New Roman" w:hAnsi="Times New Roman" w:cs="Times New Roman"/>
          <w:sz w:val="28"/>
          <w:szCs w:val="28"/>
          <w:lang w:val="ru-RU"/>
        </w:rPr>
        <w:t>[5].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8537D6" w14:textId="627708DE" w:rsidR="00DD0A75" w:rsidRPr="00C9081D" w:rsidRDefault="00DD0A75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Відбиття впливу ЄС на контрольну діяльність відбувається в межах функцій</w:t>
      </w:r>
      <w:r w:rsidRPr="00C9081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юридичного контролю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. До них відносять такі функції: 1. Гарантування дотримання європейського права, що означає обов’язок національних органів юридичного контролю забезпечувати дотримання норм європейського права, включаючи директиви, регламенти та рішення Європейського суду. 2. Захист прав людини в межах європейської інтеграції, що сприяє зміцненню цієї функції шляхом впровадження стандартів Європейської конвенції з прав людини та практики Європейського суду з прав людини, ратифікованих в Україні</w:t>
      </w:r>
      <w:r w:rsidR="00106558"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BBDFD6" w14:textId="443A5FCE" w:rsidR="00DD0A75" w:rsidRPr="00C9081D" w:rsidRDefault="00DD0A75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ЄС вплива</w:t>
      </w:r>
      <w:r w:rsidR="007D6B7B" w:rsidRPr="00C908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D6B7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ціл</w:t>
      </w:r>
      <w:r w:rsidR="007D6B7B" w:rsidRPr="00C9081D">
        <w:rPr>
          <w:rFonts w:ascii="Times New Roman" w:hAnsi="Times New Roman" w:cs="Times New Roman"/>
          <w:sz w:val="28"/>
          <w:szCs w:val="28"/>
          <w:lang w:val="uk-UA"/>
        </w:rPr>
        <w:t>ей,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 w:rsidR="007D6B7B" w:rsidRPr="00C908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B7B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та процедур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юридичного контролю в державах-членах</w:t>
      </w:r>
      <w:r w:rsidR="007D6B7B"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86FF71" w14:textId="02664E89" w:rsidR="00DD0A75" w:rsidRPr="00C9081D" w:rsidRDefault="00153473" w:rsidP="00257B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Наступний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чинник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модернізації правого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діяльності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юридичного контролю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– неодмінна імплементація європейського права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у національне законодавство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для всіх країн ЄС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Нові спеціалізовані органи, що забезпечують дотримання європейських стандартів –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антикорупційних агентств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lastRenderedPageBreak/>
        <w:t>Європейської аудиторської палати,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Європейськ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омбудсман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 інш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орган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ів також стають чинником формування суб’єктів –</w:t>
      </w:r>
      <w:r w:rsidR="00257B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національних контролюючих органів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025EB4" w14:textId="3B57B7FC" w:rsidR="00DD0A75" w:rsidRPr="00C9081D" w:rsidRDefault="00DD0A75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Чинниками створення ефективної системи органів юридичного контролю в ЄС також є: чітке закріплення </w:t>
      </w:r>
      <w:r w:rsidRPr="00C9081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повноважень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його суб’єктів та розширення їх компетенцій, в результаті чого суб’єкти отримують нові повноваження, пов’язані з контролем за дотриманням європейського права; міжнародна співпраця, яка передбачає  участь суб’єктів юридичного контролю в міжнародних програмах та ініціативах, спрямованих на підвищення ефективності контролю; а також посилення відповідальності: органи державної влади зобов’язані забезпечувати прозорість та підзвітність у своїй діяльності, відповідно до стандартів юридичного контролю, що гармонізуються з нормами ЄС (Аналітичний центр «Юридична гармонізація»), що підвищує рівень їх відповідальності перед громадянами та європейськими інституціями, що, своєю чергою, сприяє довірі до правової системи</w:t>
      </w:r>
      <w:r w:rsidR="00257B94">
        <w:rPr>
          <w:rFonts w:ascii="Times New Roman" w:hAnsi="Times New Roman" w:cs="Times New Roman"/>
          <w:sz w:val="28"/>
          <w:szCs w:val="28"/>
          <w:lang w:val="uk-UA"/>
        </w:rPr>
        <w:t xml:space="preserve"> та її цінності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F7F242" w14:textId="32AE1B10" w:rsidR="00DD0A75" w:rsidRPr="00C9081D" w:rsidRDefault="007D6B7B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8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вропейська інтеграція </w:t>
      </w:r>
      <w:r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викликає логічний етап формування демократичних 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засад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контрол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у країнах ЄС, сприя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>модернізації європейських правових систем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>, стандартів прозорості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розширенню повноважень </w:t>
      </w:r>
      <w:r w:rsidR="00537703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контрольних </w:t>
      </w:r>
      <w:r w:rsidR="00DD0A75" w:rsidRPr="00C9081D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суб’єктів. </w:t>
      </w:r>
    </w:p>
    <w:p w14:paraId="0BA30EE6" w14:textId="759F7543" w:rsidR="00DD0A75" w:rsidRPr="00257B94" w:rsidRDefault="00257B94" w:rsidP="00257B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lang w:val="uk-UA"/>
        </w:rPr>
      </w:pPr>
      <w:r w:rsidRPr="00257B94">
        <w:rPr>
          <w:rFonts w:ascii="Times New Roman" w:hAnsi="Times New Roman" w:cs="Times New Roman"/>
          <w:b/>
          <w:bCs/>
          <w:lang w:val="uk-UA"/>
        </w:rPr>
        <w:t>Література</w:t>
      </w:r>
      <w:r w:rsidR="00DD0A75" w:rsidRPr="00257B94">
        <w:rPr>
          <w:rFonts w:ascii="Times New Roman" w:hAnsi="Times New Roman" w:cs="Times New Roman"/>
          <w:b/>
          <w:bCs/>
          <w:lang w:val="uk-UA"/>
        </w:rPr>
        <w:t>:</w:t>
      </w:r>
    </w:p>
    <w:p w14:paraId="68FF063F" w14:textId="136F172F" w:rsidR="00E533C1" w:rsidRPr="00257B94" w:rsidRDefault="00E533C1" w:rsidP="009B0F23">
      <w:pPr>
        <w:pStyle w:val="a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B94">
        <w:rPr>
          <w:rFonts w:ascii="Times New Roman" w:hAnsi="Times New Roman" w:cs="Times New Roman"/>
          <w:sz w:val="24"/>
          <w:szCs w:val="24"/>
        </w:rPr>
        <w:t xml:space="preserve">1. </w:t>
      </w:r>
      <w:r w:rsidRPr="00257B94">
        <w:rPr>
          <w:rFonts w:ascii="Times New Roman" w:hAnsi="Times New Roman" w:cs="Times New Roman"/>
          <w:sz w:val="24"/>
          <w:szCs w:val="24"/>
          <w:lang w:val="uk-UA"/>
        </w:rPr>
        <w:t>Рекомендації Європейської Комісії щодо статусу України на членство в ЄС від 17.06.2022. URL: https://www.eeas.europa.eu/delegations/ukraine/рекомендації-європейської-комісії-щодо-статусу-україни-на-членство-в-єс_uk</w:t>
      </w:r>
    </w:p>
    <w:p w14:paraId="1A9FA0F7" w14:textId="27D92491" w:rsidR="00E533C1" w:rsidRPr="00257B94" w:rsidRDefault="00E533C1" w:rsidP="009B0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257B94">
        <w:rPr>
          <w:rFonts w:ascii="Times New Roman" w:hAnsi="Times New Roman" w:cs="Times New Roman"/>
        </w:rPr>
        <w:t xml:space="preserve">2. </w:t>
      </w:r>
      <w:r w:rsidRPr="00257B94">
        <w:rPr>
          <w:rFonts w:ascii="Times New Roman" w:hAnsi="Times New Roman" w:cs="Times New Roman"/>
          <w:lang w:val="uk-UA"/>
        </w:rPr>
        <w:t xml:space="preserve">Чорнобай О. Сучасний стан і перспективи української євроінтеграції. </w:t>
      </w:r>
      <w:r w:rsidRPr="00257B94">
        <w:rPr>
          <w:rFonts w:ascii="Times New Roman" w:hAnsi="Times New Roman" w:cs="Times New Roman"/>
          <w:i/>
          <w:iCs/>
          <w:lang w:val="uk-UA"/>
        </w:rPr>
        <w:t>Вісник Національного університету “Львівська політехніка”. Серія: “Юридичні науки”.</w:t>
      </w:r>
      <w:r w:rsidRPr="00257B94">
        <w:rPr>
          <w:rFonts w:ascii="Times New Roman" w:hAnsi="Times New Roman" w:cs="Times New Roman"/>
          <w:lang w:val="uk-UA"/>
        </w:rPr>
        <w:t xml:space="preserve"> 2021. 1 (29). С.</w:t>
      </w:r>
      <w:r w:rsidRPr="00257B94">
        <w:rPr>
          <w:rFonts w:ascii="Times New Roman" w:hAnsi="Times New Roman" w:cs="Times New Roman"/>
          <w:lang w:val="ru-RU"/>
        </w:rPr>
        <w:t xml:space="preserve"> </w:t>
      </w:r>
      <w:r w:rsidRPr="00257B94">
        <w:rPr>
          <w:rFonts w:ascii="Times New Roman" w:hAnsi="Times New Roman" w:cs="Times New Roman"/>
          <w:lang w:val="uk-UA"/>
        </w:rPr>
        <w:t>66-73.</w:t>
      </w:r>
      <w:r w:rsidRPr="00257B94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257B94">
          <w:rPr>
            <w:rStyle w:val="ac"/>
            <w:rFonts w:ascii="Times New Roman" w:hAnsi="Times New Roman" w:cs="Times New Roman"/>
            <w:color w:val="auto"/>
            <w:u w:val="none"/>
            <w:lang w:val="uk-UA"/>
          </w:rPr>
          <w:t>https://doi.org/10.23939/law2021.29.066</w:t>
        </w:r>
      </w:hyperlink>
    </w:p>
    <w:p w14:paraId="78EEE3CA" w14:textId="505C94E2" w:rsidR="00E533C1" w:rsidRPr="00257B94" w:rsidRDefault="00E533C1" w:rsidP="009B0F23">
      <w:pPr>
        <w:pStyle w:val="a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B94">
        <w:rPr>
          <w:rFonts w:ascii="Times New Roman" w:hAnsi="Times New Roman" w:cs="Times New Roman"/>
          <w:sz w:val="24"/>
          <w:szCs w:val="24"/>
        </w:rPr>
        <w:t xml:space="preserve">3.  </w:t>
      </w:r>
      <w:r w:rsidRPr="00257B94">
        <w:rPr>
          <w:rFonts w:ascii="Times New Roman" w:hAnsi="Times New Roman" w:cs="Times New Roman"/>
          <w:sz w:val="24"/>
          <w:szCs w:val="24"/>
          <w:lang w:val="uk-UA"/>
        </w:rPr>
        <w:t>Систематизація законодавства України як важлива складова правотворчої діяльності в умовах євроінтеграції: збірник наукових праць / за ред. О. О. Кота, А. Б. Гриняка, Н. В. Міловської. Київ. Алерта, 2024. 248 с.</w:t>
      </w:r>
    </w:p>
    <w:p w14:paraId="15FE2445" w14:textId="22E7EEF8" w:rsidR="00E533C1" w:rsidRPr="00257B94" w:rsidRDefault="00E533C1" w:rsidP="009B0F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lang w:val="uk-UA"/>
        </w:rPr>
      </w:pPr>
      <w:r w:rsidRPr="00257B94">
        <w:rPr>
          <w:rFonts w:ascii="Times New Roman" w:hAnsi="Times New Roman" w:cs="Times New Roman"/>
        </w:rPr>
        <w:lastRenderedPageBreak/>
        <w:t xml:space="preserve">4. </w:t>
      </w:r>
      <w:r w:rsidRPr="00257B94">
        <w:rPr>
          <w:rFonts w:ascii="Times New Roman" w:hAnsi="Times New Roman" w:cs="Times New Roman"/>
          <w:lang w:val="uk-UA"/>
        </w:rPr>
        <w:t xml:space="preserve">Кельман М., Кельман Р. </w:t>
      </w:r>
      <w:r w:rsidRPr="00257B94">
        <w:rPr>
          <w:rFonts w:ascii="Times New Roman" w:hAnsi="Times New Roman" w:cs="Times New Roman"/>
        </w:rPr>
        <w:t>Принцип верховенства права в діяльності органів судової влади</w:t>
      </w:r>
      <w:r w:rsidRPr="00257B94">
        <w:rPr>
          <w:rFonts w:ascii="Times New Roman" w:hAnsi="Times New Roman" w:cs="Times New Roman"/>
          <w:lang w:val="uk-UA"/>
        </w:rPr>
        <w:t>.</w:t>
      </w:r>
      <w:r w:rsidRPr="00257B94">
        <w:rPr>
          <w:rFonts w:ascii="Times New Roman" w:hAnsi="Times New Roman" w:cs="Times New Roman"/>
          <w:lang w:val="ru-RU"/>
        </w:rPr>
        <w:t xml:space="preserve"> </w:t>
      </w:r>
      <w:r w:rsidRPr="00257B94">
        <w:rPr>
          <w:rFonts w:ascii="Times New Roman" w:hAnsi="Times New Roman" w:cs="Times New Roman"/>
        </w:rPr>
        <w:t>Вісник Національного університету “Львівська політехніка”. Серія: “Юридичні науки”</w:t>
      </w:r>
      <w:r w:rsidRPr="00257B94">
        <w:rPr>
          <w:rFonts w:ascii="Times New Roman" w:hAnsi="Times New Roman" w:cs="Times New Roman"/>
          <w:lang w:val="uk-UA"/>
        </w:rPr>
        <w:t xml:space="preserve">. </w:t>
      </w:r>
      <w:r w:rsidRPr="00257B94">
        <w:rPr>
          <w:rFonts w:ascii="Times New Roman" w:hAnsi="Times New Roman" w:cs="Times New Roman"/>
        </w:rPr>
        <w:t>№ 3 (31), 2021</w:t>
      </w:r>
      <w:r w:rsidRPr="00257B94">
        <w:rPr>
          <w:rFonts w:ascii="Times New Roman" w:hAnsi="Times New Roman" w:cs="Times New Roman"/>
          <w:lang w:val="uk-UA"/>
        </w:rPr>
        <w:t>. С. 61-69.</w:t>
      </w:r>
      <w:r w:rsidRPr="00257B94">
        <w:rPr>
          <w:rFonts w:ascii="Times New Roman" w:hAnsi="Times New Roman" w:cs="Times New Roman"/>
        </w:rPr>
        <w:t xml:space="preserve"> http: //doi.org/10.23939/law2021.31.061</w:t>
      </w:r>
    </w:p>
    <w:p w14:paraId="01BC970F" w14:textId="6DAA93C9" w:rsidR="00F55178" w:rsidRPr="00257B94" w:rsidRDefault="00E533C1" w:rsidP="009B0F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257B94">
        <w:rPr>
          <w:rFonts w:ascii="Times New Roman" w:hAnsi="Times New Roman" w:cs="Times New Roman"/>
        </w:rPr>
        <w:t>5.https://www.google.com/search?q=%D0%A1%D1%83%D0%B1%D1%81%D0%B8%D0%B4%D1%96%D0%B0%D1%80%D0%BD%D1%96%D1%81%D1%82%D1%8C+%D0%B2+%D0%84%D0%A1&amp;oq=%D0%A1%D1%83%D0%B1%D1%81%D0%B8%D0%B4%D1%96%D0%B0%D1%80%D0%BD%D1%96%D1%81%D1%82%D1%8C+%D0%B2+%D0%84%D0%A1&amp;gs_lcrp=EgZjaHJvbWUyBggAEEUYOTIICAEQABgWGB4yBwgCEAAY7wUyCggDEAAYgAQYogQyCggEEAAYgAQYogQyBwgFEAAY7wXSAQg2NTE1ajBqN6gCALACAA&amp;sourceid=chrome&amp;ie=U</w:t>
      </w:r>
    </w:p>
    <w:p w14:paraId="0DDEEBDD" w14:textId="77777777" w:rsidR="00F55178" w:rsidRPr="00DD0A75" w:rsidRDefault="00F55178" w:rsidP="009B0F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5178" w:rsidRPr="00DD0A75" w:rsidSect="00D461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DEC56" w14:textId="77777777" w:rsidR="00866207" w:rsidRDefault="00866207" w:rsidP="003C3B25">
      <w:pPr>
        <w:spacing w:after="0" w:line="240" w:lineRule="auto"/>
      </w:pPr>
      <w:r>
        <w:separator/>
      </w:r>
    </w:p>
  </w:endnote>
  <w:endnote w:type="continuationSeparator" w:id="0">
    <w:p w14:paraId="3331C0CB" w14:textId="77777777" w:rsidR="00866207" w:rsidRDefault="00866207" w:rsidP="003C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85A5" w14:textId="77777777" w:rsidR="00866207" w:rsidRDefault="00866207" w:rsidP="003C3B25">
      <w:pPr>
        <w:spacing w:after="0" w:line="240" w:lineRule="auto"/>
      </w:pPr>
      <w:r>
        <w:separator/>
      </w:r>
    </w:p>
  </w:footnote>
  <w:footnote w:type="continuationSeparator" w:id="0">
    <w:p w14:paraId="558DBB77" w14:textId="77777777" w:rsidR="00866207" w:rsidRDefault="00866207" w:rsidP="003C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6D2A"/>
    <w:multiLevelType w:val="multilevel"/>
    <w:tmpl w:val="6A3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449C"/>
    <w:multiLevelType w:val="multilevel"/>
    <w:tmpl w:val="D0B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E5098"/>
    <w:multiLevelType w:val="multilevel"/>
    <w:tmpl w:val="14DE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576216">
    <w:abstractNumId w:val="2"/>
  </w:num>
  <w:num w:numId="2" w16cid:durableId="1142188423">
    <w:abstractNumId w:val="0"/>
  </w:num>
  <w:num w:numId="3" w16cid:durableId="193528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75"/>
    <w:rsid w:val="0005744E"/>
    <w:rsid w:val="00106558"/>
    <w:rsid w:val="00153473"/>
    <w:rsid w:val="001B292A"/>
    <w:rsid w:val="001D0C56"/>
    <w:rsid w:val="00257B94"/>
    <w:rsid w:val="002812E8"/>
    <w:rsid w:val="002C07A3"/>
    <w:rsid w:val="002E35B0"/>
    <w:rsid w:val="00315B07"/>
    <w:rsid w:val="00387035"/>
    <w:rsid w:val="003A7D28"/>
    <w:rsid w:val="003C3B25"/>
    <w:rsid w:val="003C757D"/>
    <w:rsid w:val="004B415C"/>
    <w:rsid w:val="004D0FA9"/>
    <w:rsid w:val="004D5D5E"/>
    <w:rsid w:val="00524C44"/>
    <w:rsid w:val="00537703"/>
    <w:rsid w:val="006B784A"/>
    <w:rsid w:val="006E5ADB"/>
    <w:rsid w:val="007715BB"/>
    <w:rsid w:val="007D6B7B"/>
    <w:rsid w:val="008308FF"/>
    <w:rsid w:val="0084432B"/>
    <w:rsid w:val="00866207"/>
    <w:rsid w:val="00916B74"/>
    <w:rsid w:val="009B0F23"/>
    <w:rsid w:val="009B7684"/>
    <w:rsid w:val="009C1F65"/>
    <w:rsid w:val="00A10316"/>
    <w:rsid w:val="00A31C9B"/>
    <w:rsid w:val="00AC5751"/>
    <w:rsid w:val="00B15DD7"/>
    <w:rsid w:val="00B417B0"/>
    <w:rsid w:val="00B6554B"/>
    <w:rsid w:val="00C029A8"/>
    <w:rsid w:val="00C235E5"/>
    <w:rsid w:val="00C9081D"/>
    <w:rsid w:val="00D4617A"/>
    <w:rsid w:val="00D64B41"/>
    <w:rsid w:val="00D715FC"/>
    <w:rsid w:val="00DD0A75"/>
    <w:rsid w:val="00E11909"/>
    <w:rsid w:val="00E533C1"/>
    <w:rsid w:val="00ED5C82"/>
    <w:rsid w:val="00ED6127"/>
    <w:rsid w:val="00EF6483"/>
    <w:rsid w:val="00F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AA7"/>
  <w15:chartTrackingRefBased/>
  <w15:docId w15:val="{C3DE80BA-CECE-4C12-9145-31AEA97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A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A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A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A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A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A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A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A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A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A7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D0A7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D0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55178"/>
    <w:rPr>
      <w:color w:val="96607D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C3B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3B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3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3939/law2021.29.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2025-07-04T22:10:00Z</dcterms:created>
  <dcterms:modified xsi:type="dcterms:W3CDTF">2025-07-08T15:23:00Z</dcterms:modified>
</cp:coreProperties>
</file>