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22" w:rsidRPr="007C5592" w:rsidRDefault="006E0F22" w:rsidP="0093749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E0F22">
        <w:rPr>
          <w:rFonts w:ascii="Times New Roman" w:hAnsi="Times New Roman" w:cs="Times New Roman"/>
          <w:b/>
          <w:sz w:val="24"/>
          <w:szCs w:val="24"/>
          <w:lang w:val="uk-UA"/>
        </w:rPr>
        <w:t>УДК 339.9</w:t>
      </w:r>
    </w:p>
    <w:p w:rsidR="007C5592" w:rsidRPr="007C5592" w:rsidRDefault="007C5592" w:rsidP="007C559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C5592">
        <w:rPr>
          <w:rFonts w:ascii="Times New Roman" w:hAnsi="Times New Roman" w:cs="Times New Roman"/>
          <w:sz w:val="24"/>
          <w:szCs w:val="24"/>
        </w:rPr>
        <w:tab/>
      </w:r>
      <w:r w:rsidRPr="007C5592">
        <w:rPr>
          <w:rFonts w:ascii="Times New Roman" w:hAnsi="Times New Roman" w:cs="Times New Roman"/>
          <w:sz w:val="24"/>
          <w:szCs w:val="24"/>
          <w:lang w:val="uk-UA"/>
        </w:rPr>
        <w:t>О.О..</w:t>
      </w:r>
      <w:proofErr w:type="spellStart"/>
      <w:r w:rsidRPr="007C5592">
        <w:rPr>
          <w:rFonts w:ascii="Times New Roman" w:hAnsi="Times New Roman" w:cs="Times New Roman"/>
          <w:sz w:val="24"/>
          <w:szCs w:val="24"/>
          <w:lang w:val="uk-UA"/>
        </w:rPr>
        <w:t>Параца</w:t>
      </w:r>
      <w:proofErr w:type="spellEnd"/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C5592" w:rsidRPr="007C5592" w:rsidRDefault="007C5592" w:rsidP="007C559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C5592">
        <w:rPr>
          <w:rFonts w:ascii="Times New Roman" w:hAnsi="Times New Roman" w:cs="Times New Roman"/>
          <w:sz w:val="24"/>
          <w:szCs w:val="24"/>
          <w:lang w:val="uk-UA"/>
        </w:rPr>
        <w:t>здобувач другого (магістерського) рівня вищої освіти</w:t>
      </w:r>
    </w:p>
    <w:p w:rsidR="007C5592" w:rsidRPr="007C5592" w:rsidRDefault="007C5592" w:rsidP="007C559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C5592">
        <w:rPr>
          <w:rFonts w:ascii="Times New Roman" w:hAnsi="Times New Roman" w:cs="Times New Roman"/>
          <w:sz w:val="24"/>
          <w:szCs w:val="24"/>
          <w:lang w:val="uk-UA"/>
        </w:rPr>
        <w:t>спеціальності 292 «Міжнародні економічні відносини»,</w:t>
      </w:r>
    </w:p>
    <w:p w:rsidR="007C5592" w:rsidRPr="007C5592" w:rsidRDefault="007C5592" w:rsidP="007C559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C5592">
        <w:rPr>
          <w:rFonts w:ascii="Times New Roman" w:hAnsi="Times New Roman" w:cs="Times New Roman"/>
          <w:sz w:val="24"/>
          <w:szCs w:val="24"/>
          <w:lang w:val="uk-UA"/>
        </w:rPr>
        <w:t>Національний авіаційний університет, м. Київ</w:t>
      </w:r>
    </w:p>
    <w:p w:rsidR="007C5592" w:rsidRPr="007C5592" w:rsidRDefault="007C5592" w:rsidP="007C559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Науковий керівник – А.А. </w:t>
      </w:r>
      <w:proofErr w:type="spellStart"/>
      <w:r w:rsidRPr="007C5592">
        <w:rPr>
          <w:rFonts w:ascii="Times New Roman" w:hAnsi="Times New Roman" w:cs="Times New Roman"/>
          <w:sz w:val="24"/>
          <w:szCs w:val="24"/>
          <w:lang w:val="uk-UA"/>
        </w:rPr>
        <w:t>Прокоп’єва</w:t>
      </w:r>
      <w:proofErr w:type="spellEnd"/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7C5592">
        <w:rPr>
          <w:rFonts w:ascii="Times New Roman" w:hAnsi="Times New Roman" w:cs="Times New Roman"/>
          <w:sz w:val="24"/>
          <w:szCs w:val="24"/>
          <w:lang w:val="uk-UA"/>
        </w:rPr>
        <w:t>к.е.н</w:t>
      </w:r>
      <w:proofErr w:type="spellEnd"/>
      <w:r w:rsidRPr="007C5592">
        <w:rPr>
          <w:rFonts w:ascii="Times New Roman" w:hAnsi="Times New Roman" w:cs="Times New Roman"/>
          <w:sz w:val="24"/>
          <w:szCs w:val="24"/>
          <w:lang w:val="uk-UA"/>
        </w:rPr>
        <w:t>., доцент,</w:t>
      </w:r>
    </w:p>
    <w:p w:rsidR="007C5592" w:rsidRPr="007C5592" w:rsidRDefault="007C5592" w:rsidP="007C559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C5592">
        <w:rPr>
          <w:rFonts w:ascii="Times New Roman" w:hAnsi="Times New Roman" w:cs="Times New Roman"/>
          <w:sz w:val="24"/>
          <w:szCs w:val="24"/>
          <w:lang w:val="uk-UA"/>
        </w:rPr>
        <w:t>доцент кафедри міжнародних економічних відносин і бізнесу,</w:t>
      </w:r>
    </w:p>
    <w:p w:rsidR="007C5592" w:rsidRPr="007C5592" w:rsidRDefault="007C5592" w:rsidP="007C559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C5592">
        <w:rPr>
          <w:rFonts w:ascii="Times New Roman" w:hAnsi="Times New Roman" w:cs="Times New Roman"/>
          <w:sz w:val="24"/>
          <w:szCs w:val="24"/>
          <w:lang w:val="uk-UA"/>
        </w:rPr>
        <w:t>Національний авіаційний університет, м. Київ</w:t>
      </w:r>
    </w:p>
    <w:p w:rsidR="007C5592" w:rsidRPr="006E0F22" w:rsidRDefault="007C5592" w:rsidP="007C5592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0F22" w:rsidRPr="007C5592" w:rsidRDefault="006E0F22" w:rsidP="009374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F5770" w:rsidRPr="007C5592" w:rsidRDefault="007C5592" w:rsidP="006E0F2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55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АНАЛІЗ ТОРГІВЛІ ПОСЛУГАМИ МІЖ УРАЇНОЮ ТА КРАЇНАМИ ЄС </w:t>
      </w:r>
    </w:p>
    <w:p w:rsidR="007C5592" w:rsidRPr="007C5592" w:rsidRDefault="007C5592" w:rsidP="007C559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Торгівля послугами між Україною та країнами Європейського Союзу (ЄС) відіграє важливу роль у економічних відносинах між сторонами. Україна прагне зміцнити співпрацю з ЄС у сфері послуг і наблизити свою законодавчу базу до європейських стандартів. Ключові аспекти торгівлі послугами між Україною та країнами Є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С. 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Європейський Союз є </w:t>
      </w:r>
      <w:r w:rsidRPr="007C5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головним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торговельним партнером України. </w:t>
      </w: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Загальний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торговельних відносин між Україною та ЄС у 2022 році наданий у Додатку В (за даними Міністерства економіки України від 23.02.2023 року). За результатами 2022 року </w:t>
      </w:r>
      <w:r w:rsidRPr="007C5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питома вага торгівлі товарами та послугами з ЄС склала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7C5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53,6%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від загального обсягу торгівлі України (у 2021 році – 39,1%) (див. Рис.2.10.).</w:t>
      </w: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C5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6 червня 2023 року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набува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C55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чинності</w:t>
      </w:r>
      <w:r w:rsidRPr="007C55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gtFrame="_blank" w:history="1">
        <w:r w:rsidRPr="007C5592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Регламент Європейського Парламенту та Ради № 2023/1077 від 31 травня 2023 року</w:t>
        </w:r>
      </w:hyperlink>
      <w:r w:rsidRPr="007C55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C55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продовження ЄС ще на рік заходів з тимчасової лібералізації торгівлі з Україною, які охоплюють скасування усіх мит, квот і торговельних захисних обмежень щодо українського експорту, відповідно до Регламенту Європейського Парламенту та Ради № 2022/870 від 30.05.2022.</w:t>
      </w: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Ухвалений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 </w:t>
      </w:r>
      <w:proofErr w:type="spellStart"/>
      <w:r w:rsidRPr="007C5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діятиме</w:t>
      </w:r>
      <w:proofErr w:type="spellEnd"/>
      <w:r w:rsidRPr="007C5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 6 </w:t>
      </w:r>
      <w:proofErr w:type="spellStart"/>
      <w:r w:rsidRPr="007C5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червня</w:t>
      </w:r>
      <w:proofErr w:type="spellEnd"/>
      <w:r w:rsidRPr="007C5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2024 року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і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стосуватиметься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5592" w:rsidRPr="007C5592" w:rsidRDefault="007C5592" w:rsidP="007C559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Скасування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 Угоди про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асоціацію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Україною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однієї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Європейським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Союзом,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Європейським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співтовариством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атомної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їхніми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державами-членами, з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поглибленої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всеохоплюючої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вільної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торгівлі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5592" w:rsidRPr="007C5592" w:rsidRDefault="007C5592" w:rsidP="007C559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овочів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підпадають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вхідних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592" w:rsidRPr="007C5592" w:rsidRDefault="007C5592" w:rsidP="007C559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сільськогосподарської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переробки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підпадають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квот;</w:t>
      </w:r>
    </w:p>
    <w:p w:rsidR="007C5592" w:rsidRPr="007C5592" w:rsidRDefault="007C5592" w:rsidP="007C559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промислових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мита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припинили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діяти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1 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 року.</w:t>
      </w:r>
    </w:p>
    <w:p w:rsidR="007C5592" w:rsidRPr="007C5592" w:rsidRDefault="007C5592" w:rsidP="007C559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Зупинення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справляння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антидемпінгового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мита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імпорт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походить з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дату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Регламентом.</w:t>
      </w:r>
    </w:p>
    <w:p w:rsidR="007C5592" w:rsidRPr="007C5592" w:rsidRDefault="007C5592" w:rsidP="007C5592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імпорту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імпорту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походженням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C55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53A295" wp14:editId="3590FC94">
            <wp:extent cx="5972175" cy="3562350"/>
            <wp:effectExtent l="0" t="0" r="9525" b="0"/>
            <wp:docPr id="1" name="Діагра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Рис.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Як змінилася торгівля товарами і послугами між Україною і ЄС.</w:t>
      </w: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Примітка. Побудовано автором за даними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статистик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України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 з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лібералізації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торгівлі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свою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чергу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зобов’язують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дотримуватись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низки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умов:</w:t>
      </w:r>
    </w:p>
    <w:p w:rsidR="007C5592" w:rsidRPr="007C5592" w:rsidRDefault="007C5592" w:rsidP="007C5592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походження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 в рамках Угоди про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асоціацію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5592" w:rsidRPr="007C5592" w:rsidRDefault="007C5592" w:rsidP="007C5592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утримання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обмежень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імпорт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ЄС,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включаючи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і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посилення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існуючих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обмежень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окрім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зумовлених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необхідністю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війни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C5592" w:rsidRPr="007C5592" w:rsidRDefault="007C5592" w:rsidP="007C5592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Україною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поваги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свобод, верховенства права, 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боротьби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корупцією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протиправною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діяльністю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статтями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 3 та 22 Угоди про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асоціацію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Україною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правил, ЄС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залишає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собою право провести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розслідування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 результатами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повністю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зупинити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преференцій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Окрім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збільшення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імпорту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деяких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сільськогосподарських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ЄС, 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пов’язане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занепокоєння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держав-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ЄС,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оновлений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захисного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механізму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підтримки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ринку ЄС у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необхідності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Регламенту,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прискорені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застосовуватимуться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регулярного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можливістю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потенційного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повторного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запровадження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категорій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1].</w:t>
      </w: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квітня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року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робоча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російських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санкцій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ідписала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План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дій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Посилення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санкцій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рф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ється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безпосередньо і міжнародної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торігвлі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послугами. Так, наприклад, в документі зазначається, що «Необхідно не лише суворо запобігати надходженню технологій подвійного призначення (або будь-яких їхніх потенційно подвійних компонентів) до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рф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її відомих партнерів, які сприяють таким потокам, але й заблокувати та вимкнути будь-які наявні ІТ-ресурси західних компаній, розгорнуті на території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росії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(наприклад, центри обробки даних, серверні кластери, склади для ІТ-ланцюгів постачання, ліцензійне програмне забезпечення (проміжне програмне забезпечення, мікропрограми та пов'язані з ними контролери пристроїв,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вебпрограми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тощо), щоб унеможливити їхнє повторне використання російським урядом і його партнерами на шкоду інтересам України та її союзників.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росія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 лише використовує західне програмне забезпечення та ІТ-інфраструктуру у військових і суміжних з ними цілях (див. 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для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детального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але й доступ до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інфраструктури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мереж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продовжує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можливість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гібридну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війну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європейських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американських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систем.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кібератаки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фінансуються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державою.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повномасштабного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вторгнення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2022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Російська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Федерація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активізувала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вразливостей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суверенної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інфраструктури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союзників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урядових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вебсайтів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телерадіокомпаній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широкого спектру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пов'язаних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установами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організаціями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громадянського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суспільства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минулого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інтенсивність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атак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значно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зросла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продовжує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загрозу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критично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важливу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енергетичну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інфраструктуру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потенційно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впливаючи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урядових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пригнічуючи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економічну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активність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основних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українського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експорту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країн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ЄС належать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Німеччина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Велика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Британія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Польща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Кіпр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Нідерланди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Разом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країн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становлять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%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загального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експорту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України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європейськии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ринок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2018-2022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Британія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складала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середньому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13,8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%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українського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експорту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ЄС). </w:t>
      </w: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Обсяги експорту до усіх цих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країн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після початку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̈ ПВЗВТ, крім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Великоі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̈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Британіі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̈, мали швидкі темпи зростання.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Найшвидше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2016-2022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зростав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експорт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Польщі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середньому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32,8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%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Нідерландів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28,4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%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Кіпру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Німеччини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10,5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%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8,5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%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Темпи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зростання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експорту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̈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Британіі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̈ становили у </w:t>
      </w:r>
      <w:proofErr w:type="spell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середньому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2,3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%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gramEnd"/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3]</w:t>
      </w: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C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Згідно з Угодою про асоціацію між Україною та ЄС, угода містить положення про підвищення рівня відкритості та сприяння торгівлі послугами між сторонами.</w:t>
      </w:r>
    </w:p>
    <w:p w:rsidR="007C5592" w:rsidRPr="007C5592" w:rsidRDefault="007C5592" w:rsidP="007C559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C5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</w:t>
      </w:r>
      <w:proofErr w:type="spellStart"/>
      <w:r w:rsidRPr="007C5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використаних</w:t>
      </w:r>
      <w:proofErr w:type="spellEnd"/>
      <w:r w:rsidRPr="007C5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C5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джерел</w:t>
      </w:r>
      <w:proofErr w:type="spellEnd"/>
      <w:r w:rsidRPr="007C5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C5592" w:rsidRPr="007C5592" w:rsidRDefault="007C5592" w:rsidP="007C559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5592">
        <w:rPr>
          <w:rFonts w:ascii="Times New Roman" w:hAnsi="Times New Roman" w:cs="Times New Roman"/>
          <w:sz w:val="24"/>
          <w:szCs w:val="24"/>
          <w:lang w:val="uk-UA"/>
        </w:rPr>
        <w:t>Ukraine’s</w:t>
      </w:r>
      <w:proofErr w:type="spellEnd"/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sz w:val="24"/>
          <w:szCs w:val="24"/>
          <w:lang w:val="uk-UA"/>
        </w:rPr>
        <w:t>recovery</w:t>
      </w:r>
      <w:proofErr w:type="spellEnd"/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sz w:val="24"/>
          <w:szCs w:val="24"/>
          <w:lang w:val="uk-UA"/>
        </w:rPr>
        <w:t>challenge</w:t>
      </w:r>
      <w:proofErr w:type="spellEnd"/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>Centre</w:t>
      </w:r>
      <w:proofErr w:type="spellEnd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>for</w:t>
      </w:r>
      <w:proofErr w:type="spellEnd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>Economic</w:t>
      </w:r>
      <w:proofErr w:type="spellEnd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>Policy</w:t>
      </w:r>
      <w:proofErr w:type="spellEnd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>Research</w:t>
      </w:r>
      <w:proofErr w:type="spellEnd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 веб сайт. </w:t>
      </w:r>
      <w:r w:rsidRPr="007C559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https://cepr.org/voxeu/columns/ukraines-recovery-challenge</w:t>
        </w:r>
      </w:hyperlink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10.05.2023).</w:t>
      </w:r>
    </w:p>
    <w:p w:rsidR="007C5592" w:rsidRPr="007C5592" w:rsidRDefault="007C5592" w:rsidP="007C559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5592">
        <w:rPr>
          <w:rFonts w:ascii="Times New Roman" w:hAnsi="Times New Roman" w:cs="Times New Roman"/>
          <w:sz w:val="24"/>
          <w:szCs w:val="24"/>
          <w:lang w:val="uk-UA"/>
        </w:rPr>
        <w:t>Assessment</w:t>
      </w:r>
      <w:proofErr w:type="spellEnd"/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sz w:val="24"/>
          <w:szCs w:val="24"/>
          <w:lang w:val="uk-UA"/>
        </w:rPr>
        <w:t>damages</w:t>
      </w:r>
      <w:proofErr w:type="spellEnd"/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sz w:val="24"/>
          <w:szCs w:val="24"/>
          <w:lang w:val="uk-UA"/>
        </w:rPr>
        <w:t>to</w:t>
      </w:r>
      <w:proofErr w:type="spellEnd"/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sz w:val="24"/>
          <w:szCs w:val="24"/>
          <w:lang w:val="uk-UA"/>
        </w:rPr>
        <w:t>Ukraine’s</w:t>
      </w:r>
      <w:proofErr w:type="spellEnd"/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sz w:val="24"/>
          <w:szCs w:val="24"/>
          <w:lang w:val="uk-UA"/>
        </w:rPr>
        <w:t>productive</w:t>
      </w:r>
      <w:proofErr w:type="spellEnd"/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sz w:val="24"/>
          <w:szCs w:val="24"/>
          <w:lang w:val="uk-UA"/>
        </w:rPr>
        <w:t>capacity</w:t>
      </w:r>
      <w:proofErr w:type="spellEnd"/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C5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>Centre</w:t>
      </w:r>
      <w:proofErr w:type="spellEnd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>for</w:t>
      </w:r>
      <w:proofErr w:type="spellEnd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>Economic</w:t>
      </w:r>
      <w:proofErr w:type="spellEnd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>Policy</w:t>
      </w:r>
      <w:proofErr w:type="spellEnd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>Research</w:t>
      </w:r>
      <w:proofErr w:type="spellEnd"/>
      <w:r w:rsidRPr="007C5592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 веб сайт. </w:t>
      </w:r>
      <w:r w:rsidRPr="007C559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8" w:history="1"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proofErr w:type="spellStart"/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cepr</w:t>
        </w:r>
        <w:proofErr w:type="spellEnd"/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proofErr w:type="spellStart"/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voxeu</w:t>
        </w:r>
        <w:proofErr w:type="spellEnd"/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columns</w:t>
        </w:r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assessment</w:t>
        </w:r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damages</w:t>
        </w:r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proofErr w:type="spellStart"/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ukraines</w:t>
        </w:r>
        <w:proofErr w:type="spellEnd"/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productive</w:t>
        </w:r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capacity</w:t>
        </w:r>
      </w:hyperlink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10.05.2023).</w:t>
      </w:r>
    </w:p>
    <w:p w:rsidR="007C5592" w:rsidRPr="007C5592" w:rsidRDefault="007C5592" w:rsidP="007C559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Тетяна Богдан : Фінансово-економічні наслідки війни веб сайт. </w:t>
      </w:r>
      <w:r w:rsidRPr="007C559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C5592">
        <w:rPr>
          <w:rFonts w:ascii="Times New Roman" w:hAnsi="Times New Roman" w:cs="Times New Roman"/>
          <w:sz w:val="24"/>
          <w:szCs w:val="24"/>
          <w:lang w:val="uk-UA"/>
        </w:rPr>
        <w:t>: </w:t>
      </w:r>
      <w:hyperlink r:id="rId9" w:history="1">
        <w:r w:rsidRPr="007C559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https://lb.ua/blog/tetiana_bohdan/550614_finansovoekonomichni_naslidki.html</w:t>
        </w:r>
      </w:hyperlink>
      <w:r w:rsidRPr="007C55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5592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spellStart"/>
      <w:r w:rsidRPr="007C5592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7C5592">
        <w:rPr>
          <w:rFonts w:ascii="Times New Roman" w:hAnsi="Times New Roman" w:cs="Times New Roman"/>
          <w:sz w:val="24"/>
          <w:szCs w:val="24"/>
        </w:rPr>
        <w:t xml:space="preserve"> 10.05.2023).</w:t>
      </w:r>
    </w:p>
    <w:p w:rsidR="007C5592" w:rsidRDefault="007C5592" w:rsidP="007C559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5592" w:rsidRPr="006E0F22" w:rsidRDefault="007C5592" w:rsidP="007C559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Подано до друку </w:t>
      </w:r>
      <w:bookmarkStart w:id="0" w:name="_GoBack"/>
      <w:bookmarkEnd w:id="0"/>
    </w:p>
    <w:sectPr w:rsidR="007C5592" w:rsidRPr="006E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266D"/>
    <w:multiLevelType w:val="multilevel"/>
    <w:tmpl w:val="A0E6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85BC8"/>
    <w:multiLevelType w:val="hybridMultilevel"/>
    <w:tmpl w:val="929292C8"/>
    <w:lvl w:ilvl="0" w:tplc="4BC098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FA4E18"/>
    <w:multiLevelType w:val="hybridMultilevel"/>
    <w:tmpl w:val="54467372"/>
    <w:lvl w:ilvl="0" w:tplc="4BC09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4487C"/>
    <w:multiLevelType w:val="hybridMultilevel"/>
    <w:tmpl w:val="9F90E644"/>
    <w:lvl w:ilvl="0" w:tplc="A91C3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91"/>
    <w:rsid w:val="001A0514"/>
    <w:rsid w:val="003F5770"/>
    <w:rsid w:val="006E0F22"/>
    <w:rsid w:val="007C5592"/>
    <w:rsid w:val="0093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B0E2"/>
  <w15:chartTrackingRefBased/>
  <w15:docId w15:val="{9D7BDB09-4F48-463B-B0E5-6E2C7F35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pr.org/voxeu/columns/assessment-damages-ukraines-productive-capac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pr.org/voxeu/columns/ukraines-recovery-challe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eur-lex.europa.eu/search.html?scope=EURLEX&amp;text=2023%2F1077&amp;lang=en&amp;type=quick&amp;qid=16859455184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b.ua/blog/tetiana_bohdan/550614_finansovoekonomichni_naslidki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sya\OneDrive\&#1056;&#1072;&#1073;&#1086;&#1095;&#1080;&#1081;%20&#1089;&#1090;&#1086;&#1083;\&#1047;&#1072;&#1075;&#1088;&#1091;&#1079;&#1082;&#1080;\&#1053;&#1086;&#1074;&#1080;&#1081;%20&#1051;&#1080;&#1089;&#1090;%20Microsoft%20Excel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Аркуш4!$B$2</c:f>
              <c:strCache>
                <c:ptCount val="1"/>
                <c:pt idx="0">
                  <c:v>Експорт</c:v>
                </c:pt>
              </c:strCache>
            </c:strRef>
          </c:tx>
          <c:invertIfNegative val="0"/>
          <c:dLbls>
            <c:spPr>
              <a:gradFill rotWithShape="1">
                <a:gsLst>
                  <a:gs pos="0">
                    <a:schemeClr val="dk1">
                      <a:tint val="50000"/>
                      <a:satMod val="300000"/>
                    </a:schemeClr>
                  </a:gs>
                  <a:gs pos="35000">
                    <a:schemeClr val="dk1">
                      <a:tint val="37000"/>
                      <a:satMod val="300000"/>
                    </a:schemeClr>
                  </a:gs>
                  <a:gs pos="100000">
                    <a:schemeClr val="dk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dk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Аркуш4!$A$3:$A$9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Аркуш4!$B$3:$B$9</c:f>
              <c:numCache>
                <c:formatCode>General</c:formatCode>
                <c:ptCount val="7"/>
                <c:pt idx="0">
                  <c:v>13</c:v>
                </c:pt>
                <c:pt idx="1">
                  <c:v>13.5</c:v>
                </c:pt>
                <c:pt idx="2">
                  <c:v>17.5</c:v>
                </c:pt>
                <c:pt idx="3">
                  <c:v>20.2</c:v>
                </c:pt>
                <c:pt idx="4">
                  <c:v>20.7</c:v>
                </c:pt>
                <c:pt idx="5">
                  <c:v>18.600000000000001</c:v>
                </c:pt>
                <c:pt idx="6">
                  <c:v>26.8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C5-4071-BF9B-AC627EAC50C8}"/>
            </c:ext>
          </c:extLst>
        </c:ser>
        <c:ser>
          <c:idx val="1"/>
          <c:order val="1"/>
          <c:tx>
            <c:strRef>
              <c:f>Аркуш4!$C$2</c:f>
              <c:strCache>
                <c:ptCount val="1"/>
                <c:pt idx="0">
                  <c:v>Імпорт</c:v>
                </c:pt>
              </c:strCache>
            </c:strRef>
          </c:tx>
          <c:invertIfNegative val="0"/>
          <c:dLbls>
            <c:spPr>
              <a:gradFill rotWithShape="1">
                <a:gsLst>
                  <a:gs pos="0">
                    <a:schemeClr val="dk1">
                      <a:tint val="50000"/>
                      <a:satMod val="300000"/>
                    </a:schemeClr>
                  </a:gs>
                  <a:gs pos="35000">
                    <a:schemeClr val="dk1">
                      <a:tint val="37000"/>
                      <a:satMod val="300000"/>
                    </a:schemeClr>
                  </a:gs>
                  <a:gs pos="100000">
                    <a:schemeClr val="dk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dk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Аркуш4!$A$3:$A$9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Аркуш4!$C$3:$C$9</c:f>
              <c:numCache>
                <c:formatCode>General</c:formatCode>
                <c:ptCount val="7"/>
                <c:pt idx="0">
                  <c:v>15.3</c:v>
                </c:pt>
                <c:pt idx="1">
                  <c:v>17.100000000000001</c:v>
                </c:pt>
                <c:pt idx="2">
                  <c:v>20.8</c:v>
                </c:pt>
                <c:pt idx="3">
                  <c:v>23.2</c:v>
                </c:pt>
                <c:pt idx="4">
                  <c:v>25</c:v>
                </c:pt>
                <c:pt idx="5">
                  <c:v>23.5</c:v>
                </c:pt>
                <c:pt idx="6">
                  <c:v>28.9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C5-4071-BF9B-AC627EAC5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99141120"/>
        <c:axId val="343594048"/>
        <c:axId val="0"/>
      </c:bar3DChart>
      <c:catAx>
        <c:axId val="29914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3594048"/>
        <c:crosses val="autoZero"/>
        <c:auto val="1"/>
        <c:lblAlgn val="ctr"/>
        <c:lblOffset val="100"/>
        <c:noMultiLvlLbl val="0"/>
      </c:catAx>
      <c:valAx>
        <c:axId val="343594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9141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1200" b="1">
          <a:solidFill>
            <a:schemeClr val="dk1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Миронюк</dc:creator>
  <cp:keywords/>
  <dc:description/>
  <cp:lastModifiedBy>Анна Миронюк</cp:lastModifiedBy>
  <cp:revision>2</cp:revision>
  <dcterms:created xsi:type="dcterms:W3CDTF">2023-06-27T21:09:00Z</dcterms:created>
  <dcterms:modified xsi:type="dcterms:W3CDTF">2023-06-27T22:51:00Z</dcterms:modified>
</cp:coreProperties>
</file>