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3C" w:rsidRPr="00FD083C" w:rsidRDefault="00FD083C" w:rsidP="00FD083C">
      <w:pPr>
        <w:pStyle w:val="10"/>
        <w:tabs>
          <w:tab w:val="left" w:pos="993"/>
        </w:tabs>
        <w:spacing w:line="360" w:lineRule="auto"/>
        <w:ind w:firstLine="709"/>
        <w:jc w:val="right"/>
        <w:rPr>
          <w:sz w:val="28"/>
          <w:szCs w:val="28"/>
          <w:lang w:val="uk-UA"/>
        </w:rPr>
      </w:pPr>
      <w:proofErr w:type="spellStart"/>
      <w:r w:rsidRPr="00FD083C">
        <w:rPr>
          <w:sz w:val="28"/>
          <w:szCs w:val="28"/>
          <w:lang w:val="uk-UA"/>
        </w:rPr>
        <w:t>Онопрієнко</w:t>
      </w:r>
      <w:proofErr w:type="spellEnd"/>
      <w:r w:rsidRPr="00FD083C">
        <w:rPr>
          <w:sz w:val="28"/>
          <w:szCs w:val="28"/>
          <w:lang w:val="uk-UA"/>
        </w:rPr>
        <w:t xml:space="preserve"> </w:t>
      </w:r>
      <w:r w:rsidRPr="00FD083C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>рій Юрійович</w:t>
      </w:r>
      <w:r w:rsidRPr="00FD083C">
        <w:rPr>
          <w:sz w:val="28"/>
          <w:szCs w:val="28"/>
          <w:lang w:val="uk-UA"/>
        </w:rPr>
        <w:t>, аспірант</w:t>
      </w:r>
    </w:p>
    <w:p w:rsidR="00FD083C" w:rsidRPr="00FD083C" w:rsidRDefault="00FD083C" w:rsidP="00FD083C">
      <w:pPr>
        <w:pStyle w:val="10"/>
        <w:tabs>
          <w:tab w:val="left" w:pos="993"/>
        </w:tabs>
        <w:spacing w:line="360" w:lineRule="auto"/>
        <w:ind w:firstLine="709"/>
        <w:jc w:val="right"/>
        <w:rPr>
          <w:sz w:val="28"/>
          <w:szCs w:val="28"/>
          <w:lang w:val="uk-UA"/>
        </w:rPr>
      </w:pPr>
      <w:r w:rsidRPr="00FD083C">
        <w:rPr>
          <w:sz w:val="28"/>
          <w:szCs w:val="28"/>
          <w:lang w:val="uk-UA"/>
        </w:rPr>
        <w:t>Київський національний економічний університет</w:t>
      </w:r>
    </w:p>
    <w:p w:rsidR="00F84B66" w:rsidRDefault="00FD083C" w:rsidP="00FD083C">
      <w:pPr>
        <w:pStyle w:val="10"/>
        <w:tabs>
          <w:tab w:val="left" w:pos="993"/>
        </w:tabs>
        <w:spacing w:line="360" w:lineRule="auto"/>
        <w:ind w:firstLine="709"/>
        <w:jc w:val="right"/>
        <w:rPr>
          <w:sz w:val="28"/>
          <w:szCs w:val="28"/>
          <w:lang w:val="uk-UA"/>
        </w:rPr>
      </w:pPr>
      <w:r w:rsidRPr="00FD083C">
        <w:rPr>
          <w:sz w:val="28"/>
          <w:szCs w:val="28"/>
          <w:lang w:val="uk-UA"/>
        </w:rPr>
        <w:t>імені Вадима Гетьмана, м. Київ</w:t>
      </w:r>
    </w:p>
    <w:p w:rsidR="00FD083C" w:rsidRPr="00FD083C" w:rsidRDefault="00FD083C" w:rsidP="00FD083C">
      <w:pPr>
        <w:pStyle w:val="10"/>
        <w:tabs>
          <w:tab w:val="left" w:pos="993"/>
        </w:tabs>
        <w:spacing w:line="360" w:lineRule="auto"/>
        <w:ind w:firstLine="709"/>
        <w:jc w:val="right"/>
        <w:rPr>
          <w:sz w:val="28"/>
          <w:szCs w:val="28"/>
          <w:lang w:val="uk-UA"/>
        </w:rPr>
      </w:pPr>
      <w:r w:rsidRPr="00FD083C">
        <w:rPr>
          <w:sz w:val="28"/>
          <w:szCs w:val="28"/>
          <w:lang w:val="uk-UA"/>
        </w:rPr>
        <w:t>ORCID ID: https://orcid.org/0009-0009-3441-8898</w:t>
      </w:r>
    </w:p>
    <w:p w:rsidR="00F84B66" w:rsidRPr="00F84B66" w:rsidRDefault="00F84B66" w:rsidP="00F84B66">
      <w:pPr>
        <w:pStyle w:val="10"/>
        <w:tabs>
          <w:tab w:val="left" w:pos="993"/>
        </w:tabs>
        <w:spacing w:line="360" w:lineRule="auto"/>
        <w:ind w:firstLine="709"/>
        <w:rPr>
          <w:sz w:val="28"/>
          <w:szCs w:val="28"/>
          <w:lang w:val="uk-UA"/>
        </w:rPr>
      </w:pPr>
    </w:p>
    <w:p w:rsidR="00F84B66" w:rsidRPr="00F84B66" w:rsidRDefault="003E2390" w:rsidP="003E2390">
      <w:pPr>
        <w:pStyle w:val="10"/>
        <w:tabs>
          <w:tab w:val="left" w:pos="993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ОСНОВНІ НАПРЯМКИ БАНКІВСЬКОГО РЕГУЛЮВАННЯ 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В КРАЇНАХ </w:t>
      </w:r>
      <w:r w:rsidRPr="00F84B66">
        <w:rPr>
          <w:b/>
          <w:sz w:val="28"/>
          <w:szCs w:val="28"/>
          <w:lang w:val="uk-UA"/>
        </w:rPr>
        <w:t>ЄВРОПЕЙСЬКОГО СОЮЗУ</w:t>
      </w:r>
    </w:p>
    <w:p w:rsidR="00F84B66" w:rsidRPr="00F84B66" w:rsidRDefault="00F84B66" w:rsidP="00F84B66">
      <w:pPr>
        <w:pStyle w:val="10"/>
        <w:tabs>
          <w:tab w:val="left" w:pos="993"/>
        </w:tabs>
        <w:spacing w:line="360" w:lineRule="auto"/>
        <w:ind w:firstLine="709"/>
        <w:rPr>
          <w:sz w:val="28"/>
          <w:szCs w:val="28"/>
          <w:lang w:val="uk-UA"/>
        </w:rPr>
      </w:pPr>
    </w:p>
    <w:p w:rsidR="00F84B66" w:rsidRPr="00F84B66" w:rsidRDefault="00F84B66" w:rsidP="00F84B66">
      <w:pPr>
        <w:pStyle w:val="10"/>
        <w:tabs>
          <w:tab w:val="left" w:pos="993"/>
        </w:tabs>
        <w:spacing w:line="360" w:lineRule="auto"/>
        <w:ind w:firstLine="709"/>
        <w:rPr>
          <w:sz w:val="28"/>
          <w:szCs w:val="28"/>
          <w:lang w:val="uk-UA"/>
        </w:rPr>
      </w:pPr>
      <w:r w:rsidRPr="00F84B66">
        <w:rPr>
          <w:sz w:val="28"/>
          <w:szCs w:val="28"/>
          <w:lang w:val="uk-UA"/>
        </w:rPr>
        <w:t xml:space="preserve">Банківська система у сукупності з діяльність банків є основою фінансово-економічної системи будь-якої держави чи то угрупування. В Європейському союзі Європейське банківське управління (або Європейський банківський орган, </w:t>
      </w:r>
      <w:proofErr w:type="spellStart"/>
      <w:r w:rsidRPr="00F84B66">
        <w:rPr>
          <w:sz w:val="28"/>
          <w:szCs w:val="28"/>
          <w:lang w:val="uk-UA"/>
        </w:rPr>
        <w:t>European</w:t>
      </w:r>
      <w:proofErr w:type="spellEnd"/>
      <w:r w:rsidRPr="00F84B66">
        <w:rPr>
          <w:sz w:val="28"/>
          <w:szCs w:val="28"/>
          <w:lang w:val="uk-UA"/>
        </w:rPr>
        <w:t xml:space="preserve"> </w:t>
      </w:r>
      <w:proofErr w:type="spellStart"/>
      <w:r w:rsidRPr="00F84B66">
        <w:rPr>
          <w:sz w:val="28"/>
          <w:szCs w:val="28"/>
          <w:lang w:val="uk-UA"/>
        </w:rPr>
        <w:t>Banking</w:t>
      </w:r>
      <w:proofErr w:type="spellEnd"/>
      <w:r w:rsidRPr="00F84B66">
        <w:rPr>
          <w:sz w:val="28"/>
          <w:szCs w:val="28"/>
          <w:lang w:val="uk-UA"/>
        </w:rPr>
        <w:t xml:space="preserve"> </w:t>
      </w:r>
      <w:proofErr w:type="spellStart"/>
      <w:r w:rsidRPr="00F84B66">
        <w:rPr>
          <w:sz w:val="28"/>
          <w:szCs w:val="28"/>
          <w:lang w:val="uk-UA"/>
        </w:rPr>
        <w:t>Authority</w:t>
      </w:r>
      <w:proofErr w:type="spellEnd"/>
      <w:r w:rsidRPr="00F84B66">
        <w:rPr>
          <w:sz w:val="28"/>
          <w:szCs w:val="28"/>
          <w:lang w:val="uk-UA"/>
        </w:rPr>
        <w:t>, EBA) постійно працює над впровадженням стандартного набору правил для регулювання та нагляду за банківською діяльністю в усіх країнах ЄС.</w:t>
      </w:r>
    </w:p>
    <w:p w:rsidR="00F84B66" w:rsidRPr="00F84B66" w:rsidRDefault="00F84B66" w:rsidP="00F84B66">
      <w:pPr>
        <w:pStyle w:val="10"/>
        <w:tabs>
          <w:tab w:val="left" w:pos="993"/>
        </w:tabs>
        <w:spacing w:line="360" w:lineRule="auto"/>
        <w:ind w:firstLine="709"/>
        <w:rPr>
          <w:sz w:val="28"/>
          <w:szCs w:val="28"/>
          <w:lang w:val="uk-UA"/>
        </w:rPr>
      </w:pPr>
      <w:r w:rsidRPr="00F84B66">
        <w:rPr>
          <w:sz w:val="28"/>
          <w:szCs w:val="28"/>
          <w:lang w:val="uk-UA"/>
        </w:rPr>
        <w:t>Варто зазначити, що інституційна структура Європейського Союзу є унікальною, а його система прийняття рішень постійно розвивається. Усі інституції, органи, установи в ЄС працюють разом, щоб вирішувати спільні інтереси ЄС і європейських людей. Це стосується й інституційного забезпечення банківської діяльності на теренах ЄС. В сучасних реаліях для подолання викликів у фінансовій та економічній сферах ухвалюються різні ініціативи, створюють нові правові рамки, які впроваджуються в усіх європейських країнах.</w:t>
      </w:r>
    </w:p>
    <w:p w:rsidR="00F84B66" w:rsidRPr="00F84B66" w:rsidRDefault="00F84B66" w:rsidP="00F84B66">
      <w:pPr>
        <w:pStyle w:val="10"/>
        <w:tabs>
          <w:tab w:val="left" w:pos="993"/>
        </w:tabs>
        <w:spacing w:line="360" w:lineRule="auto"/>
        <w:ind w:firstLine="709"/>
        <w:rPr>
          <w:sz w:val="28"/>
          <w:szCs w:val="28"/>
          <w:lang w:val="uk-UA"/>
        </w:rPr>
      </w:pPr>
      <w:r w:rsidRPr="00F84B66">
        <w:rPr>
          <w:sz w:val="28"/>
          <w:szCs w:val="28"/>
          <w:lang w:val="uk-UA"/>
        </w:rPr>
        <w:t xml:space="preserve">Європейське банківське управління, по-перше, працює над створенням єдиного стандартного набору правил банківської діяльності ЄС – Єдиного зводу правил; по-друге, забезпечує централізоване розкриття наглядових даних про банки ЄС (з метою підвищення прозорості, ринкової дисципліни та фінансової стабільності в ЄС); по-третє, сприяє співпраці між національними органами влади щодо нагляду за банківськими групами, які працюють у більш ніж в одній країні, і виступає посередником у спорах; четверте, сприяє створенню прозорого, простого </w:t>
      </w:r>
      <w:r w:rsidRPr="00F84B66">
        <w:rPr>
          <w:sz w:val="28"/>
          <w:szCs w:val="28"/>
          <w:lang w:val="uk-UA"/>
        </w:rPr>
        <w:lastRenderedPageBreak/>
        <w:t>та справедливого ринку ЄС для споживачів фінансових продуктів і послуг, а також забезпечує справедливе ставлення та захист усіх споживачів у всьому ЄС [1]. Європейський банківський орган також відіграє провідну роль у фінансовому нагляді та стабільності банківської системи ЄС.</w:t>
      </w:r>
    </w:p>
    <w:p w:rsidR="00F84B66" w:rsidRPr="00F84B66" w:rsidRDefault="00F84B66" w:rsidP="00F84B66">
      <w:pPr>
        <w:pStyle w:val="10"/>
        <w:tabs>
          <w:tab w:val="left" w:pos="993"/>
        </w:tabs>
        <w:spacing w:line="360" w:lineRule="auto"/>
        <w:ind w:firstLine="709"/>
        <w:rPr>
          <w:sz w:val="28"/>
          <w:szCs w:val="28"/>
          <w:lang w:val="uk-UA"/>
        </w:rPr>
      </w:pPr>
      <w:r w:rsidRPr="00F84B66">
        <w:rPr>
          <w:sz w:val="28"/>
          <w:szCs w:val="28"/>
          <w:lang w:val="uk-UA"/>
        </w:rPr>
        <w:t>Ще одним з основних інститутів у забезпеченні та регулюванні банківської діяльності є Європейський центральний банк, який керує євро, підтримує стабільність цін і здійснює економічну та монетарну політику ЄС. ЄЦБ здійснює нагляд за великими банками в зоні євро на основі використання Єдиного наглядового механізму, який ще більше посилює нагляд і сприяє фінансовій стабільності.</w:t>
      </w:r>
    </w:p>
    <w:p w:rsidR="00F84B66" w:rsidRPr="00F84B66" w:rsidRDefault="00F84B66" w:rsidP="00F84B66">
      <w:pPr>
        <w:pStyle w:val="10"/>
        <w:tabs>
          <w:tab w:val="left" w:pos="993"/>
        </w:tabs>
        <w:spacing w:line="360" w:lineRule="auto"/>
        <w:ind w:firstLine="709"/>
        <w:rPr>
          <w:sz w:val="28"/>
          <w:szCs w:val="28"/>
          <w:lang w:val="uk-UA"/>
        </w:rPr>
      </w:pPr>
      <w:r w:rsidRPr="00F84B66">
        <w:rPr>
          <w:sz w:val="28"/>
          <w:szCs w:val="28"/>
          <w:lang w:val="uk-UA"/>
        </w:rPr>
        <w:t xml:space="preserve">Оскільки в ЄС досі триває фінансова інтеграція, то фахівці зазначають, що для банківської діяльності ЄС притаманна фінансова </w:t>
      </w:r>
      <w:proofErr w:type="spellStart"/>
      <w:r w:rsidRPr="00F84B66">
        <w:rPr>
          <w:sz w:val="28"/>
          <w:szCs w:val="28"/>
          <w:lang w:val="uk-UA"/>
        </w:rPr>
        <w:t>трилема</w:t>
      </w:r>
      <w:proofErr w:type="spellEnd"/>
      <w:r w:rsidRPr="00F84B66">
        <w:rPr>
          <w:sz w:val="28"/>
          <w:szCs w:val="28"/>
          <w:lang w:val="uk-UA"/>
        </w:rPr>
        <w:t xml:space="preserve"> з трьома компонентами. Остання світова фінансова криза 2007-2008 рр. підтвердила, що Європейське банківське управління не впоралися з великими міжнародними банками в контексті управління кризою. Фінансова </w:t>
      </w:r>
      <w:proofErr w:type="spellStart"/>
      <w:r w:rsidRPr="00F84B66">
        <w:rPr>
          <w:sz w:val="28"/>
          <w:szCs w:val="28"/>
          <w:lang w:val="uk-UA"/>
        </w:rPr>
        <w:t>трилема</w:t>
      </w:r>
      <w:proofErr w:type="spellEnd"/>
      <w:r w:rsidRPr="00F84B66">
        <w:rPr>
          <w:sz w:val="28"/>
          <w:szCs w:val="28"/>
          <w:lang w:val="uk-UA"/>
        </w:rPr>
        <w:t xml:space="preserve"> включає по-перше, стабільність фінансової системи, по-друге, управління та особливість реалізації міжнародної банківської справи та по-третє, особливості національної фінансової політики щодо нагляду та врегулювання. Сутність </w:t>
      </w:r>
      <w:proofErr w:type="spellStart"/>
      <w:r w:rsidRPr="00F84B66">
        <w:rPr>
          <w:sz w:val="28"/>
          <w:szCs w:val="28"/>
          <w:lang w:val="uk-UA"/>
        </w:rPr>
        <w:t>трилеми</w:t>
      </w:r>
      <w:proofErr w:type="spellEnd"/>
      <w:r w:rsidRPr="00F84B66">
        <w:rPr>
          <w:sz w:val="28"/>
          <w:szCs w:val="28"/>
          <w:lang w:val="uk-UA"/>
        </w:rPr>
        <w:t xml:space="preserve"> полягає у несумісності реалізації одночасно цих трьох цілей для забезпечення фінансового розвитку і ефективності банківської діяльності; необхідні внутрішні компроміси. Отже, фінансова </w:t>
      </w:r>
      <w:proofErr w:type="spellStart"/>
      <w:r w:rsidRPr="00F84B66">
        <w:rPr>
          <w:sz w:val="28"/>
          <w:szCs w:val="28"/>
          <w:lang w:val="uk-UA"/>
        </w:rPr>
        <w:t>трилема</w:t>
      </w:r>
      <w:proofErr w:type="spellEnd"/>
      <w:r w:rsidRPr="00F84B66">
        <w:rPr>
          <w:sz w:val="28"/>
          <w:szCs w:val="28"/>
          <w:lang w:val="uk-UA"/>
        </w:rPr>
        <w:t xml:space="preserve"> підкреслює необхідність компромісів як реакції на сучасні виклики для фінансової та банківської систем.</w:t>
      </w:r>
    </w:p>
    <w:p w:rsidR="00F84B66" w:rsidRPr="00F84B66" w:rsidRDefault="00F84B66" w:rsidP="00F84B66">
      <w:pPr>
        <w:pStyle w:val="10"/>
        <w:tabs>
          <w:tab w:val="left" w:pos="993"/>
        </w:tabs>
        <w:spacing w:line="360" w:lineRule="auto"/>
        <w:ind w:firstLine="709"/>
        <w:rPr>
          <w:sz w:val="28"/>
          <w:szCs w:val="28"/>
          <w:lang w:val="uk-UA"/>
        </w:rPr>
      </w:pPr>
      <w:r w:rsidRPr="00F84B66">
        <w:rPr>
          <w:sz w:val="28"/>
          <w:szCs w:val="28"/>
          <w:lang w:val="uk-UA"/>
        </w:rPr>
        <w:t xml:space="preserve">Отже, фінансова криза призвела до створення в ЄС Європейського банківського союзу, який включає [2; 3]: </w:t>
      </w:r>
      <w:r w:rsidRPr="00645CAC">
        <w:rPr>
          <w:sz w:val="28"/>
          <w:szCs w:val="28"/>
        </w:rPr>
        <w:t>Single Supervisory Mechanism</w:t>
      </w:r>
      <w:r w:rsidRPr="00F84B66">
        <w:rPr>
          <w:sz w:val="28"/>
          <w:szCs w:val="28"/>
          <w:lang w:val="uk-UA"/>
        </w:rPr>
        <w:t xml:space="preserve"> – Єдиний наглядовий механізм, </w:t>
      </w:r>
      <w:r w:rsidRPr="00645CAC">
        <w:rPr>
          <w:sz w:val="28"/>
          <w:szCs w:val="28"/>
        </w:rPr>
        <w:t>Single Resolution Mechanism</w:t>
      </w:r>
      <w:r w:rsidRPr="00F84B66">
        <w:rPr>
          <w:sz w:val="28"/>
          <w:szCs w:val="28"/>
          <w:lang w:val="uk-UA"/>
        </w:rPr>
        <w:t xml:space="preserve"> – Єдиний механізм врегулювання (санації), </w:t>
      </w:r>
      <w:r w:rsidRPr="00645CAC">
        <w:rPr>
          <w:sz w:val="28"/>
          <w:szCs w:val="28"/>
        </w:rPr>
        <w:t>European Deposit Insurance Scheme</w:t>
      </w:r>
      <w:r w:rsidRPr="00F84B66">
        <w:rPr>
          <w:sz w:val="28"/>
          <w:szCs w:val="28"/>
          <w:lang w:val="uk-UA"/>
        </w:rPr>
        <w:t xml:space="preserve"> – Європейська система страхування депозитів. Це так звані опори Європейського банківського союзу, які створенні для реагування на виклики у фінансовому сегменті та в банківській </w:t>
      </w:r>
      <w:r w:rsidRPr="00F84B66">
        <w:rPr>
          <w:sz w:val="28"/>
          <w:szCs w:val="28"/>
          <w:lang w:val="uk-UA"/>
        </w:rPr>
        <w:lastRenderedPageBreak/>
        <w:t>діяльності.</w:t>
      </w:r>
      <w:r w:rsidR="00F14C74">
        <w:rPr>
          <w:sz w:val="28"/>
          <w:szCs w:val="28"/>
          <w:lang w:val="uk-UA"/>
        </w:rPr>
        <w:t xml:space="preserve"> Ці опори мають мету та основні завдання, які спрямовані на стабільність, стійкість та цілісність банківської системи ЄС. Крім того, в умовах тренду </w:t>
      </w:r>
      <w:proofErr w:type="spellStart"/>
      <w:r w:rsidR="00F14C74">
        <w:rPr>
          <w:sz w:val="28"/>
          <w:szCs w:val="28"/>
          <w:lang w:val="uk-UA"/>
        </w:rPr>
        <w:t>діджиталізації</w:t>
      </w:r>
      <w:proofErr w:type="spellEnd"/>
      <w:r w:rsidR="00F14C74">
        <w:rPr>
          <w:sz w:val="28"/>
          <w:szCs w:val="28"/>
          <w:lang w:val="uk-UA"/>
        </w:rPr>
        <w:t xml:space="preserve"> </w:t>
      </w:r>
      <w:r w:rsidR="00EC486F">
        <w:rPr>
          <w:sz w:val="28"/>
          <w:szCs w:val="28"/>
          <w:lang w:val="uk-UA"/>
        </w:rPr>
        <w:t xml:space="preserve">ухвалюються нові правила регулювання в європейській банківській діяльності. </w:t>
      </w:r>
    </w:p>
    <w:p w:rsidR="00012D87" w:rsidRPr="00F84B66" w:rsidRDefault="00394661" w:rsidP="00012D87">
      <w:pPr>
        <w:pStyle w:val="10"/>
        <w:tabs>
          <w:tab w:val="left" w:pos="993"/>
        </w:tabs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Отже, досліджуючи інституційне забезпечення банківської діяльності в ЄС виокремимо основні напрямки банківського регулювання </w:t>
      </w:r>
      <w:r w:rsidRPr="00394661">
        <w:rPr>
          <w:sz w:val="28"/>
          <w:szCs w:val="28"/>
          <w:lang w:val="uk-UA"/>
        </w:rPr>
        <w:t>[</w:t>
      </w:r>
      <w:r>
        <w:rPr>
          <w:sz w:val="28"/>
          <w:szCs w:val="28"/>
          <w:lang w:val="uk-UA"/>
        </w:rPr>
        <w:t>14</w:t>
      </w:r>
      <w:r w:rsidRPr="00394661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>:</w:t>
      </w:r>
      <w:r w:rsidR="00E71D88">
        <w:rPr>
          <w:sz w:val="28"/>
          <w:szCs w:val="28"/>
          <w:lang w:val="uk-UA"/>
        </w:rPr>
        <w:t xml:space="preserve"> </w:t>
      </w:r>
      <w:proofErr w:type="spellStart"/>
      <w:r w:rsidR="00E71D88">
        <w:rPr>
          <w:sz w:val="28"/>
          <w:szCs w:val="28"/>
          <w:lang w:val="uk-UA"/>
        </w:rPr>
        <w:t>пруденційні</w:t>
      </w:r>
      <w:proofErr w:type="spellEnd"/>
      <w:r w:rsidR="00E71D88">
        <w:rPr>
          <w:sz w:val="28"/>
          <w:szCs w:val="28"/>
          <w:lang w:val="uk-UA"/>
        </w:rPr>
        <w:t xml:space="preserve"> вимоги, які спрямовані на забезпечення стійкості, стабільності і зростання; відновлення та санація банків необхідна для ефективного управління та банківської стабілізації</w:t>
      </w:r>
      <w:r w:rsidR="00012D87">
        <w:rPr>
          <w:sz w:val="28"/>
          <w:szCs w:val="28"/>
          <w:lang w:val="uk-UA"/>
        </w:rPr>
        <w:t>;</w:t>
      </w:r>
      <w:r w:rsidR="00E71D88">
        <w:rPr>
          <w:sz w:val="28"/>
          <w:szCs w:val="28"/>
          <w:lang w:val="uk-UA"/>
        </w:rPr>
        <w:t xml:space="preserve"> схема гарантування вкладів сприяє захисту населення від втрат</w:t>
      </w:r>
      <w:r w:rsidR="00012D87">
        <w:rPr>
          <w:sz w:val="28"/>
          <w:szCs w:val="28"/>
          <w:lang w:val="uk-UA"/>
        </w:rPr>
        <w:t>;</w:t>
      </w:r>
      <w:r w:rsidR="00E71D88">
        <w:rPr>
          <w:sz w:val="28"/>
          <w:szCs w:val="28"/>
          <w:lang w:val="uk-UA"/>
        </w:rPr>
        <w:t xml:space="preserve"> структурна реформа європейського банківського сектору спрямована на зміцнення стабільності основних гравців фінансового ринку – найбільших банків</w:t>
      </w:r>
      <w:r w:rsidR="00012D87">
        <w:rPr>
          <w:sz w:val="28"/>
          <w:szCs w:val="28"/>
          <w:lang w:val="uk-UA"/>
        </w:rPr>
        <w:t>;</w:t>
      </w:r>
      <w:r w:rsidR="00E71D88">
        <w:rPr>
          <w:sz w:val="28"/>
          <w:szCs w:val="28"/>
          <w:lang w:val="uk-UA"/>
        </w:rPr>
        <w:t xml:space="preserve"> </w:t>
      </w:r>
      <w:r w:rsidR="00012D87">
        <w:rPr>
          <w:sz w:val="28"/>
          <w:szCs w:val="28"/>
          <w:lang w:val="uk-UA"/>
        </w:rPr>
        <w:t>л</w:t>
      </w:r>
      <w:r w:rsidR="00012D87" w:rsidRPr="00012D87">
        <w:rPr>
          <w:sz w:val="28"/>
          <w:szCs w:val="28"/>
          <w:lang w:val="uk-UA"/>
        </w:rPr>
        <w:t>іквідація кредитних організацій</w:t>
      </w:r>
      <w:r w:rsidR="00012D87">
        <w:rPr>
          <w:sz w:val="28"/>
          <w:szCs w:val="28"/>
          <w:lang w:val="uk-UA"/>
        </w:rPr>
        <w:t>, що забезпечує є</w:t>
      </w:r>
      <w:r w:rsidR="00012D87" w:rsidRPr="00012D87">
        <w:rPr>
          <w:sz w:val="28"/>
          <w:szCs w:val="28"/>
          <w:lang w:val="uk-UA"/>
        </w:rPr>
        <w:t>дин</w:t>
      </w:r>
      <w:r w:rsidR="00012D87">
        <w:rPr>
          <w:sz w:val="28"/>
          <w:szCs w:val="28"/>
          <w:lang w:val="uk-UA"/>
        </w:rPr>
        <w:t>у</w:t>
      </w:r>
      <w:r w:rsidR="00012D87" w:rsidRPr="00012D87">
        <w:rPr>
          <w:sz w:val="28"/>
          <w:szCs w:val="28"/>
          <w:lang w:val="uk-UA"/>
        </w:rPr>
        <w:t xml:space="preserve"> процедура банкрутства </w:t>
      </w:r>
      <w:r w:rsidR="00012D87">
        <w:rPr>
          <w:sz w:val="28"/>
          <w:szCs w:val="28"/>
          <w:lang w:val="uk-UA"/>
        </w:rPr>
        <w:t>і може</w:t>
      </w:r>
      <w:r w:rsidR="00012D87" w:rsidRPr="00012D87">
        <w:rPr>
          <w:sz w:val="28"/>
          <w:szCs w:val="28"/>
          <w:lang w:val="uk-UA"/>
        </w:rPr>
        <w:t xml:space="preserve"> бути застосована до кред</w:t>
      </w:r>
      <w:r w:rsidR="00012D87">
        <w:rPr>
          <w:sz w:val="28"/>
          <w:szCs w:val="28"/>
          <w:lang w:val="uk-UA"/>
        </w:rPr>
        <w:t xml:space="preserve">итних установ у всіх країнах ЄС; забезпечені облігації, які сприяють </w:t>
      </w:r>
      <w:r w:rsidR="00012D87" w:rsidRPr="00012D87">
        <w:rPr>
          <w:sz w:val="28"/>
          <w:szCs w:val="28"/>
          <w:lang w:val="uk-UA"/>
        </w:rPr>
        <w:t>підвищенн</w:t>
      </w:r>
      <w:r w:rsidR="00012D87">
        <w:rPr>
          <w:sz w:val="28"/>
          <w:szCs w:val="28"/>
          <w:lang w:val="uk-UA"/>
        </w:rPr>
        <w:t>ю</w:t>
      </w:r>
      <w:r w:rsidR="00012D87" w:rsidRPr="00012D87">
        <w:rPr>
          <w:sz w:val="28"/>
          <w:szCs w:val="28"/>
          <w:lang w:val="uk-UA"/>
        </w:rPr>
        <w:t xml:space="preserve"> ефективнос</w:t>
      </w:r>
      <w:r w:rsidR="00012D87">
        <w:rPr>
          <w:sz w:val="28"/>
          <w:szCs w:val="28"/>
          <w:lang w:val="uk-UA"/>
        </w:rPr>
        <w:t>ті ринку забезпечених облігацій та загалом інтеграційному процесу на теренах Європейського союзу.</w:t>
      </w:r>
    </w:p>
    <w:p w:rsidR="00F14C74" w:rsidRPr="00F14C74" w:rsidRDefault="00F14C74" w:rsidP="002F09FB">
      <w:pPr>
        <w:pStyle w:val="10"/>
        <w:tabs>
          <w:tab w:val="left" w:pos="993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F84B66" w:rsidRPr="002F09FB" w:rsidRDefault="002F09FB" w:rsidP="002F09FB">
      <w:pPr>
        <w:pStyle w:val="10"/>
        <w:tabs>
          <w:tab w:val="left" w:pos="993"/>
        </w:tabs>
        <w:spacing w:line="360" w:lineRule="auto"/>
        <w:ind w:firstLine="709"/>
        <w:jc w:val="center"/>
        <w:rPr>
          <w:b/>
          <w:lang w:val="uk-UA"/>
        </w:rPr>
      </w:pPr>
      <w:r w:rsidRPr="002F09FB">
        <w:rPr>
          <w:b/>
          <w:lang w:val="uk-UA"/>
        </w:rPr>
        <w:t>Література</w:t>
      </w:r>
    </w:p>
    <w:p w:rsidR="00F84B66" w:rsidRPr="002F09FB" w:rsidRDefault="00F84B66" w:rsidP="00F84B66">
      <w:pPr>
        <w:pStyle w:val="1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</w:pPr>
      <w:r w:rsidRPr="002F09FB">
        <w:t xml:space="preserve">European Banking Authority. URL: </w:t>
      </w:r>
      <w:hyperlink r:id="rId5" w:history="1">
        <w:r w:rsidRPr="002F09FB">
          <w:rPr>
            <w:rStyle w:val="a3"/>
          </w:rPr>
          <w:t>https://european-union.europa.eu/institutions-law-budget/institutions-and-bodies/search-all-eu-institutions-and-bodies/european-banking-authority-eba_en</w:t>
        </w:r>
      </w:hyperlink>
    </w:p>
    <w:p w:rsidR="00F84B66" w:rsidRPr="002F09FB" w:rsidRDefault="00F84B66" w:rsidP="00F84B66">
      <w:pPr>
        <w:pStyle w:val="1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</w:pPr>
      <w:r w:rsidRPr="002F09FB">
        <w:t xml:space="preserve">European Commission, Banking Union, 2023. </w:t>
      </w:r>
      <w:hyperlink r:id="rId6" w:history="1">
        <w:r w:rsidRPr="002F09FB">
          <w:rPr>
            <w:rStyle w:val="a3"/>
          </w:rPr>
          <w:t>URL:https://finance.ec.europa.eu/banking-and-banking-union/banking-union_en</w:t>
        </w:r>
      </w:hyperlink>
    </w:p>
    <w:p w:rsidR="001F0ECB" w:rsidRDefault="00F84B66" w:rsidP="002F09FB">
      <w:pPr>
        <w:pStyle w:val="1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</w:pPr>
      <w:proofErr w:type="spellStart"/>
      <w:r w:rsidRPr="002F09FB">
        <w:t>Rudik</w:t>
      </w:r>
      <w:proofErr w:type="spellEnd"/>
      <w:r w:rsidRPr="002F09FB">
        <w:t xml:space="preserve"> N. M. 2014. Banking union as a key stage of deepening financial integration in the EU. </w:t>
      </w:r>
      <w:proofErr w:type="spellStart"/>
      <w:r w:rsidRPr="002F09FB">
        <w:t>Aspekty</w:t>
      </w:r>
      <w:proofErr w:type="spellEnd"/>
      <w:r w:rsidRPr="002F09FB">
        <w:t xml:space="preserve"> </w:t>
      </w:r>
      <w:proofErr w:type="spellStart"/>
      <w:r w:rsidRPr="002F09FB">
        <w:t>publichnoho</w:t>
      </w:r>
      <w:proofErr w:type="spellEnd"/>
      <w:r w:rsidRPr="002F09FB">
        <w:t xml:space="preserve"> </w:t>
      </w:r>
      <w:proofErr w:type="spellStart"/>
      <w:r w:rsidRPr="002F09FB">
        <w:t>upravlinnia</w:t>
      </w:r>
      <w:proofErr w:type="spellEnd"/>
      <w:r w:rsidRPr="002F09FB">
        <w:t>, 2014, vol.3-4, pp.37-43</w:t>
      </w:r>
    </w:p>
    <w:p w:rsidR="00394661" w:rsidRPr="002F09FB" w:rsidRDefault="00394661" w:rsidP="002F09FB">
      <w:pPr>
        <w:pStyle w:val="1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</w:pPr>
      <w:r w:rsidRPr="00FF51D9">
        <w:rPr>
          <w:bCs/>
        </w:rPr>
        <w:t>European</w:t>
      </w:r>
      <w:r w:rsidRPr="00FD338B">
        <w:rPr>
          <w:bCs/>
          <w:lang w:val="uk-UA"/>
        </w:rPr>
        <w:t xml:space="preserve"> </w:t>
      </w:r>
      <w:r w:rsidRPr="00FF51D9">
        <w:rPr>
          <w:bCs/>
        </w:rPr>
        <w:t>Commission</w:t>
      </w:r>
      <w:r w:rsidRPr="00FD338B">
        <w:rPr>
          <w:bCs/>
          <w:lang w:val="uk-UA"/>
        </w:rPr>
        <w:t xml:space="preserve">. </w:t>
      </w:r>
      <w:r w:rsidRPr="00FF51D9">
        <w:rPr>
          <w:bCs/>
        </w:rPr>
        <w:t>Banking regulation. URL:</w:t>
      </w:r>
      <w:r w:rsidRPr="00FF51D9">
        <w:t xml:space="preserve"> </w:t>
      </w:r>
      <w:hyperlink r:id="rId7" w:history="1">
        <w:r w:rsidRPr="00FF51D9">
          <w:rPr>
            <w:rStyle w:val="a3"/>
            <w:lang w:val="uk-UA"/>
          </w:rPr>
          <w:t>https://finance.ec.europa.eu/banking-and-banking-union/banking-regulation_en</w:t>
        </w:r>
      </w:hyperlink>
    </w:p>
    <w:sectPr w:rsidR="00394661" w:rsidRPr="002F09FB" w:rsidSect="00F84B66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52A40"/>
    <w:multiLevelType w:val="hybridMultilevel"/>
    <w:tmpl w:val="3724AAB4"/>
    <w:lvl w:ilvl="0" w:tplc="8D5ECA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CE"/>
    <w:rsid w:val="00012D87"/>
    <w:rsid w:val="001F0ECB"/>
    <w:rsid w:val="002F09FB"/>
    <w:rsid w:val="00394661"/>
    <w:rsid w:val="003E2390"/>
    <w:rsid w:val="00645CAC"/>
    <w:rsid w:val="008718CE"/>
    <w:rsid w:val="008E5761"/>
    <w:rsid w:val="00E71D88"/>
    <w:rsid w:val="00EC486F"/>
    <w:rsid w:val="00F14C74"/>
    <w:rsid w:val="00F84B66"/>
    <w:rsid w:val="00FD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DE481"/>
  <w15:chartTrackingRefBased/>
  <w15:docId w15:val="{87E962D0-A108-4AD8-9DA4-CFC8C541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F84B66"/>
    <w:rPr>
      <w:rFonts w:ascii="Times New Roman" w:eastAsia="SimSun" w:hAnsi="Times New Roman" w:cs="Times New Roman"/>
      <w:iCs/>
      <w:sz w:val="24"/>
      <w:szCs w:val="24"/>
      <w:lang w:eastAsia="ar-SA"/>
    </w:rPr>
  </w:style>
  <w:style w:type="paragraph" w:customStyle="1" w:styleId="10">
    <w:name w:val="Стиль1"/>
    <w:basedOn w:val="a"/>
    <w:link w:val="1"/>
    <w:qFormat/>
    <w:rsid w:val="00F84B66"/>
    <w:pPr>
      <w:spacing w:after="0" w:line="240" w:lineRule="auto"/>
      <w:ind w:firstLine="567"/>
      <w:jc w:val="both"/>
    </w:pPr>
    <w:rPr>
      <w:rFonts w:ascii="Times New Roman" w:eastAsia="SimSun" w:hAnsi="Times New Roman" w:cs="Times New Roman"/>
      <w:iCs/>
      <w:sz w:val="24"/>
      <w:szCs w:val="24"/>
      <w:lang w:val="en-US" w:eastAsia="ar-SA"/>
    </w:rPr>
  </w:style>
  <w:style w:type="character" w:styleId="a3">
    <w:name w:val="Hyperlink"/>
    <w:basedOn w:val="a0"/>
    <w:uiPriority w:val="99"/>
    <w:unhideWhenUsed/>
    <w:rsid w:val="00F84B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nance.ec.europa.eu/banking-and-banking-union/banking-regulation_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RL:https://finance.ec.europa.eu/banking-and-banking-union/banking-union_en" TargetMode="External"/><Relationship Id="rId5" Type="http://schemas.openxmlformats.org/officeDocument/2006/relationships/hyperlink" Target="https://european-union.europa.eu/institutions-law-budget/institutions-and-bodies/search-all-eu-institutions-and-bodies/european-banking-authority-eba_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844</Words>
  <Characters>4817</Characters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2024-08-14T11:01:00Z</dcterms:created>
  <dcterms:modified xsi:type="dcterms:W3CDTF">2024-08-14T11:39:00Z</dcterms:modified>
</cp:coreProperties>
</file>