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AB" w:rsidRDefault="008A52AB" w:rsidP="00BD63D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EC7805" w:rsidRPr="00EC7805" w:rsidRDefault="00EC7805" w:rsidP="00A500AC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A500AC">
        <w:rPr>
          <w:rFonts w:ascii="Times New Roman" w:hAnsi="Times New Roman"/>
          <w:b/>
          <w:i/>
          <w:sz w:val="28"/>
          <w:szCs w:val="28"/>
        </w:rPr>
        <w:t>Олійник Володимир Петрович</w:t>
      </w:r>
      <w:r w:rsidRPr="00EC7805">
        <w:rPr>
          <w:rFonts w:ascii="Times New Roman" w:hAnsi="Times New Roman"/>
          <w:i/>
          <w:sz w:val="28"/>
          <w:szCs w:val="28"/>
        </w:rPr>
        <w:t>, кандидат технічних наук, доцент,</w:t>
      </w:r>
    </w:p>
    <w:p w:rsidR="00EC7805" w:rsidRPr="00EC7805" w:rsidRDefault="00EC7805" w:rsidP="00A500AC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C7805">
        <w:rPr>
          <w:rFonts w:ascii="Times New Roman" w:hAnsi="Times New Roman"/>
          <w:i/>
          <w:sz w:val="28"/>
          <w:szCs w:val="28"/>
        </w:rPr>
        <w:t xml:space="preserve">Національний аерокосмічний університет </w:t>
      </w:r>
    </w:p>
    <w:p w:rsidR="00EC7805" w:rsidRPr="00EC7805" w:rsidRDefault="00EC7805" w:rsidP="00A500AC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C7805">
        <w:rPr>
          <w:rFonts w:ascii="Times New Roman" w:hAnsi="Times New Roman"/>
          <w:i/>
          <w:sz w:val="28"/>
          <w:szCs w:val="28"/>
        </w:rPr>
        <w:t>«Харківський авіаційний інститут», м. Харків</w:t>
      </w:r>
    </w:p>
    <w:p w:rsidR="00EC7805" w:rsidRPr="00EC7805" w:rsidRDefault="00EC7805" w:rsidP="00A500AC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C7805">
        <w:rPr>
          <w:rFonts w:ascii="Times New Roman" w:hAnsi="Times New Roman"/>
          <w:i/>
          <w:sz w:val="28"/>
          <w:szCs w:val="28"/>
          <w:lang w:val="en-US"/>
        </w:rPr>
        <w:t>ORCID: 0000-0002-7899-1591</w:t>
      </w:r>
      <w:r w:rsidRPr="00EC7805">
        <w:rPr>
          <w:rFonts w:ascii="Times New Roman" w:hAnsi="Times New Roman"/>
          <w:i/>
          <w:sz w:val="28"/>
          <w:szCs w:val="28"/>
        </w:rPr>
        <w:br/>
      </w:r>
      <w:r w:rsidRPr="00A500AC">
        <w:rPr>
          <w:rFonts w:ascii="Times New Roman" w:hAnsi="Times New Roman"/>
          <w:b/>
          <w:i/>
          <w:sz w:val="28"/>
          <w:szCs w:val="28"/>
        </w:rPr>
        <w:t>Зінченко Олександр Миколайович</w:t>
      </w:r>
      <w:r w:rsidRPr="00EC7805">
        <w:rPr>
          <w:rFonts w:ascii="Times New Roman" w:hAnsi="Times New Roman"/>
          <w:i/>
          <w:sz w:val="28"/>
          <w:szCs w:val="28"/>
        </w:rPr>
        <w:t>, аспірант,</w:t>
      </w:r>
    </w:p>
    <w:p w:rsidR="00EC7805" w:rsidRPr="00EC7805" w:rsidRDefault="00EC7805" w:rsidP="00A500AC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C7805">
        <w:rPr>
          <w:rFonts w:ascii="Times New Roman" w:hAnsi="Times New Roman"/>
          <w:i/>
          <w:sz w:val="28"/>
          <w:szCs w:val="28"/>
        </w:rPr>
        <w:t xml:space="preserve"> Національний аерокосмічний університет</w:t>
      </w:r>
      <w:r w:rsidRPr="00EC7805">
        <w:rPr>
          <w:rFonts w:ascii="Times New Roman" w:hAnsi="Times New Roman"/>
          <w:i/>
          <w:sz w:val="28"/>
          <w:szCs w:val="28"/>
        </w:rPr>
        <w:br/>
        <w:t>«Харківський авіаційний інститут», м. Харків</w:t>
      </w:r>
    </w:p>
    <w:p w:rsidR="00EC7805" w:rsidRPr="00EC7805" w:rsidRDefault="00EC7805" w:rsidP="00A500AC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C7805">
        <w:rPr>
          <w:rFonts w:ascii="Times New Roman" w:hAnsi="Times New Roman"/>
          <w:i/>
          <w:sz w:val="28"/>
          <w:szCs w:val="28"/>
          <w:lang w:val="en-US"/>
        </w:rPr>
        <w:t>ORCID: 0000-0001-5651-8931</w:t>
      </w:r>
    </w:p>
    <w:p w:rsidR="00700615" w:rsidRPr="00CB399D" w:rsidRDefault="00700615" w:rsidP="0070061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CB399D" w:rsidRDefault="00CB399D" w:rsidP="00BD63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A500AC" w:rsidRDefault="005C5EE5" w:rsidP="00A500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ОСОБЛИВОСТІ ПОБУДОВИ СЕНСОРІВ</w:t>
      </w:r>
      <w:r w:rsidR="00A500AC" w:rsidRPr="00A500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ЗАСОБІВ ГРВ</w:t>
      </w:r>
    </w:p>
    <w:p w:rsidR="00A500AC" w:rsidRPr="00A500AC" w:rsidRDefault="00A500AC" w:rsidP="00A500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0AC" w:rsidRPr="00A500AC" w:rsidRDefault="00A500AC" w:rsidP="00CA1DC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500AC">
        <w:rPr>
          <w:b/>
          <w:sz w:val="28"/>
          <w:szCs w:val="28"/>
          <w:lang w:val="uk-UA"/>
        </w:rPr>
        <w:t xml:space="preserve">Вступ. </w:t>
      </w:r>
      <w:r w:rsidRPr="00A500AC">
        <w:rPr>
          <w:sz w:val="28"/>
          <w:szCs w:val="28"/>
          <w:lang w:val="uk-UA"/>
        </w:rPr>
        <w:t>Метод газорозрядної візуалізації (ГРВ) є перспективним напрямом для дослідження біологічних об’єктів, матеріалів та фізичних явищ. Він базується на реєстрації світлового випромінювання, що виникає при газовому розряді навколо об’єкта під дією змінного електричного поля</w:t>
      </w:r>
      <w:r>
        <w:rPr>
          <w:sz w:val="28"/>
          <w:szCs w:val="28"/>
          <w:lang w:val="uk-UA"/>
        </w:rPr>
        <w:t xml:space="preserve"> високої напруженості</w:t>
      </w:r>
      <w:r w:rsidRPr="00A500AC">
        <w:rPr>
          <w:sz w:val="28"/>
          <w:szCs w:val="28"/>
          <w:lang w:val="uk-UA"/>
        </w:rPr>
        <w:t xml:space="preserve">. Застосування ГРВ засобів в медичній </w:t>
      </w:r>
      <w:r>
        <w:rPr>
          <w:sz w:val="28"/>
          <w:szCs w:val="28"/>
          <w:lang w:val="uk-UA"/>
        </w:rPr>
        <w:t xml:space="preserve">і технічній </w:t>
      </w:r>
      <w:r w:rsidRPr="00A500AC">
        <w:rPr>
          <w:sz w:val="28"/>
          <w:szCs w:val="28"/>
          <w:lang w:val="uk-UA"/>
        </w:rPr>
        <w:t>діагностиці стримується відсутністю стандартизованих технічних рішень</w:t>
      </w:r>
      <w:r w:rsidR="00B65014">
        <w:rPr>
          <w:sz w:val="28"/>
          <w:szCs w:val="28"/>
          <w:lang w:val="uk-UA"/>
        </w:rPr>
        <w:t xml:space="preserve">. У більшості випадків, </w:t>
      </w:r>
      <w:r w:rsidRPr="00A500AC">
        <w:rPr>
          <w:sz w:val="28"/>
          <w:szCs w:val="28"/>
          <w:lang w:val="uk-UA"/>
        </w:rPr>
        <w:t>розроблені зразки</w:t>
      </w:r>
      <w:r w:rsidR="00B65014">
        <w:rPr>
          <w:sz w:val="28"/>
          <w:szCs w:val="28"/>
          <w:lang w:val="uk-UA"/>
        </w:rPr>
        <w:t xml:space="preserve"> цих пристроїв є унікальними</w:t>
      </w:r>
      <w:r w:rsidRPr="00A500AC">
        <w:rPr>
          <w:sz w:val="28"/>
          <w:szCs w:val="28"/>
          <w:lang w:val="uk-UA"/>
        </w:rPr>
        <w:t xml:space="preserve">, </w:t>
      </w:r>
      <w:r w:rsidR="00B65014">
        <w:rPr>
          <w:sz w:val="28"/>
          <w:szCs w:val="28"/>
          <w:lang w:val="uk-UA"/>
        </w:rPr>
        <w:t xml:space="preserve">або випущені невеликими серіями </w:t>
      </w:r>
      <w:r w:rsidRPr="00A500AC">
        <w:rPr>
          <w:bCs/>
          <w:sz w:val="28"/>
          <w:szCs w:val="28"/>
        </w:rPr>
        <w:t>[</w:t>
      </w:r>
      <w:r w:rsidRPr="00A500AC">
        <w:rPr>
          <w:bCs/>
          <w:sz w:val="28"/>
          <w:szCs w:val="28"/>
          <w:lang w:val="uk-UA"/>
        </w:rPr>
        <w:t>1</w:t>
      </w:r>
      <w:r w:rsidRPr="00A500AC">
        <w:rPr>
          <w:bCs/>
          <w:sz w:val="28"/>
          <w:szCs w:val="28"/>
        </w:rPr>
        <w:t>]</w:t>
      </w:r>
      <w:r w:rsidRPr="00A500AC">
        <w:rPr>
          <w:sz w:val="28"/>
          <w:szCs w:val="28"/>
          <w:lang w:val="uk-UA"/>
        </w:rPr>
        <w:t xml:space="preserve">. До </w:t>
      </w:r>
      <w:r w:rsidR="00352523">
        <w:rPr>
          <w:sz w:val="28"/>
          <w:szCs w:val="28"/>
          <w:lang w:val="uk-UA"/>
        </w:rPr>
        <w:t xml:space="preserve">обов’язкових </w:t>
      </w:r>
      <w:r w:rsidRPr="00A500AC">
        <w:rPr>
          <w:sz w:val="28"/>
          <w:szCs w:val="28"/>
          <w:lang w:val="uk-UA"/>
        </w:rPr>
        <w:t>складових засобів ГРВ належить сенсор. Він забезпечує формування розряду</w:t>
      </w:r>
      <w:r w:rsidR="00352523">
        <w:rPr>
          <w:sz w:val="28"/>
          <w:szCs w:val="28"/>
          <w:lang w:val="uk-UA"/>
        </w:rPr>
        <w:t xml:space="preserve"> в атмосферному повітрі</w:t>
      </w:r>
      <w:r w:rsidRPr="00A500AC">
        <w:rPr>
          <w:sz w:val="28"/>
          <w:szCs w:val="28"/>
          <w:lang w:val="uk-UA"/>
        </w:rPr>
        <w:t>, світіння якого є основою діагностичного висновку.</w:t>
      </w:r>
      <w:r w:rsidR="00352523">
        <w:rPr>
          <w:sz w:val="28"/>
          <w:szCs w:val="28"/>
          <w:lang w:val="uk-UA"/>
        </w:rPr>
        <w:t xml:space="preserve"> Таким чином фізичні властивості сенсору будуть одночасно впливати на </w:t>
      </w:r>
      <w:r w:rsidR="00352523" w:rsidRPr="007542C9">
        <w:rPr>
          <w:sz w:val="28"/>
          <w:szCs w:val="28"/>
          <w:lang w:val="uk-UA"/>
        </w:rPr>
        <w:t>характеристик</w:t>
      </w:r>
      <w:r w:rsidR="00352523">
        <w:rPr>
          <w:sz w:val="28"/>
          <w:szCs w:val="28"/>
          <w:lang w:val="uk-UA"/>
        </w:rPr>
        <w:t>и</w:t>
      </w:r>
      <w:r w:rsidR="00352523" w:rsidRPr="007542C9">
        <w:rPr>
          <w:sz w:val="28"/>
          <w:szCs w:val="28"/>
          <w:lang w:val="uk-UA"/>
        </w:rPr>
        <w:t xml:space="preserve"> електричного поля</w:t>
      </w:r>
      <w:r w:rsidR="00352523">
        <w:rPr>
          <w:sz w:val="28"/>
          <w:szCs w:val="28"/>
          <w:lang w:val="uk-UA"/>
        </w:rPr>
        <w:t xml:space="preserve"> розряду і </w:t>
      </w:r>
      <w:r w:rsidR="00783CCE">
        <w:rPr>
          <w:sz w:val="28"/>
          <w:szCs w:val="28"/>
          <w:lang w:val="uk-UA"/>
        </w:rPr>
        <w:t xml:space="preserve">параметри спектральної чутливості тракту відео реєстрації. Оскільки світіння газового розряду повинно відображати інформацію про стан об’єкта, то механічні, електрофізичні </w:t>
      </w:r>
      <w:r w:rsidR="0025367B">
        <w:rPr>
          <w:sz w:val="28"/>
          <w:szCs w:val="28"/>
          <w:lang w:val="uk-UA"/>
        </w:rPr>
        <w:t xml:space="preserve">та оптичні характеристики </w:t>
      </w:r>
      <w:r w:rsidR="00783CCE">
        <w:rPr>
          <w:sz w:val="28"/>
          <w:szCs w:val="28"/>
          <w:lang w:val="uk-UA"/>
        </w:rPr>
        <w:t>сенсор</w:t>
      </w:r>
      <w:r w:rsidR="0025367B">
        <w:rPr>
          <w:sz w:val="28"/>
          <w:szCs w:val="28"/>
          <w:lang w:val="uk-UA"/>
        </w:rPr>
        <w:t>а повинні бути сталими. Особливо це важливо для медичної діагностики.</w:t>
      </w:r>
      <w:r w:rsidR="00352523">
        <w:rPr>
          <w:sz w:val="28"/>
          <w:szCs w:val="28"/>
          <w:lang w:val="uk-UA"/>
        </w:rPr>
        <w:t xml:space="preserve"> </w:t>
      </w:r>
      <w:r w:rsidR="0025367B">
        <w:rPr>
          <w:sz w:val="28"/>
          <w:szCs w:val="28"/>
          <w:lang w:val="uk-UA"/>
        </w:rPr>
        <w:t xml:space="preserve">Тому, </w:t>
      </w:r>
      <w:r w:rsidR="0025367B" w:rsidRPr="0025367B">
        <w:rPr>
          <w:sz w:val="28"/>
          <w:szCs w:val="28"/>
          <w:lang w:val="uk-UA"/>
        </w:rPr>
        <w:t>м</w:t>
      </w:r>
      <w:r w:rsidRPr="0025367B">
        <w:rPr>
          <w:sz w:val="28"/>
          <w:szCs w:val="28"/>
          <w:lang w:val="uk-UA"/>
        </w:rPr>
        <w:t>етою роботи</w:t>
      </w:r>
      <w:r w:rsidR="001C2DAC">
        <w:rPr>
          <w:sz w:val="28"/>
          <w:szCs w:val="28"/>
          <w:lang w:val="uk-UA"/>
        </w:rPr>
        <w:t xml:space="preserve"> є визнач</w:t>
      </w:r>
      <w:r w:rsidRPr="00A500AC">
        <w:rPr>
          <w:sz w:val="28"/>
          <w:szCs w:val="28"/>
          <w:lang w:val="uk-UA"/>
        </w:rPr>
        <w:t>ення вимог до основних елементів сенсору для ГРВ</w:t>
      </w:r>
      <w:r w:rsidR="0025367B">
        <w:rPr>
          <w:sz w:val="28"/>
          <w:szCs w:val="28"/>
          <w:lang w:val="uk-UA"/>
        </w:rPr>
        <w:t>-</w:t>
      </w:r>
      <w:r w:rsidRPr="00A500AC">
        <w:rPr>
          <w:sz w:val="28"/>
          <w:szCs w:val="28"/>
          <w:lang w:val="uk-UA"/>
        </w:rPr>
        <w:t xml:space="preserve"> діагностики функціонального стану людини.</w:t>
      </w:r>
    </w:p>
    <w:p w:rsidR="004748B6" w:rsidRDefault="00A500AC" w:rsidP="00CA1D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820"/>
          <w:tab w:val="right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650">
        <w:rPr>
          <w:rFonts w:ascii="Times New Roman" w:hAnsi="Times New Roman"/>
          <w:b/>
          <w:sz w:val="28"/>
          <w:szCs w:val="28"/>
        </w:rPr>
        <w:t>Основна частина</w:t>
      </w:r>
      <w:r w:rsidRPr="003F3650">
        <w:rPr>
          <w:rFonts w:ascii="Times New Roman" w:hAnsi="Times New Roman"/>
          <w:sz w:val="28"/>
          <w:szCs w:val="28"/>
        </w:rPr>
        <w:t xml:space="preserve">. </w:t>
      </w:r>
      <w:r w:rsidR="003F3650" w:rsidRPr="003F3650">
        <w:rPr>
          <w:rFonts w:ascii="Times New Roman" w:eastAsiaTheme="minorHAnsi" w:hAnsi="Times New Roman"/>
          <w:sz w:val="28"/>
          <w:szCs w:val="28"/>
        </w:rPr>
        <w:t xml:space="preserve">Узагальнена структура пристроїв </w:t>
      </w:r>
      <w:proofErr w:type="spellStart"/>
      <w:r w:rsidR="003F3650" w:rsidRPr="003F3650">
        <w:rPr>
          <w:rFonts w:ascii="Times New Roman" w:eastAsiaTheme="minorHAnsi" w:hAnsi="Times New Roman"/>
          <w:sz w:val="28"/>
          <w:szCs w:val="28"/>
        </w:rPr>
        <w:t>ГРВ-діагностики</w:t>
      </w:r>
      <w:proofErr w:type="spellEnd"/>
      <w:r w:rsidR="003F3650" w:rsidRPr="003F3650">
        <w:rPr>
          <w:rFonts w:ascii="Times New Roman" w:eastAsiaTheme="minorHAnsi" w:hAnsi="Times New Roman"/>
          <w:sz w:val="28"/>
          <w:szCs w:val="28"/>
        </w:rPr>
        <w:t xml:space="preserve"> </w:t>
      </w:r>
      <w:r w:rsidR="003F3650" w:rsidRPr="003F3650">
        <w:rPr>
          <w:rFonts w:ascii="Times New Roman" w:eastAsiaTheme="minorHAnsi" w:hAnsi="Times New Roman"/>
          <w:sz w:val="28"/>
          <w:szCs w:val="28"/>
        </w:rPr>
        <w:lastRenderedPageBreak/>
        <w:t xml:space="preserve">показана на рис. 1, </w:t>
      </w:r>
      <w:r w:rsidR="003F3650" w:rsidRPr="003F3650">
        <w:rPr>
          <w:rFonts w:ascii="Times New Roman" w:hAnsi="Times New Roman"/>
          <w:sz w:val="28"/>
          <w:szCs w:val="28"/>
        </w:rPr>
        <w:t>[</w:t>
      </w:r>
      <w:r w:rsidR="003F3650">
        <w:rPr>
          <w:rFonts w:ascii="Times New Roman" w:hAnsi="Times New Roman"/>
          <w:sz w:val="28"/>
          <w:szCs w:val="28"/>
        </w:rPr>
        <w:t>2</w:t>
      </w:r>
      <w:r w:rsidR="003F3650" w:rsidRPr="003F3650">
        <w:rPr>
          <w:rFonts w:ascii="Times New Roman" w:hAnsi="Times New Roman"/>
          <w:sz w:val="28"/>
          <w:szCs w:val="28"/>
        </w:rPr>
        <w:t>]</w:t>
      </w:r>
      <w:r w:rsidR="003F3650" w:rsidRPr="003F3650">
        <w:rPr>
          <w:rFonts w:ascii="Times New Roman" w:eastAsiaTheme="minorHAnsi" w:hAnsi="Times New Roman"/>
          <w:sz w:val="28"/>
          <w:szCs w:val="28"/>
        </w:rPr>
        <w:t xml:space="preserve">. </w:t>
      </w:r>
      <w:r w:rsidR="003F3650" w:rsidRPr="003F3650">
        <w:rPr>
          <w:rFonts w:ascii="Times New Roman" w:hAnsi="Times New Roman"/>
          <w:sz w:val="28"/>
          <w:szCs w:val="28"/>
        </w:rPr>
        <w:t>Газовий розряд виникає на сенсорі, що складається з прозорої діелектричної пластини (</w:t>
      </w:r>
      <w:r w:rsidR="004748B6">
        <w:rPr>
          <w:rFonts w:ascii="Times New Roman" w:hAnsi="Times New Roman"/>
          <w:sz w:val="28"/>
          <w:szCs w:val="28"/>
        </w:rPr>
        <w:t xml:space="preserve">до якої торкається </w:t>
      </w:r>
      <w:r w:rsidR="00A430FB">
        <w:rPr>
          <w:rFonts w:ascii="Times New Roman" w:hAnsi="Times New Roman"/>
          <w:sz w:val="28"/>
          <w:szCs w:val="28"/>
        </w:rPr>
        <w:t>палець досліджуваного</w:t>
      </w:r>
      <w:r w:rsidR="003F3650" w:rsidRPr="003F3650">
        <w:rPr>
          <w:rFonts w:ascii="Times New Roman" w:hAnsi="Times New Roman"/>
          <w:sz w:val="28"/>
          <w:szCs w:val="28"/>
        </w:rPr>
        <w:t xml:space="preserve">) і прозорого провідникового електроду напиленого на зворотну сторону пластини. </w:t>
      </w:r>
    </w:p>
    <w:p w:rsidR="004748B6" w:rsidRDefault="004748B6" w:rsidP="004748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820"/>
          <w:tab w:val="right" w:pos="963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748B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491201" cy="257622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629" t="25106" r="16109" b="1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787" cy="257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B6" w:rsidRPr="004748B6" w:rsidRDefault="004748B6" w:rsidP="004748B6">
      <w:pPr>
        <w:pStyle w:val="ab"/>
        <w:spacing w:before="0" w:beforeAutospacing="0" w:after="0" w:afterAutospacing="0"/>
        <w:ind w:firstLine="578"/>
        <w:jc w:val="center"/>
        <w:rPr>
          <w:sz w:val="28"/>
          <w:szCs w:val="28"/>
          <w:lang w:val="uk-UA"/>
        </w:rPr>
      </w:pPr>
      <w:r w:rsidRPr="004748B6">
        <w:rPr>
          <w:sz w:val="28"/>
          <w:szCs w:val="28"/>
          <w:lang w:val="uk-UA"/>
        </w:rPr>
        <w:t xml:space="preserve">Рис. </w:t>
      </w:r>
      <w:r w:rsidR="00BE2193">
        <w:rPr>
          <w:sz w:val="28"/>
          <w:szCs w:val="28"/>
          <w:lang w:val="uk-UA"/>
        </w:rPr>
        <w:t>1. Основні структурні елементи</w:t>
      </w:r>
      <w:r w:rsidRPr="004748B6">
        <w:rPr>
          <w:sz w:val="28"/>
          <w:szCs w:val="28"/>
          <w:lang w:val="uk-UA"/>
        </w:rPr>
        <w:t xml:space="preserve"> пристроїв газорозрядної візуалізації</w:t>
      </w:r>
    </w:p>
    <w:p w:rsidR="004748B6" w:rsidRDefault="004748B6" w:rsidP="003F36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820"/>
          <w:tab w:val="right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DAC" w:rsidRPr="00733F56" w:rsidRDefault="003F3650" w:rsidP="00733F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820"/>
          <w:tab w:val="right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650">
        <w:rPr>
          <w:rFonts w:ascii="Times New Roman" w:hAnsi="Times New Roman"/>
          <w:sz w:val="28"/>
          <w:szCs w:val="28"/>
        </w:rPr>
        <w:t>До прозорого електроду</w:t>
      </w:r>
      <w:r w:rsidR="00A430FB">
        <w:rPr>
          <w:rFonts w:ascii="Times New Roman" w:hAnsi="Times New Roman"/>
          <w:sz w:val="28"/>
          <w:szCs w:val="28"/>
        </w:rPr>
        <w:t xml:space="preserve"> на час експозиції</w:t>
      </w:r>
      <w:r w:rsidRPr="003F3650">
        <w:rPr>
          <w:rFonts w:ascii="Times New Roman" w:hAnsi="Times New Roman"/>
          <w:sz w:val="28"/>
          <w:szCs w:val="28"/>
        </w:rPr>
        <w:t xml:space="preserve"> </w:t>
      </w:r>
      <w:r w:rsidR="00A430FB">
        <w:rPr>
          <w:rFonts w:ascii="Times New Roman" w:hAnsi="Times New Roman"/>
          <w:sz w:val="28"/>
          <w:szCs w:val="28"/>
        </w:rPr>
        <w:t xml:space="preserve">(0,1…32 с) </w:t>
      </w:r>
      <w:r w:rsidRPr="003F3650">
        <w:rPr>
          <w:rFonts w:ascii="Times New Roman" w:hAnsi="Times New Roman"/>
          <w:sz w:val="28"/>
          <w:szCs w:val="28"/>
        </w:rPr>
        <w:t xml:space="preserve">подається </w:t>
      </w:r>
      <w:r w:rsidR="001C2DAC">
        <w:rPr>
          <w:rFonts w:ascii="Times New Roman" w:hAnsi="Times New Roman"/>
          <w:sz w:val="28"/>
          <w:szCs w:val="28"/>
        </w:rPr>
        <w:t xml:space="preserve">послідовність імпульсів </w:t>
      </w:r>
      <w:r w:rsidRPr="003F3650">
        <w:rPr>
          <w:rFonts w:ascii="Times New Roman" w:hAnsi="Times New Roman"/>
          <w:sz w:val="28"/>
          <w:szCs w:val="28"/>
        </w:rPr>
        <w:t>від високовольтного виходу</w:t>
      </w:r>
      <w:r w:rsidR="00A430FB">
        <w:rPr>
          <w:rFonts w:ascii="Times New Roman" w:hAnsi="Times New Roman"/>
          <w:sz w:val="28"/>
          <w:szCs w:val="28"/>
        </w:rPr>
        <w:t xml:space="preserve"> блоку імпульсної напруги</w:t>
      </w:r>
      <w:r w:rsidRPr="003F3650">
        <w:rPr>
          <w:rFonts w:ascii="Times New Roman" w:hAnsi="Times New Roman"/>
          <w:sz w:val="28"/>
          <w:szCs w:val="28"/>
        </w:rPr>
        <w:t xml:space="preserve">. </w:t>
      </w:r>
      <w:r w:rsidR="00A430FB">
        <w:rPr>
          <w:rFonts w:ascii="Times New Roman" w:hAnsi="Times New Roman"/>
          <w:sz w:val="28"/>
          <w:szCs w:val="28"/>
        </w:rPr>
        <w:t>Для відомих реалізацій пристроїв ГРВ частота і</w:t>
      </w:r>
      <w:r w:rsidR="001C2DAC">
        <w:rPr>
          <w:rFonts w:ascii="Times New Roman" w:hAnsi="Times New Roman"/>
          <w:sz w:val="28"/>
          <w:szCs w:val="28"/>
        </w:rPr>
        <w:t>мпульсів становить 1…200 кГц, тривалість – 1…</w:t>
      </w:r>
      <w:r w:rsidR="005C5EE5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5C5EE5">
        <w:rPr>
          <w:rFonts w:ascii="Times New Roman" w:hAnsi="Times New Roman"/>
          <w:sz w:val="28"/>
          <w:szCs w:val="28"/>
        </w:rPr>
        <w:t>мкс</w:t>
      </w:r>
      <w:proofErr w:type="spellEnd"/>
      <w:r w:rsidR="001C2DAC">
        <w:rPr>
          <w:rFonts w:ascii="Times New Roman" w:hAnsi="Times New Roman"/>
          <w:sz w:val="28"/>
          <w:szCs w:val="28"/>
        </w:rPr>
        <w:t xml:space="preserve">, амплітуда – 3…15 кВ. </w:t>
      </w:r>
      <w:r w:rsidRPr="003F3650">
        <w:rPr>
          <w:rFonts w:ascii="Times New Roman" w:hAnsi="Times New Roman"/>
          <w:sz w:val="28"/>
          <w:szCs w:val="28"/>
        </w:rPr>
        <w:t xml:space="preserve">Інший вихід генератора заземляється. При достатній напруженості електричного поля в повітряному середовищі між об'єктом і прозорим електродом розвивається газовий розряд. Цей розряд відносять до </w:t>
      </w:r>
      <w:proofErr w:type="spellStart"/>
      <w:r w:rsidRPr="003F3650">
        <w:rPr>
          <w:rFonts w:ascii="Times New Roman" w:hAnsi="Times New Roman"/>
          <w:sz w:val="28"/>
          <w:szCs w:val="28"/>
        </w:rPr>
        <w:t>лавинно-стримерного</w:t>
      </w:r>
      <w:proofErr w:type="spellEnd"/>
      <w:r w:rsidRPr="003F3650">
        <w:rPr>
          <w:rFonts w:ascii="Times New Roman" w:hAnsi="Times New Roman"/>
          <w:sz w:val="28"/>
          <w:szCs w:val="28"/>
        </w:rPr>
        <w:t xml:space="preserve"> і ковзного, які є різновидами іскрового [</w:t>
      </w:r>
      <w:r w:rsidR="000F44A9">
        <w:rPr>
          <w:rFonts w:ascii="Times New Roman" w:hAnsi="Times New Roman"/>
          <w:sz w:val="28"/>
          <w:szCs w:val="28"/>
        </w:rPr>
        <w:t>1</w:t>
      </w:r>
      <w:r w:rsidRPr="003F3650">
        <w:rPr>
          <w:rFonts w:ascii="Times New Roman" w:hAnsi="Times New Roman"/>
          <w:sz w:val="28"/>
          <w:szCs w:val="28"/>
        </w:rPr>
        <w:t xml:space="preserve">].  Електричні параметри виникнення розряду  і характеристики області світіння визначаються властивостями об'єкта. Якщо до сенсора прикладений палець людини, то розрядне коло замикається через струми зміщення (ємнісні струми), а весь організм людини виконує функцію ємнісного електрода. Таким чином усі провідникові і діелектричні структури організму людини впливають на формування розряду. Також в області контакту з сенсором виникає часткова емісія заряджених частинок з поверхні об'єкта, що беруть участь у підтримці розряду.  </w:t>
      </w:r>
      <w:r w:rsidR="00A500AC" w:rsidRPr="00733F56">
        <w:rPr>
          <w:rFonts w:ascii="Times New Roman" w:hAnsi="Times New Roman"/>
          <w:sz w:val="28"/>
          <w:szCs w:val="28"/>
        </w:rPr>
        <w:t xml:space="preserve">Детально процес візуалізації та умови виникнення розряду довкола пальця людини приведені в роботі </w:t>
      </w:r>
      <w:r w:rsidR="00A500AC" w:rsidRPr="00733F56">
        <w:rPr>
          <w:rFonts w:ascii="Times New Roman" w:hAnsi="Times New Roman"/>
          <w:bCs/>
          <w:sz w:val="28"/>
          <w:szCs w:val="28"/>
        </w:rPr>
        <w:t>[1</w:t>
      </w:r>
      <w:r w:rsidR="000F44A9">
        <w:rPr>
          <w:rFonts w:ascii="Times New Roman" w:hAnsi="Times New Roman"/>
          <w:bCs/>
          <w:sz w:val="28"/>
          <w:szCs w:val="28"/>
        </w:rPr>
        <w:t>, 2</w:t>
      </w:r>
      <w:r w:rsidR="00A500AC" w:rsidRPr="00733F56">
        <w:rPr>
          <w:rFonts w:ascii="Times New Roman" w:hAnsi="Times New Roman"/>
          <w:bCs/>
          <w:sz w:val="28"/>
          <w:szCs w:val="28"/>
        </w:rPr>
        <w:t xml:space="preserve">]. </w:t>
      </w:r>
    </w:p>
    <w:p w:rsidR="00A500AC" w:rsidRPr="007542C9" w:rsidRDefault="00BE2193" w:rsidP="000F44A9">
      <w:pPr>
        <w:pStyle w:val="ab"/>
        <w:spacing w:before="0" w:beforeAutospacing="0" w:after="0" w:afterAutospacing="0" w:line="360" w:lineRule="auto"/>
        <w:ind w:firstLine="57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Базовими</w:t>
      </w:r>
      <w:r w:rsidR="00A500AC" w:rsidRPr="00A500AC">
        <w:rPr>
          <w:bCs/>
          <w:sz w:val="28"/>
          <w:szCs w:val="28"/>
          <w:lang w:val="uk-UA"/>
        </w:rPr>
        <w:t xml:space="preserve"> елементами сенсору </w:t>
      </w:r>
      <w:r>
        <w:rPr>
          <w:bCs/>
          <w:sz w:val="28"/>
          <w:szCs w:val="28"/>
          <w:lang w:val="uk-UA"/>
        </w:rPr>
        <w:t xml:space="preserve">останніх зразків пристроїв ГРВ </w:t>
      </w:r>
      <w:r w:rsidR="00A500AC" w:rsidRPr="00A500AC">
        <w:rPr>
          <w:bCs/>
          <w:sz w:val="28"/>
          <w:szCs w:val="28"/>
          <w:lang w:val="uk-UA"/>
        </w:rPr>
        <w:t>є прозора діелектрична пластина і прозорий електрод.</w:t>
      </w:r>
      <w:r w:rsidR="000F44A9">
        <w:rPr>
          <w:sz w:val="28"/>
          <w:szCs w:val="28"/>
          <w:lang w:val="uk-UA"/>
        </w:rPr>
        <w:t xml:space="preserve"> </w:t>
      </w:r>
      <w:r w:rsidR="00A500AC" w:rsidRPr="007542C9">
        <w:rPr>
          <w:noProof/>
          <w:sz w:val="28"/>
          <w:szCs w:val="28"/>
          <w:lang w:val="uk-UA"/>
        </w:rPr>
        <w:t>Основні вимоги до діелектричної пластини: прозорість в оптичному діапазоні, діелектричні (електричні ізоляційні) властивості, механічна міцність, геометрична форма. Квацове скло найбільш відповідає зазначеним вимогам. Відрізняють кварцове скло від всіх інших відомих стекол його винятково високі фізико-хімічні властивості. До таких властивостей варто віднести низький температурний коефіцієнт лінійного розширення, рівний 5,8∙10</w:t>
      </w:r>
      <w:r w:rsidR="00A500AC" w:rsidRPr="007542C9">
        <w:rPr>
          <w:noProof/>
          <w:sz w:val="28"/>
          <w:szCs w:val="28"/>
          <w:vertAlign w:val="superscript"/>
          <w:lang w:val="uk-UA"/>
        </w:rPr>
        <w:t>- 7</w:t>
      </w:r>
      <w:r w:rsidR="00A500AC" w:rsidRPr="007542C9">
        <w:rPr>
          <w:noProof/>
          <w:sz w:val="28"/>
          <w:szCs w:val="28"/>
          <w:lang w:val="uk-UA"/>
        </w:rPr>
        <w:t xml:space="preserve"> К</w:t>
      </w:r>
      <w:r w:rsidR="00A500AC" w:rsidRPr="007542C9">
        <w:rPr>
          <w:noProof/>
          <w:sz w:val="28"/>
          <w:szCs w:val="28"/>
          <w:vertAlign w:val="superscript"/>
          <w:lang w:val="uk-UA"/>
        </w:rPr>
        <w:t>-1</w:t>
      </w:r>
      <w:r w:rsidR="00A500AC" w:rsidRPr="007542C9">
        <w:rPr>
          <w:noProof/>
          <w:sz w:val="28"/>
          <w:szCs w:val="28"/>
          <w:lang w:val="uk-UA"/>
        </w:rPr>
        <w:t>, високу прозорість в області довжин хвиль 0,2…1,4 мкм, малі діелектричні втрати і великий питомий опір 10</w:t>
      </w:r>
      <w:r w:rsidR="00A500AC" w:rsidRPr="007542C9">
        <w:rPr>
          <w:noProof/>
          <w:sz w:val="28"/>
          <w:szCs w:val="28"/>
          <w:vertAlign w:val="superscript"/>
          <w:lang w:val="uk-UA"/>
        </w:rPr>
        <w:t>15</w:t>
      </w:r>
      <w:r w:rsidR="00A500AC" w:rsidRPr="007542C9">
        <w:rPr>
          <w:noProof/>
          <w:sz w:val="28"/>
          <w:szCs w:val="28"/>
          <w:lang w:val="uk-UA"/>
        </w:rPr>
        <w:t>…10</w:t>
      </w:r>
      <w:r w:rsidR="00A500AC" w:rsidRPr="007542C9">
        <w:rPr>
          <w:noProof/>
          <w:sz w:val="28"/>
          <w:szCs w:val="28"/>
          <w:vertAlign w:val="superscript"/>
          <w:lang w:val="uk-UA"/>
        </w:rPr>
        <w:t>18</w:t>
      </w:r>
      <w:r w:rsidR="00A500AC" w:rsidRPr="007542C9">
        <w:rPr>
          <w:noProof/>
          <w:sz w:val="28"/>
          <w:szCs w:val="28"/>
          <w:lang w:val="uk-UA"/>
        </w:rPr>
        <w:t xml:space="preserve"> Ом∙см, а також високу хімічну стійкість у кислотах і воді. Пластина повинна мати форму квадрата або диска з лінійними розмірами ~ 50 мм (для ГРВ дослідження пальця людини). Товщину скла обирають з одночасного дотримання умов механічної міцності і достатньої напруженості електричного поля для досягнення розряду. За експериментальними даними при товщині скла ~ 1,5 мм амплітуда імпульсної напруги розряду становить 5…15 кВ, що є допустимим компромісним рішенням.</w:t>
      </w:r>
    </w:p>
    <w:p w:rsidR="00A500AC" w:rsidRDefault="00A500AC" w:rsidP="007542C9">
      <w:pPr>
        <w:pStyle w:val="ab"/>
        <w:spacing w:before="0" w:beforeAutospacing="0" w:after="0" w:afterAutospacing="0" w:line="360" w:lineRule="auto"/>
        <w:ind w:firstLine="578"/>
        <w:jc w:val="both"/>
        <w:rPr>
          <w:noProof/>
          <w:sz w:val="28"/>
          <w:szCs w:val="28"/>
          <w:lang w:val="uk-UA"/>
        </w:rPr>
      </w:pPr>
      <w:r w:rsidRPr="007542C9">
        <w:rPr>
          <w:noProof/>
          <w:sz w:val="28"/>
          <w:szCs w:val="28"/>
          <w:lang w:val="uk-UA"/>
        </w:rPr>
        <w:t xml:space="preserve"> Щодо прозорого електроду – то сучасним технологічним рішенням є напилення на нижню поверхню скляної пластини надтонкого шару провідника. Найчастіше використовують плівки оксиду олова, модифікованого домішками сурми, фосфору, цинку, фтору. Ці плівки прозорі у видимому та ближньому інфрачервоному оптичному діапазоні, безбарвні, їх питомий поверхневий опір ~10 Ом/м, товщина не перевищує 1 мкм.</w:t>
      </w:r>
    </w:p>
    <w:p w:rsidR="00CA1DC5" w:rsidRDefault="00CA1DC5" w:rsidP="00CA1DC5">
      <w:pPr>
        <w:pStyle w:val="ab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733F56">
        <w:rPr>
          <w:b/>
          <w:noProof/>
          <w:sz w:val="28"/>
          <w:szCs w:val="28"/>
          <w:lang w:val="uk-UA"/>
        </w:rPr>
        <w:t>Висновки</w:t>
      </w:r>
      <w:r>
        <w:rPr>
          <w:noProof/>
          <w:sz w:val="28"/>
          <w:szCs w:val="28"/>
          <w:lang w:val="uk-UA"/>
        </w:rPr>
        <w:t xml:space="preserve">. Першим кроком до стандартизації засобів газорозрядної </w:t>
      </w:r>
      <w:r w:rsidR="00733F56">
        <w:rPr>
          <w:noProof/>
          <w:sz w:val="28"/>
          <w:szCs w:val="28"/>
          <w:lang w:val="uk-UA"/>
        </w:rPr>
        <w:t xml:space="preserve">візуальної </w:t>
      </w:r>
      <w:r>
        <w:rPr>
          <w:noProof/>
          <w:sz w:val="28"/>
          <w:szCs w:val="28"/>
          <w:lang w:val="uk-UA"/>
        </w:rPr>
        <w:t>діагностики в мед</w:t>
      </w:r>
      <w:r w:rsidR="00733F56">
        <w:rPr>
          <w:noProof/>
          <w:sz w:val="28"/>
          <w:szCs w:val="28"/>
          <w:lang w:val="uk-UA"/>
        </w:rPr>
        <w:t xml:space="preserve">ичній галузі повинна бути уніфікація конструкції сенсорів. </w:t>
      </w:r>
      <w:r>
        <w:rPr>
          <w:noProof/>
          <w:sz w:val="28"/>
          <w:szCs w:val="28"/>
          <w:lang w:val="uk-UA"/>
        </w:rPr>
        <w:t xml:space="preserve"> </w:t>
      </w:r>
    </w:p>
    <w:p w:rsidR="005C5EE5" w:rsidRDefault="005C5EE5" w:rsidP="00733F56">
      <w:pPr>
        <w:pStyle w:val="ab"/>
        <w:spacing w:before="0" w:beforeAutospacing="0" w:after="0" w:afterAutospacing="0" w:line="360" w:lineRule="auto"/>
        <w:ind w:firstLine="578"/>
        <w:jc w:val="center"/>
        <w:rPr>
          <w:b/>
          <w:noProof/>
          <w:lang w:val="uk-UA"/>
        </w:rPr>
      </w:pPr>
    </w:p>
    <w:p w:rsidR="00CA1DC5" w:rsidRPr="00733F56" w:rsidRDefault="00733F56" w:rsidP="00733F56">
      <w:pPr>
        <w:pStyle w:val="ab"/>
        <w:spacing w:before="0" w:beforeAutospacing="0" w:after="0" w:afterAutospacing="0" w:line="360" w:lineRule="auto"/>
        <w:ind w:firstLine="578"/>
        <w:jc w:val="center"/>
        <w:rPr>
          <w:b/>
          <w:noProof/>
          <w:lang w:val="uk-UA"/>
        </w:rPr>
      </w:pPr>
      <w:r w:rsidRPr="00733F56">
        <w:rPr>
          <w:b/>
          <w:noProof/>
          <w:lang w:val="uk-UA"/>
        </w:rPr>
        <w:t>Література</w:t>
      </w:r>
    </w:p>
    <w:p w:rsidR="00A500AC" w:rsidRPr="00733F56" w:rsidRDefault="00A500AC" w:rsidP="00A500A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7542C9">
        <w:rPr>
          <w:rFonts w:ascii="Times New Roman" w:hAnsi="Times New Roman"/>
          <w:noProof/>
          <w:sz w:val="24"/>
          <w:szCs w:val="24"/>
          <w:lang w:val="en-US"/>
        </w:rPr>
        <w:t xml:space="preserve">Oliinyk, V., Babakov, M., Lomonosov, Y., Oliinyk, V., Zinchenko, O. (2022). Modernization of gas discharge visualization for application in medical diagnostics. Technology Audit and Production Reserves, 4 (1 (66)), 21–29. </w:t>
      </w:r>
      <w:hyperlink r:id="rId7" w:history="1">
        <w:r w:rsidRPr="007542C9">
          <w:rPr>
            <w:rStyle w:val="a5"/>
            <w:rFonts w:ascii="Times New Roman" w:hAnsi="Times New Roman"/>
            <w:noProof/>
            <w:sz w:val="24"/>
            <w:szCs w:val="24"/>
            <w:lang w:val="en-US"/>
          </w:rPr>
          <w:t>http://doi.org/10.15587/2706-5448.2022.263397</w:t>
        </w:r>
      </w:hyperlink>
    </w:p>
    <w:p w:rsidR="00733F56" w:rsidRPr="00733F56" w:rsidRDefault="00733F56" w:rsidP="00733F56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F56">
        <w:rPr>
          <w:rFonts w:ascii="Times New Roman" w:hAnsi="Times New Roman"/>
          <w:sz w:val="24"/>
          <w:szCs w:val="24"/>
        </w:rPr>
        <w:t xml:space="preserve">Зінченко О. М., Олійник В.П., </w:t>
      </w:r>
      <w:proofErr w:type="spellStart"/>
      <w:r w:rsidRPr="00733F56">
        <w:rPr>
          <w:rFonts w:ascii="Times New Roman" w:hAnsi="Times New Roman"/>
          <w:sz w:val="24"/>
          <w:szCs w:val="24"/>
        </w:rPr>
        <w:t>Подпружников</w:t>
      </w:r>
      <w:proofErr w:type="spellEnd"/>
      <w:r w:rsidRPr="00733F56">
        <w:rPr>
          <w:rFonts w:ascii="Times New Roman" w:hAnsi="Times New Roman"/>
          <w:sz w:val="24"/>
          <w:szCs w:val="24"/>
        </w:rPr>
        <w:t xml:space="preserve"> П.М. Стан та перспективи застосування засобів діагностики на основі методу газорозрядної візуалізації // Радіотехніка : </w:t>
      </w:r>
      <w:proofErr w:type="spellStart"/>
      <w:r w:rsidRPr="00733F56">
        <w:rPr>
          <w:rFonts w:ascii="Times New Roman" w:hAnsi="Times New Roman"/>
          <w:sz w:val="24"/>
          <w:szCs w:val="24"/>
        </w:rPr>
        <w:t>Всеукр</w:t>
      </w:r>
      <w:proofErr w:type="spellEnd"/>
      <w:r w:rsidRPr="00733F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3F56">
        <w:rPr>
          <w:rFonts w:ascii="Times New Roman" w:hAnsi="Times New Roman"/>
          <w:sz w:val="24"/>
          <w:szCs w:val="24"/>
        </w:rPr>
        <w:t>міжвід</w:t>
      </w:r>
      <w:proofErr w:type="spellEnd"/>
      <w:r w:rsidRPr="00733F56">
        <w:rPr>
          <w:rFonts w:ascii="Times New Roman" w:hAnsi="Times New Roman"/>
          <w:sz w:val="24"/>
          <w:szCs w:val="24"/>
        </w:rPr>
        <w:t>. наук.-техн. зб. 2024.Вип. 218. C. 129 – 143. DOI:</w:t>
      </w:r>
      <w:r w:rsidRPr="00733F56">
        <w:rPr>
          <w:rFonts w:ascii="Times New Roman" w:hAnsi="Times New Roman"/>
          <w:sz w:val="24"/>
          <w:szCs w:val="24"/>
          <w:u w:val="single"/>
        </w:rPr>
        <w:t>10.30837/rt.2024.3.218.11</w:t>
      </w:r>
    </w:p>
    <w:sectPr w:rsidR="00733F56" w:rsidRPr="00733F56" w:rsidSect="001D5E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3A87"/>
    <w:multiLevelType w:val="hybridMultilevel"/>
    <w:tmpl w:val="1E6A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5B3A"/>
    <w:multiLevelType w:val="hybridMultilevel"/>
    <w:tmpl w:val="9BE2BBFA"/>
    <w:lvl w:ilvl="0" w:tplc="9E06C0B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A71FDD"/>
    <w:multiLevelType w:val="multilevel"/>
    <w:tmpl w:val="A17ED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2CF66DC"/>
    <w:multiLevelType w:val="hybridMultilevel"/>
    <w:tmpl w:val="8DAEC316"/>
    <w:lvl w:ilvl="0" w:tplc="F18C3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6588"/>
    <w:multiLevelType w:val="hybridMultilevel"/>
    <w:tmpl w:val="CA94141A"/>
    <w:lvl w:ilvl="0" w:tplc="0C7E9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32318"/>
    <w:multiLevelType w:val="hybridMultilevel"/>
    <w:tmpl w:val="CCF4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32E4"/>
    <w:multiLevelType w:val="hybridMultilevel"/>
    <w:tmpl w:val="F0ACA700"/>
    <w:lvl w:ilvl="0" w:tplc="F18C3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720955"/>
    <w:multiLevelType w:val="hybridMultilevel"/>
    <w:tmpl w:val="E47E6F50"/>
    <w:lvl w:ilvl="0" w:tplc="8110D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B426D"/>
    <w:multiLevelType w:val="hybridMultilevel"/>
    <w:tmpl w:val="268AE78E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58091C2E"/>
    <w:multiLevelType w:val="hybridMultilevel"/>
    <w:tmpl w:val="BF4C81B0"/>
    <w:lvl w:ilvl="0" w:tplc="ADBCA4F8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5CAEB3"/>
    <w:multiLevelType w:val="hybridMultilevel"/>
    <w:tmpl w:val="65A015FE"/>
    <w:lvl w:ilvl="0" w:tplc="F372F004">
      <w:start w:val="1"/>
      <w:numFmt w:val="decimal"/>
      <w:lvlText w:val="%1."/>
      <w:lvlJc w:val="left"/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D94CFC"/>
    <w:multiLevelType w:val="hybridMultilevel"/>
    <w:tmpl w:val="3BDE1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928C1"/>
    <w:multiLevelType w:val="hybridMultilevel"/>
    <w:tmpl w:val="188045B8"/>
    <w:lvl w:ilvl="0" w:tplc="12AA4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F47263A"/>
    <w:multiLevelType w:val="hybridMultilevel"/>
    <w:tmpl w:val="73CA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456C36"/>
    <w:rsid w:val="00003B73"/>
    <w:rsid w:val="00006E78"/>
    <w:rsid w:val="00007E19"/>
    <w:rsid w:val="0001600B"/>
    <w:rsid w:val="00016783"/>
    <w:rsid w:val="000337AC"/>
    <w:rsid w:val="00063A48"/>
    <w:rsid w:val="00074FE0"/>
    <w:rsid w:val="00077654"/>
    <w:rsid w:val="000801E6"/>
    <w:rsid w:val="000905D5"/>
    <w:rsid w:val="00095B78"/>
    <w:rsid w:val="000A1A84"/>
    <w:rsid w:val="000A1F1F"/>
    <w:rsid w:val="000A4643"/>
    <w:rsid w:val="000B1992"/>
    <w:rsid w:val="000B23C8"/>
    <w:rsid w:val="000B58EE"/>
    <w:rsid w:val="000B7124"/>
    <w:rsid w:val="000C5626"/>
    <w:rsid w:val="000D1286"/>
    <w:rsid w:val="000E1D24"/>
    <w:rsid w:val="000E70DC"/>
    <w:rsid w:val="000E7570"/>
    <w:rsid w:val="000F44A9"/>
    <w:rsid w:val="001512F4"/>
    <w:rsid w:val="00156CFD"/>
    <w:rsid w:val="00160ED4"/>
    <w:rsid w:val="00164350"/>
    <w:rsid w:val="001675F2"/>
    <w:rsid w:val="00167C09"/>
    <w:rsid w:val="0019567F"/>
    <w:rsid w:val="001A2505"/>
    <w:rsid w:val="001A2602"/>
    <w:rsid w:val="001A77C7"/>
    <w:rsid w:val="001A7D61"/>
    <w:rsid w:val="001C2DAC"/>
    <w:rsid w:val="001D2310"/>
    <w:rsid w:val="001D492F"/>
    <w:rsid w:val="001D5ECC"/>
    <w:rsid w:val="001E5064"/>
    <w:rsid w:val="001E5FD9"/>
    <w:rsid w:val="001F5970"/>
    <w:rsid w:val="001F7DFC"/>
    <w:rsid w:val="002050A0"/>
    <w:rsid w:val="00206EEB"/>
    <w:rsid w:val="00223414"/>
    <w:rsid w:val="00237CEB"/>
    <w:rsid w:val="00251944"/>
    <w:rsid w:val="0025367B"/>
    <w:rsid w:val="00292D67"/>
    <w:rsid w:val="002A1C02"/>
    <w:rsid w:val="002A5062"/>
    <w:rsid w:val="002A7131"/>
    <w:rsid w:val="002D2956"/>
    <w:rsid w:val="002D3159"/>
    <w:rsid w:val="002E0718"/>
    <w:rsid w:val="00300573"/>
    <w:rsid w:val="0030370B"/>
    <w:rsid w:val="00315E5C"/>
    <w:rsid w:val="0033107C"/>
    <w:rsid w:val="00341F9E"/>
    <w:rsid w:val="00343E1E"/>
    <w:rsid w:val="00352523"/>
    <w:rsid w:val="003571BA"/>
    <w:rsid w:val="00383FE6"/>
    <w:rsid w:val="00385D9B"/>
    <w:rsid w:val="003B3F17"/>
    <w:rsid w:val="003B5F7D"/>
    <w:rsid w:val="003C551A"/>
    <w:rsid w:val="003C6A05"/>
    <w:rsid w:val="003D70F8"/>
    <w:rsid w:val="003E3706"/>
    <w:rsid w:val="003F1589"/>
    <w:rsid w:val="003F2726"/>
    <w:rsid w:val="003F3650"/>
    <w:rsid w:val="003F76A7"/>
    <w:rsid w:val="00413E2F"/>
    <w:rsid w:val="00420ACB"/>
    <w:rsid w:val="00423F07"/>
    <w:rsid w:val="00431FC3"/>
    <w:rsid w:val="00432261"/>
    <w:rsid w:val="00444BB8"/>
    <w:rsid w:val="00445CC0"/>
    <w:rsid w:val="00450829"/>
    <w:rsid w:val="00450B09"/>
    <w:rsid w:val="00450E10"/>
    <w:rsid w:val="00456C36"/>
    <w:rsid w:val="004748B6"/>
    <w:rsid w:val="00477754"/>
    <w:rsid w:val="004A63A0"/>
    <w:rsid w:val="004C372E"/>
    <w:rsid w:val="004C61C4"/>
    <w:rsid w:val="004D3294"/>
    <w:rsid w:val="004E3116"/>
    <w:rsid w:val="004E513D"/>
    <w:rsid w:val="00513B48"/>
    <w:rsid w:val="00522A39"/>
    <w:rsid w:val="00523287"/>
    <w:rsid w:val="0056538F"/>
    <w:rsid w:val="005A2484"/>
    <w:rsid w:val="005C5B40"/>
    <w:rsid w:val="005C5EE5"/>
    <w:rsid w:val="005F304D"/>
    <w:rsid w:val="006024FE"/>
    <w:rsid w:val="00615145"/>
    <w:rsid w:val="00634DD9"/>
    <w:rsid w:val="006414A0"/>
    <w:rsid w:val="00646E69"/>
    <w:rsid w:val="00657F92"/>
    <w:rsid w:val="00664473"/>
    <w:rsid w:val="006705BD"/>
    <w:rsid w:val="00673943"/>
    <w:rsid w:val="006866C2"/>
    <w:rsid w:val="006B72D5"/>
    <w:rsid w:val="006C0A64"/>
    <w:rsid w:val="006D4EB1"/>
    <w:rsid w:val="006D667E"/>
    <w:rsid w:val="006F4E1E"/>
    <w:rsid w:val="00700615"/>
    <w:rsid w:val="00733C50"/>
    <w:rsid w:val="00733F56"/>
    <w:rsid w:val="00750679"/>
    <w:rsid w:val="007542C9"/>
    <w:rsid w:val="00763F9E"/>
    <w:rsid w:val="00783A18"/>
    <w:rsid w:val="00783CCE"/>
    <w:rsid w:val="007A3C34"/>
    <w:rsid w:val="007B243E"/>
    <w:rsid w:val="007B4E6E"/>
    <w:rsid w:val="007D627D"/>
    <w:rsid w:val="007E3020"/>
    <w:rsid w:val="0081312F"/>
    <w:rsid w:val="008175D0"/>
    <w:rsid w:val="0082678F"/>
    <w:rsid w:val="00830581"/>
    <w:rsid w:val="00832835"/>
    <w:rsid w:val="00854366"/>
    <w:rsid w:val="00860086"/>
    <w:rsid w:val="00881188"/>
    <w:rsid w:val="00892910"/>
    <w:rsid w:val="008A506F"/>
    <w:rsid w:val="008A52AB"/>
    <w:rsid w:val="008C32CE"/>
    <w:rsid w:val="008F3B40"/>
    <w:rsid w:val="009151E2"/>
    <w:rsid w:val="009204C3"/>
    <w:rsid w:val="009230FC"/>
    <w:rsid w:val="0095001F"/>
    <w:rsid w:val="00953CA8"/>
    <w:rsid w:val="009616A7"/>
    <w:rsid w:val="00970388"/>
    <w:rsid w:val="00974D5B"/>
    <w:rsid w:val="00980571"/>
    <w:rsid w:val="009815F9"/>
    <w:rsid w:val="00982A5F"/>
    <w:rsid w:val="0098303F"/>
    <w:rsid w:val="009A0652"/>
    <w:rsid w:val="009B7FAB"/>
    <w:rsid w:val="009C4BDE"/>
    <w:rsid w:val="009D249A"/>
    <w:rsid w:val="009D3C10"/>
    <w:rsid w:val="009E7754"/>
    <w:rsid w:val="00A035F2"/>
    <w:rsid w:val="00A30E0C"/>
    <w:rsid w:val="00A430FB"/>
    <w:rsid w:val="00A500AC"/>
    <w:rsid w:val="00A51DE3"/>
    <w:rsid w:val="00A7329A"/>
    <w:rsid w:val="00A84626"/>
    <w:rsid w:val="00A908AC"/>
    <w:rsid w:val="00A91357"/>
    <w:rsid w:val="00AA7141"/>
    <w:rsid w:val="00AA73CE"/>
    <w:rsid w:val="00AC3412"/>
    <w:rsid w:val="00AE5776"/>
    <w:rsid w:val="00AF380F"/>
    <w:rsid w:val="00AF4920"/>
    <w:rsid w:val="00B02A67"/>
    <w:rsid w:val="00B334DD"/>
    <w:rsid w:val="00B43194"/>
    <w:rsid w:val="00B46682"/>
    <w:rsid w:val="00B65014"/>
    <w:rsid w:val="00B76097"/>
    <w:rsid w:val="00B82443"/>
    <w:rsid w:val="00B91661"/>
    <w:rsid w:val="00B91A3A"/>
    <w:rsid w:val="00BA3121"/>
    <w:rsid w:val="00BC14F4"/>
    <w:rsid w:val="00BC1FF1"/>
    <w:rsid w:val="00BC5273"/>
    <w:rsid w:val="00BD63D0"/>
    <w:rsid w:val="00BE2193"/>
    <w:rsid w:val="00BE54C1"/>
    <w:rsid w:val="00BF53B1"/>
    <w:rsid w:val="00C03583"/>
    <w:rsid w:val="00C12A22"/>
    <w:rsid w:val="00C13238"/>
    <w:rsid w:val="00C2069E"/>
    <w:rsid w:val="00C417C6"/>
    <w:rsid w:val="00C41AF1"/>
    <w:rsid w:val="00C41BCA"/>
    <w:rsid w:val="00C421C1"/>
    <w:rsid w:val="00C52FE0"/>
    <w:rsid w:val="00C55630"/>
    <w:rsid w:val="00C660D3"/>
    <w:rsid w:val="00C6635E"/>
    <w:rsid w:val="00C667E4"/>
    <w:rsid w:val="00C70A05"/>
    <w:rsid w:val="00C8509B"/>
    <w:rsid w:val="00C9427E"/>
    <w:rsid w:val="00CA1DC5"/>
    <w:rsid w:val="00CA3131"/>
    <w:rsid w:val="00CB399D"/>
    <w:rsid w:val="00CC3C37"/>
    <w:rsid w:val="00CD1F04"/>
    <w:rsid w:val="00CF1CA8"/>
    <w:rsid w:val="00D36131"/>
    <w:rsid w:val="00D45D8D"/>
    <w:rsid w:val="00D54664"/>
    <w:rsid w:val="00D65C63"/>
    <w:rsid w:val="00D72312"/>
    <w:rsid w:val="00D74562"/>
    <w:rsid w:val="00D835AF"/>
    <w:rsid w:val="00D96909"/>
    <w:rsid w:val="00DA2D2F"/>
    <w:rsid w:val="00DA5089"/>
    <w:rsid w:val="00DA5291"/>
    <w:rsid w:val="00DB5819"/>
    <w:rsid w:val="00DB7DEC"/>
    <w:rsid w:val="00DC275D"/>
    <w:rsid w:val="00DC31D9"/>
    <w:rsid w:val="00DD051D"/>
    <w:rsid w:val="00DD338B"/>
    <w:rsid w:val="00DE6E6C"/>
    <w:rsid w:val="00DF275C"/>
    <w:rsid w:val="00E03B3B"/>
    <w:rsid w:val="00E11F2A"/>
    <w:rsid w:val="00E37028"/>
    <w:rsid w:val="00E42735"/>
    <w:rsid w:val="00E441C8"/>
    <w:rsid w:val="00E66BE8"/>
    <w:rsid w:val="00E71F40"/>
    <w:rsid w:val="00E83129"/>
    <w:rsid w:val="00E93A01"/>
    <w:rsid w:val="00EB60DE"/>
    <w:rsid w:val="00EC7805"/>
    <w:rsid w:val="00ED12A2"/>
    <w:rsid w:val="00EF0FDB"/>
    <w:rsid w:val="00F123A1"/>
    <w:rsid w:val="00F14D52"/>
    <w:rsid w:val="00F152ED"/>
    <w:rsid w:val="00F36407"/>
    <w:rsid w:val="00F37BA0"/>
    <w:rsid w:val="00F52BDA"/>
    <w:rsid w:val="00F873E1"/>
    <w:rsid w:val="00FA7781"/>
    <w:rsid w:val="00FB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>
      <o:colormenu v:ext="edit" strokecolor="none"/>
    </o:shapedefaults>
    <o:shapelayout v:ext="edit">
      <o:idmap v:ext="edit" data="1"/>
      <o:rules v:ext="edit">
        <o:r id="V:Rule59" type="connector" idref="#_x0000_s1042"/>
        <o:r id="V:Rule60" type="connector" idref="#_x0000_s1038"/>
        <o:r id="V:Rule61" type="connector" idref="#_x0000_s1072"/>
        <o:r id="V:Rule62" type="connector" idref="#_x0000_s1048"/>
        <o:r id="V:Rule63" type="connector" idref="#_x0000_s1095"/>
        <o:r id="V:Rule64" type="connector" idref="#_x0000_s1050"/>
        <o:r id="V:Rule65" type="connector" idref="#_x0000_s1047"/>
        <o:r id="V:Rule66" type="connector" idref="#_x0000_s1046"/>
        <o:r id="V:Rule67" type="connector" idref="#_x0000_s1063"/>
        <o:r id="V:Rule68" type="connector" idref="#_x0000_s1031"/>
        <o:r id="V:Rule69" type="connector" idref="#_x0000_s1058"/>
        <o:r id="V:Rule70" type="connector" idref="#_x0000_s1051"/>
        <o:r id="V:Rule71" type="connector" idref="#_x0000_s1033"/>
        <o:r id="V:Rule72" type="connector" idref="#_x0000_s1039"/>
        <o:r id="V:Rule73" type="connector" idref="#_x0000_s1074"/>
        <o:r id="V:Rule74" type="connector" idref="#_x0000_s1103"/>
        <o:r id="V:Rule75" type="connector" idref="#_x0000_s1029"/>
        <o:r id="V:Rule76" type="connector" idref="#_x0000_s1066"/>
        <o:r id="V:Rule77" type="connector" idref="#_x0000_s1035"/>
        <o:r id="V:Rule78" type="connector" idref="#_x0000_s1065"/>
        <o:r id="V:Rule79" type="connector" idref="#_x0000_s1094"/>
        <o:r id="V:Rule80" type="connector" idref="#_x0000_s1044"/>
        <o:r id="V:Rule81" type="connector" idref="#_x0000_s1067"/>
        <o:r id="V:Rule82" type="connector" idref="#_x0000_s1041"/>
        <o:r id="V:Rule83" type="connector" idref="#_x0000_s1070"/>
        <o:r id="V:Rule84" type="connector" idref="#_x0000_s1036"/>
        <o:r id="V:Rule85" type="connector" idref="#_x0000_s1054"/>
        <o:r id="V:Rule86" type="connector" idref="#_x0000_s1106"/>
        <o:r id="V:Rule87" type="connector" idref="#_x0000_s1104"/>
        <o:r id="V:Rule88" type="connector" idref="#_x0000_s1102"/>
        <o:r id="V:Rule89" type="connector" idref="#_x0000_s1060"/>
        <o:r id="V:Rule90" type="connector" idref="#_x0000_s1109"/>
        <o:r id="V:Rule91" type="connector" idref="#_x0000_s1108"/>
        <o:r id="V:Rule92" type="connector" idref="#_x0000_s1037"/>
        <o:r id="V:Rule93" type="connector" idref="#_x0000_s1049"/>
        <o:r id="V:Rule94" type="connector" idref="#_x0000_s1081"/>
        <o:r id="V:Rule95" type="connector" idref="#_x0000_s1045"/>
        <o:r id="V:Rule96" type="connector" idref="#_x0000_s1077"/>
        <o:r id="V:Rule97" type="connector" idref="#_x0000_s1097"/>
        <o:r id="V:Rule98" type="connector" idref="#_x0000_s1061"/>
        <o:r id="V:Rule99" type="connector" idref="#_x0000_s1083"/>
        <o:r id="V:Rule100" type="connector" idref="#_x0000_s1032"/>
        <o:r id="V:Rule101" type="connector" idref="#_x0000_s1034"/>
        <o:r id="V:Rule102" type="connector" idref="#_x0000_s1100"/>
        <o:r id="V:Rule103" type="connector" idref="#_x0000_s1105"/>
        <o:r id="V:Rule104" type="connector" idref="#_x0000_s1043"/>
        <o:r id="V:Rule105" type="connector" idref="#_x0000_s1079"/>
        <o:r id="V:Rule106" type="connector" idref="#_x0000_s1078"/>
        <o:r id="V:Rule107" type="connector" idref="#_x0000_s1084"/>
        <o:r id="V:Rule108" type="connector" idref="#_x0000_s1076"/>
        <o:r id="V:Rule109" type="connector" idref="#_x0000_s1107"/>
        <o:r id="V:Rule110" type="connector" idref="#_x0000_s1062"/>
        <o:r id="V:Rule111" type="connector" idref="#_x0000_s1101"/>
        <o:r id="V:Rule112" type="connector" idref="#_x0000_s1040"/>
        <o:r id="V:Rule113" type="connector" idref="#_x0000_s1082"/>
        <o:r id="V:Rule114" type="connector" idref="#_x0000_s1068"/>
        <o:r id="V:Rule115" type="connector" idref="#_x0000_s1111"/>
        <o:r id="V:Rule11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9B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4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56"/>
    <w:pPr>
      <w:ind w:left="720"/>
      <w:contextualSpacing/>
    </w:pPr>
  </w:style>
  <w:style w:type="table" w:styleId="a4">
    <w:name w:val="Table Grid"/>
    <w:basedOn w:val="a1"/>
    <w:uiPriority w:val="59"/>
    <w:rsid w:val="002D29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29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95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B399D"/>
    <w:rPr>
      <w:color w:val="605E5C"/>
      <w:shd w:val="clear" w:color="auto" w:fill="E1DFDD"/>
    </w:rPr>
  </w:style>
  <w:style w:type="character" w:customStyle="1" w:styleId="x193iq5w">
    <w:name w:val="x193iq5w"/>
    <w:basedOn w:val="a0"/>
    <w:rsid w:val="002A1C02"/>
  </w:style>
  <w:style w:type="paragraph" w:customStyle="1" w:styleId="Default">
    <w:name w:val="Default"/>
    <w:rsid w:val="007B2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link w:val="2"/>
    <w:uiPriority w:val="99"/>
    <w:locked/>
    <w:rsid w:val="00AF380F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AF380F"/>
    <w:pPr>
      <w:widowControl w:val="0"/>
      <w:shd w:val="clear" w:color="auto" w:fill="FFFFFF"/>
      <w:spacing w:after="300" w:line="240" w:lineRule="atLeast"/>
      <w:jc w:val="right"/>
    </w:pPr>
    <w:rPr>
      <w:rFonts w:ascii="Times New Roman" w:eastAsiaTheme="minorHAnsi" w:hAnsi="Times New Roman" w:cstheme="minorBidi"/>
      <w:lang w:val="ru-RU"/>
    </w:rPr>
  </w:style>
  <w:style w:type="paragraph" w:customStyle="1" w:styleId="a9">
    <w:name w:val="весь текст"/>
    <w:link w:val="aa"/>
    <w:qFormat/>
    <w:rsid w:val="00E71F40"/>
    <w:pPr>
      <w:widowControl w:val="0"/>
      <w:tabs>
        <w:tab w:val="center" w:pos="4820"/>
        <w:tab w:val="right" w:pos="9639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сь текст Знак"/>
    <w:basedOn w:val="a0"/>
    <w:link w:val="a9"/>
    <w:rsid w:val="00E71F40"/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uiPriority w:val="99"/>
    <w:rsid w:val="000A1F1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A50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i.org/10.15587/2706-5448.2022.2633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F8102-1569-4D2C-90AA-B59C795D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Вова</cp:lastModifiedBy>
  <cp:revision>10</cp:revision>
  <cp:lastPrinted>2024-10-10T12:06:00Z</cp:lastPrinted>
  <dcterms:created xsi:type="dcterms:W3CDTF">2025-06-07T09:35:00Z</dcterms:created>
  <dcterms:modified xsi:type="dcterms:W3CDTF">2025-06-08T20:07:00Z</dcterms:modified>
</cp:coreProperties>
</file>