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0AFE" w14:textId="787EAE94" w:rsidR="00514318" w:rsidRPr="004370AB" w:rsidRDefault="00514318" w:rsidP="00514318">
      <w:pPr>
        <w:spacing w:after="0" w:line="360" w:lineRule="auto"/>
        <w:jc w:val="right"/>
        <w:rPr>
          <w:szCs w:val="28"/>
        </w:rPr>
      </w:pPr>
      <w:proofErr w:type="spellStart"/>
      <w:r w:rsidRPr="008B2F8C">
        <w:rPr>
          <w:rStyle w:val="a5"/>
          <w:b w:val="0"/>
          <w:bCs w:val="0"/>
          <w:szCs w:val="28"/>
          <w:shd w:val="clear" w:color="auto" w:fill="FFFFFF"/>
          <w:lang w:val="uk-UA"/>
        </w:rPr>
        <w:t>Никоненко</w:t>
      </w:r>
      <w:proofErr w:type="spellEnd"/>
      <w:r w:rsidRPr="008B2F8C">
        <w:rPr>
          <w:rStyle w:val="a5"/>
          <w:b w:val="0"/>
          <w:bCs w:val="0"/>
          <w:szCs w:val="28"/>
          <w:shd w:val="clear" w:color="auto" w:fill="FFFFFF"/>
          <w:lang w:val="uk-UA"/>
        </w:rPr>
        <w:t xml:space="preserve"> А. </w:t>
      </w:r>
      <w:r w:rsidRPr="008B2F8C">
        <w:rPr>
          <w:szCs w:val="28"/>
          <w:lang w:val="uk-UA"/>
        </w:rPr>
        <w:t>Д.</w:t>
      </w:r>
      <w:r w:rsidRPr="008B2F8C">
        <w:rPr>
          <w:szCs w:val="28"/>
        </w:rPr>
        <w:t>,</w:t>
      </w:r>
      <w:r w:rsidRPr="004370AB">
        <w:rPr>
          <w:szCs w:val="28"/>
        </w:rPr>
        <w:t xml:space="preserve"> </w:t>
      </w:r>
      <w:proofErr w:type="spellStart"/>
      <w:r w:rsidRPr="004370AB">
        <w:rPr>
          <w:szCs w:val="28"/>
        </w:rPr>
        <w:t>магістрант</w:t>
      </w:r>
      <w:proofErr w:type="spellEnd"/>
    </w:p>
    <w:p w14:paraId="2FC7A6CA" w14:textId="77777777" w:rsidR="00514318" w:rsidRPr="004370AB" w:rsidRDefault="00514318" w:rsidP="00514318">
      <w:pPr>
        <w:spacing w:after="0" w:line="360" w:lineRule="auto"/>
        <w:jc w:val="right"/>
        <w:rPr>
          <w:szCs w:val="28"/>
        </w:rPr>
      </w:pPr>
      <w:proofErr w:type="spellStart"/>
      <w:r w:rsidRPr="004370AB">
        <w:rPr>
          <w:szCs w:val="28"/>
        </w:rPr>
        <w:t>Сумський</w:t>
      </w:r>
      <w:proofErr w:type="spellEnd"/>
      <w:r w:rsidRPr="004370AB">
        <w:rPr>
          <w:szCs w:val="28"/>
        </w:rPr>
        <w:t xml:space="preserve"> </w:t>
      </w:r>
      <w:proofErr w:type="spellStart"/>
      <w:r w:rsidRPr="004370AB">
        <w:rPr>
          <w:szCs w:val="28"/>
        </w:rPr>
        <w:t>національний</w:t>
      </w:r>
      <w:proofErr w:type="spellEnd"/>
      <w:r w:rsidRPr="004370AB">
        <w:rPr>
          <w:szCs w:val="28"/>
        </w:rPr>
        <w:t xml:space="preserve"> </w:t>
      </w:r>
      <w:proofErr w:type="spellStart"/>
      <w:r w:rsidRPr="004370AB">
        <w:rPr>
          <w:szCs w:val="28"/>
        </w:rPr>
        <w:t>аграрний</w:t>
      </w:r>
      <w:proofErr w:type="spellEnd"/>
      <w:r w:rsidRPr="004370AB">
        <w:rPr>
          <w:szCs w:val="28"/>
        </w:rPr>
        <w:t xml:space="preserve"> </w:t>
      </w:r>
      <w:proofErr w:type="spellStart"/>
      <w:r w:rsidRPr="004370AB">
        <w:rPr>
          <w:szCs w:val="28"/>
        </w:rPr>
        <w:t>університет</w:t>
      </w:r>
      <w:proofErr w:type="spellEnd"/>
      <w:r w:rsidRPr="004370AB">
        <w:rPr>
          <w:szCs w:val="28"/>
        </w:rPr>
        <w:t xml:space="preserve">, м. </w:t>
      </w:r>
      <w:proofErr w:type="spellStart"/>
      <w:r w:rsidRPr="004370AB">
        <w:rPr>
          <w:szCs w:val="28"/>
        </w:rPr>
        <w:t>Суми</w:t>
      </w:r>
      <w:proofErr w:type="spellEnd"/>
    </w:p>
    <w:p w14:paraId="1956582B" w14:textId="77777777" w:rsidR="00514318" w:rsidRPr="00E06CC8" w:rsidRDefault="00514318" w:rsidP="00514318">
      <w:pPr>
        <w:spacing w:after="0" w:line="360" w:lineRule="auto"/>
        <w:jc w:val="center"/>
        <w:rPr>
          <w:b/>
          <w:bCs/>
          <w:sz w:val="20"/>
          <w:szCs w:val="20"/>
        </w:rPr>
      </w:pPr>
    </w:p>
    <w:p w14:paraId="5146E231" w14:textId="77777777" w:rsidR="008B2F8C" w:rsidRPr="008B2F8C" w:rsidRDefault="008B2F8C" w:rsidP="001622F4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color w:val="000000"/>
          <w:szCs w:val="28"/>
          <w:lang w:val="uk-UA"/>
        </w:rPr>
      </w:pPr>
      <w:r w:rsidRPr="008B2F8C">
        <w:rPr>
          <w:rFonts w:eastAsia="Times New Roman"/>
          <w:b/>
          <w:color w:val="000000"/>
          <w:szCs w:val="28"/>
          <w:highlight w:val="white"/>
          <w:lang w:val="uk-UA"/>
        </w:rPr>
        <w:t>ПОНЯТТЯ ІНВЕСТИЦІЙНОЇ ПРИВАБЛИВОСТІ ПІДПРИЄМСТВА ТА ПІДХОДИ ДО ЇЇ ОЦІНКИ</w:t>
      </w:r>
    </w:p>
    <w:p w14:paraId="4B953041" w14:textId="77777777" w:rsidR="00D37DBD" w:rsidRDefault="00D37DBD" w:rsidP="007476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</w:pPr>
    </w:p>
    <w:p w14:paraId="0E790B20" w14:textId="7506A3FF" w:rsidR="00A041A0" w:rsidRDefault="0074760C" w:rsidP="00E84B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highlight w:val="white"/>
          <w:lang w:val="uk-UA"/>
        </w:rPr>
      </w:pPr>
      <w:r w:rsidRPr="00E84B57">
        <w:rPr>
          <w:rFonts w:eastAsia="Times New Roman"/>
          <w:szCs w:val="28"/>
          <w:highlight w:val="white"/>
          <w:lang w:val="uk-UA"/>
        </w:rPr>
        <w:t>Інвестиційна привабливість од</w:t>
      </w:r>
      <w:r w:rsidR="005F4EA4">
        <w:rPr>
          <w:rFonts w:eastAsia="Times New Roman"/>
          <w:szCs w:val="28"/>
          <w:highlight w:val="white"/>
          <w:lang w:val="uk-UA"/>
        </w:rPr>
        <w:t>ин</w:t>
      </w:r>
      <w:r w:rsidRPr="00E84B57">
        <w:rPr>
          <w:rFonts w:eastAsia="Times New Roman"/>
          <w:szCs w:val="28"/>
          <w:highlight w:val="white"/>
          <w:lang w:val="uk-UA"/>
        </w:rPr>
        <w:t xml:space="preserve"> із найважливіших параметрів ефективності діяльності підприємства будь-якої організаційно-правової форми у світі. Для потенційних інвесторів саме достатній рівень інвестиційної привабливості підприємства є першопричиною під час вибор</w:t>
      </w:r>
      <w:r w:rsidR="000614C0">
        <w:rPr>
          <w:rFonts w:eastAsia="Times New Roman"/>
          <w:szCs w:val="28"/>
          <w:highlight w:val="white"/>
          <w:lang w:val="uk-UA"/>
        </w:rPr>
        <w:t>у</w:t>
      </w:r>
      <w:r w:rsidRPr="00E84B57">
        <w:rPr>
          <w:rFonts w:eastAsia="Times New Roman"/>
          <w:szCs w:val="28"/>
          <w:highlight w:val="white"/>
          <w:lang w:val="uk-UA"/>
        </w:rPr>
        <w:t xml:space="preserve"> об'єкта інвестування. </w:t>
      </w:r>
      <w:r w:rsidR="00A041A0" w:rsidRPr="00E84B57">
        <w:rPr>
          <w:rFonts w:eastAsia="Times New Roman"/>
          <w:szCs w:val="28"/>
          <w:highlight w:val="white"/>
          <w:lang w:val="uk-UA"/>
        </w:rPr>
        <w:t xml:space="preserve">На сьогоднішній день так і не сформувалося єдиного підходу до його трактування </w:t>
      </w:r>
      <w:r w:rsidR="00D377C1" w:rsidRPr="00E84B57">
        <w:rPr>
          <w:rFonts w:eastAsia="Times New Roman"/>
          <w:szCs w:val="28"/>
          <w:highlight w:val="white"/>
          <w:lang w:val="uk-UA"/>
        </w:rPr>
        <w:t>[1]</w:t>
      </w:r>
      <w:r w:rsidR="00093CF5" w:rsidRPr="00E84B57">
        <w:rPr>
          <w:rFonts w:eastAsia="Times New Roman"/>
          <w:szCs w:val="28"/>
          <w:highlight w:val="white"/>
          <w:lang w:val="uk-UA"/>
        </w:rPr>
        <w:t>.</w:t>
      </w:r>
      <w:r w:rsidR="000F5B00" w:rsidRPr="00E84B57">
        <w:rPr>
          <w:rFonts w:eastAsia="Times New Roman"/>
          <w:szCs w:val="28"/>
          <w:lang w:val="uk-UA"/>
        </w:rPr>
        <w:t xml:space="preserve"> </w:t>
      </w:r>
      <w:r w:rsidRPr="00E84B57">
        <w:rPr>
          <w:rFonts w:eastAsia="Times New Roman"/>
          <w:szCs w:val="28"/>
          <w:highlight w:val="white"/>
          <w:lang w:val="uk-UA"/>
        </w:rPr>
        <w:t xml:space="preserve">Одні вчені розглядають інвестиційну привабливість з боку цілей інвестора, інші – з позиції впливу на неї різних факторів, треті – на основі прибутковості та ризику інвестицій. </w:t>
      </w:r>
    </w:p>
    <w:p w14:paraId="39968290" w14:textId="2869EA4A" w:rsidR="00564BAD" w:rsidRPr="00E84B57" w:rsidRDefault="00FC77CA" w:rsidP="00564B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highlight w:val="white"/>
          <w:lang w:val="uk-UA"/>
        </w:rPr>
        <w:t>Р</w:t>
      </w:r>
      <w:r w:rsidR="0074760C" w:rsidRPr="00E84B57">
        <w:rPr>
          <w:rFonts w:eastAsia="Times New Roman"/>
          <w:szCs w:val="28"/>
          <w:highlight w:val="white"/>
          <w:lang w:val="uk-UA"/>
        </w:rPr>
        <w:t>озуміння економічної сутності інвестиційної привабливості можливе лише в комплексному плані з визначенням цілей інвестування, типу інвестора та його основних методів та критеріїв оцінки, які забезпечують його найбільш повною інформацією при прийнятті інвестиційних рішень</w:t>
      </w:r>
      <w:r w:rsidR="00C72F46" w:rsidRPr="00E84B57">
        <w:rPr>
          <w:rFonts w:eastAsia="Times New Roman"/>
          <w:szCs w:val="28"/>
          <w:highlight w:val="white"/>
          <w:lang w:val="uk-UA"/>
        </w:rPr>
        <w:t xml:space="preserve"> [2]</w:t>
      </w:r>
      <w:r w:rsidR="0074760C" w:rsidRPr="00E84B57">
        <w:rPr>
          <w:rFonts w:eastAsia="Times New Roman"/>
          <w:szCs w:val="28"/>
          <w:highlight w:val="white"/>
          <w:lang w:val="uk-UA"/>
        </w:rPr>
        <w:t xml:space="preserve">. На основі вивчення різних підходів до трактування інвестиційної привабливості можна укласти такі характеристики: являє собою сукупність зовнішніх та внутрішніх факторів, кількісних та якісних показників інвестиційного потенціалу на будь-якому рівні економічної системи. </w:t>
      </w:r>
      <w:r w:rsidR="00564BAD" w:rsidRPr="00E84B57">
        <w:rPr>
          <w:rFonts w:eastAsia="Times New Roman"/>
          <w:szCs w:val="28"/>
          <w:highlight w:val="white"/>
          <w:lang w:val="uk-UA"/>
        </w:rPr>
        <w:t>Аналізуючи інвестиційну привабливість підприємства, слід пам'ятати, що на неї впливають різні чинники. Чинники, які впливають на інвестиційну привабливість підприємства, можна поділити на зовнішні та внутрішні. До внутрішніх чинників належить: система управління організацією, номенклатура продукції, стан устаткування підприємства, фінансова стабільність, ступінь застосування інноваційних рішень у технології виробництва та обладнання тощо. До зовнішніх факторів відносять законодавство в галузі інвестицій, потенціал регіону, де знаходиться підприємство, економічні особливості галузі тощо</w:t>
      </w:r>
      <w:r w:rsidR="00564BAD">
        <w:rPr>
          <w:rFonts w:eastAsia="Times New Roman"/>
          <w:szCs w:val="28"/>
          <w:highlight w:val="white"/>
          <w:lang w:val="uk-UA"/>
        </w:rPr>
        <w:t xml:space="preserve"> </w:t>
      </w:r>
      <w:r w:rsidR="00564BAD" w:rsidRPr="00E84B57">
        <w:rPr>
          <w:rFonts w:eastAsia="Times New Roman"/>
          <w:szCs w:val="28"/>
          <w:highlight w:val="white"/>
          <w:lang w:val="uk-UA"/>
        </w:rPr>
        <w:t>[</w:t>
      </w:r>
      <w:r w:rsidR="001347F3">
        <w:rPr>
          <w:rFonts w:eastAsia="Times New Roman"/>
          <w:szCs w:val="28"/>
          <w:highlight w:val="white"/>
          <w:lang w:val="uk-UA"/>
        </w:rPr>
        <w:t>3</w:t>
      </w:r>
      <w:r w:rsidR="00564BAD" w:rsidRPr="00E84B57">
        <w:rPr>
          <w:rFonts w:eastAsia="Times New Roman"/>
          <w:szCs w:val="28"/>
          <w:highlight w:val="white"/>
          <w:lang w:val="uk-UA"/>
        </w:rPr>
        <w:t xml:space="preserve">]. </w:t>
      </w:r>
    </w:p>
    <w:p w14:paraId="7A68332B" w14:textId="49A346AE" w:rsidR="0074760C" w:rsidRPr="00E84B57" w:rsidRDefault="0074760C" w:rsidP="00E84B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val="uk-UA"/>
        </w:rPr>
      </w:pPr>
      <w:r w:rsidRPr="00E84B57">
        <w:rPr>
          <w:rFonts w:eastAsia="Times New Roman"/>
          <w:szCs w:val="28"/>
          <w:highlight w:val="white"/>
          <w:lang w:val="uk-UA"/>
        </w:rPr>
        <w:lastRenderedPageBreak/>
        <w:t>В даний час немає єдиного підходу до оцінки інвестиційної привабливості</w:t>
      </w:r>
      <w:r w:rsidR="00FD619B" w:rsidRPr="00E84B57">
        <w:rPr>
          <w:rFonts w:eastAsia="Times New Roman"/>
          <w:szCs w:val="28"/>
          <w:highlight w:val="white"/>
          <w:lang w:val="uk-UA"/>
        </w:rPr>
        <w:t xml:space="preserve"> [</w:t>
      </w:r>
      <w:r w:rsidR="001347F3">
        <w:rPr>
          <w:rFonts w:eastAsia="Times New Roman"/>
          <w:szCs w:val="28"/>
          <w:highlight w:val="white"/>
          <w:lang w:val="uk-UA"/>
        </w:rPr>
        <w:t>4</w:t>
      </w:r>
      <w:r w:rsidR="002C595C" w:rsidRPr="00E84B57">
        <w:rPr>
          <w:rFonts w:eastAsia="Times New Roman"/>
          <w:szCs w:val="28"/>
          <w:highlight w:val="white"/>
          <w:lang w:val="uk-UA"/>
        </w:rPr>
        <w:t>].</w:t>
      </w:r>
      <w:r w:rsidRPr="00E84B57">
        <w:rPr>
          <w:rFonts w:eastAsia="Times New Roman"/>
          <w:szCs w:val="28"/>
          <w:highlight w:val="white"/>
          <w:lang w:val="uk-UA"/>
        </w:rPr>
        <w:t xml:space="preserve"> Серед визначальних критеріїв інвестиційної привабливості підприємства зазвичай розглядаються такі аспекти підприємства, як привабливість продукції, кадрова, фінансова, територіальна та інші. Нині найпопулярнішими методиками оцінки інвестиційної привабливості є такі: метод дисконтованих грошових потоків; оцінка на основі аналізу факторів зовнішнього та внутрішнього дії;  </w:t>
      </w:r>
      <w:proofErr w:type="spellStart"/>
      <w:r w:rsidRPr="00E84B57">
        <w:rPr>
          <w:rFonts w:eastAsia="Times New Roman"/>
          <w:szCs w:val="28"/>
          <w:highlight w:val="white"/>
          <w:lang w:val="uk-UA"/>
        </w:rPr>
        <w:t>семифакторна</w:t>
      </w:r>
      <w:proofErr w:type="spellEnd"/>
      <w:r w:rsidRPr="00E84B57">
        <w:rPr>
          <w:rFonts w:eastAsia="Times New Roman"/>
          <w:szCs w:val="28"/>
          <w:highlight w:val="white"/>
          <w:lang w:val="uk-UA"/>
        </w:rPr>
        <w:t xml:space="preserve"> модель; 4) інтегральна оцінка на основі внутрішніх показників; комплексна оцінка.</w:t>
      </w:r>
      <w:r w:rsidR="00CE79F6" w:rsidRPr="00CE79F6">
        <w:rPr>
          <w:rFonts w:eastAsia="Times New Roman"/>
          <w:szCs w:val="28"/>
          <w:highlight w:val="white"/>
          <w:lang w:val="uk-UA"/>
        </w:rPr>
        <w:t xml:space="preserve"> </w:t>
      </w:r>
      <w:r w:rsidR="00CE79F6" w:rsidRPr="00E84B57">
        <w:rPr>
          <w:rFonts w:eastAsia="Times New Roman"/>
          <w:szCs w:val="28"/>
          <w:highlight w:val="white"/>
          <w:lang w:val="uk-UA"/>
        </w:rPr>
        <w:t>Порівняння переваг та недоліків підходів до оцінки інвестиційної привабливості показало, що всі вони обмежені у своєму застосуванні на практиці, але водночас суттєво один одного доповнюють.</w:t>
      </w:r>
    </w:p>
    <w:p w14:paraId="1D01314B" w14:textId="2C20040B" w:rsidR="0074760C" w:rsidRPr="00E84B57" w:rsidRDefault="0074760C" w:rsidP="00E84B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val="uk-UA"/>
        </w:rPr>
      </w:pPr>
      <w:r w:rsidRPr="00E84B57">
        <w:rPr>
          <w:rFonts w:eastAsia="Times New Roman"/>
          <w:szCs w:val="28"/>
          <w:highlight w:val="white"/>
          <w:lang w:val="uk-UA"/>
        </w:rPr>
        <w:t>Інвестиційна привабливість підприємства – узагальнюючий показник об'єкта інвестування з погляду прибутковості інвестицій, перспективності розвитку та рівня інвестиційних ризиків.</w:t>
      </w:r>
      <w:r w:rsidR="00257B41" w:rsidRPr="00E84B57">
        <w:rPr>
          <w:rFonts w:eastAsia="Times New Roman"/>
          <w:szCs w:val="28"/>
          <w:lang w:val="uk-UA"/>
        </w:rPr>
        <w:t xml:space="preserve"> </w:t>
      </w:r>
      <w:r w:rsidRPr="00E84B57">
        <w:rPr>
          <w:rFonts w:eastAsia="Times New Roman"/>
          <w:szCs w:val="28"/>
          <w:highlight w:val="white"/>
          <w:lang w:val="uk-UA"/>
        </w:rPr>
        <w:t xml:space="preserve">Для прийняття рішень щодо реалізації інвестиційних вкладень необхідно зіставлення очікуваних у майбутньому позитивних надходжень, з здійснюваними витратами капітальні вкладення. </w:t>
      </w:r>
    </w:p>
    <w:p w14:paraId="3BC3EA41" w14:textId="77777777" w:rsidR="00C8516B" w:rsidRPr="00041BF2" w:rsidRDefault="00C8516B" w:rsidP="00E06CC8">
      <w:pPr>
        <w:spacing w:before="240" w:after="0" w:line="360" w:lineRule="auto"/>
        <w:jc w:val="center"/>
        <w:rPr>
          <w:b/>
          <w:bCs/>
          <w:sz w:val="24"/>
          <w:szCs w:val="24"/>
        </w:rPr>
      </w:pPr>
      <w:proofErr w:type="spellStart"/>
      <w:r w:rsidRPr="00041BF2">
        <w:rPr>
          <w:b/>
          <w:bCs/>
          <w:sz w:val="24"/>
          <w:szCs w:val="24"/>
        </w:rPr>
        <w:t>Література</w:t>
      </w:r>
      <w:proofErr w:type="spellEnd"/>
      <w:r w:rsidRPr="00041BF2">
        <w:rPr>
          <w:b/>
          <w:bCs/>
          <w:sz w:val="24"/>
          <w:szCs w:val="24"/>
        </w:rPr>
        <w:t xml:space="preserve"> </w:t>
      </w:r>
    </w:p>
    <w:p w14:paraId="6DBB59AE" w14:textId="2BE62567" w:rsidR="0074760C" w:rsidRPr="00EB09C4" w:rsidRDefault="0074760C" w:rsidP="00E84B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EB09C4">
        <w:rPr>
          <w:rFonts w:eastAsia="Times New Roman"/>
          <w:sz w:val="24"/>
          <w:szCs w:val="24"/>
          <w:highlight w:val="white"/>
          <w:lang w:val="uk-UA"/>
        </w:rPr>
        <w:t>1.</w:t>
      </w:r>
      <w:r w:rsidR="00D61F39" w:rsidRPr="00EB09C4">
        <w:rPr>
          <w:rFonts w:eastAsia="Times New Roman"/>
          <w:sz w:val="24"/>
          <w:szCs w:val="24"/>
          <w:highlight w:val="white"/>
          <w:lang w:val="uk-UA"/>
        </w:rPr>
        <w:t xml:space="preserve"> </w:t>
      </w:r>
      <w:proofErr w:type="spellStart"/>
      <w:r w:rsidRPr="00EB09C4">
        <w:rPr>
          <w:rFonts w:eastAsia="Times New Roman"/>
          <w:sz w:val="24"/>
          <w:szCs w:val="24"/>
          <w:highlight w:val="white"/>
          <w:lang w:val="uk-UA"/>
        </w:rPr>
        <w:t>Чапляк</w:t>
      </w:r>
      <w:proofErr w:type="spellEnd"/>
      <w:r w:rsidRPr="00EB09C4">
        <w:rPr>
          <w:rFonts w:eastAsia="Times New Roman"/>
          <w:sz w:val="24"/>
          <w:szCs w:val="24"/>
          <w:highlight w:val="white"/>
          <w:lang w:val="uk-UA"/>
        </w:rPr>
        <w:t xml:space="preserve"> Н. Інвестиційна привабливість України: проблеми та шляхи вирішення в сучасних реаліях. </w:t>
      </w:r>
      <w:r w:rsidRPr="00EB09C4">
        <w:rPr>
          <w:rFonts w:eastAsia="Times New Roman"/>
          <w:i/>
          <w:iCs/>
          <w:sz w:val="24"/>
          <w:szCs w:val="24"/>
          <w:highlight w:val="white"/>
          <w:lang w:val="uk-UA"/>
        </w:rPr>
        <w:t>Економіка та суспільство.</w:t>
      </w:r>
      <w:r w:rsidRPr="00EB09C4">
        <w:rPr>
          <w:rFonts w:eastAsia="Times New Roman"/>
          <w:sz w:val="24"/>
          <w:szCs w:val="24"/>
          <w:highlight w:val="white"/>
          <w:lang w:val="uk-UA"/>
        </w:rPr>
        <w:t xml:space="preserve"> 2022. №40. URL: https://doi.org/10.32782/2524-0072/2022-40-80</w:t>
      </w:r>
    </w:p>
    <w:p w14:paraId="7E1A7B52" w14:textId="3C3A83FC" w:rsidR="00D61F39" w:rsidRPr="00EB09C4" w:rsidRDefault="0074760C" w:rsidP="00E84B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  <w:r w:rsidRPr="00EB09C4">
        <w:rPr>
          <w:rFonts w:eastAsia="Times New Roman"/>
          <w:sz w:val="24"/>
          <w:szCs w:val="24"/>
          <w:highlight w:val="white"/>
          <w:lang w:val="uk-UA"/>
        </w:rPr>
        <w:t>2.</w:t>
      </w:r>
      <w:r w:rsidR="00D61F39" w:rsidRPr="00EB09C4">
        <w:rPr>
          <w:rFonts w:eastAsia="Times New Roman"/>
          <w:sz w:val="24"/>
          <w:szCs w:val="24"/>
          <w:highlight w:val="white"/>
          <w:lang w:val="uk-UA"/>
        </w:rPr>
        <w:t xml:space="preserve"> </w:t>
      </w:r>
      <w:proofErr w:type="spellStart"/>
      <w:r w:rsidRPr="00EB09C4">
        <w:rPr>
          <w:rFonts w:eastAsia="Times New Roman"/>
          <w:sz w:val="24"/>
          <w:szCs w:val="24"/>
          <w:highlight w:val="white"/>
          <w:lang w:val="uk-UA"/>
        </w:rPr>
        <w:t>Pushak</w:t>
      </w:r>
      <w:proofErr w:type="spellEnd"/>
      <w:r w:rsidRPr="00EB09C4">
        <w:rPr>
          <w:rFonts w:eastAsia="Times New Roman"/>
          <w:sz w:val="24"/>
          <w:szCs w:val="24"/>
          <w:highlight w:val="white"/>
          <w:lang w:val="uk-UA"/>
        </w:rPr>
        <w:t xml:space="preserve"> </w:t>
      </w:r>
      <w:proofErr w:type="spellStart"/>
      <w:r w:rsidRPr="00EB09C4">
        <w:rPr>
          <w:rFonts w:eastAsia="Times New Roman"/>
          <w:sz w:val="24"/>
          <w:szCs w:val="24"/>
          <w:highlight w:val="white"/>
          <w:lang w:val="uk-UA"/>
        </w:rPr>
        <w:t>Ya</w:t>
      </w:r>
      <w:proofErr w:type="spellEnd"/>
      <w:r w:rsidRPr="00EB09C4">
        <w:rPr>
          <w:rFonts w:eastAsia="Times New Roman"/>
          <w:sz w:val="24"/>
          <w:szCs w:val="24"/>
          <w:highlight w:val="white"/>
          <w:lang w:val="uk-UA"/>
        </w:rPr>
        <w:t xml:space="preserve">., </w:t>
      </w:r>
      <w:proofErr w:type="spellStart"/>
      <w:r w:rsidRPr="00EB09C4">
        <w:rPr>
          <w:rFonts w:eastAsia="Times New Roman"/>
          <w:sz w:val="24"/>
          <w:szCs w:val="24"/>
          <w:highlight w:val="white"/>
          <w:lang w:val="uk-UA"/>
        </w:rPr>
        <w:t>Plotnytska</w:t>
      </w:r>
      <w:proofErr w:type="spellEnd"/>
      <w:r w:rsidRPr="00EB09C4">
        <w:rPr>
          <w:rFonts w:eastAsia="Times New Roman"/>
          <w:sz w:val="24"/>
          <w:szCs w:val="24"/>
          <w:highlight w:val="white"/>
          <w:lang w:val="uk-UA"/>
        </w:rPr>
        <w:t xml:space="preserve"> </w:t>
      </w:r>
      <w:proofErr w:type="spellStart"/>
      <w:r w:rsidRPr="00EB09C4">
        <w:rPr>
          <w:rFonts w:eastAsia="Times New Roman"/>
          <w:sz w:val="24"/>
          <w:szCs w:val="24"/>
          <w:highlight w:val="white"/>
          <w:lang w:val="uk-UA"/>
        </w:rPr>
        <w:t>Sv</w:t>
      </w:r>
      <w:proofErr w:type="spellEnd"/>
      <w:r w:rsidRPr="00EB09C4">
        <w:rPr>
          <w:rFonts w:eastAsia="Times New Roman"/>
          <w:sz w:val="24"/>
          <w:szCs w:val="24"/>
          <w:highlight w:val="white"/>
          <w:lang w:val="uk-UA"/>
        </w:rPr>
        <w:t xml:space="preserve">., </w:t>
      </w:r>
      <w:proofErr w:type="spellStart"/>
      <w:r w:rsidRPr="00EB09C4">
        <w:rPr>
          <w:rFonts w:eastAsia="Times New Roman"/>
          <w:sz w:val="24"/>
          <w:szCs w:val="24"/>
          <w:highlight w:val="white"/>
          <w:lang w:val="uk-UA"/>
        </w:rPr>
        <w:t>Shapoval</w:t>
      </w:r>
      <w:proofErr w:type="spellEnd"/>
      <w:r w:rsidRPr="00EB09C4">
        <w:rPr>
          <w:rFonts w:eastAsia="Times New Roman"/>
          <w:sz w:val="24"/>
          <w:szCs w:val="24"/>
          <w:highlight w:val="white"/>
          <w:lang w:val="uk-UA"/>
        </w:rPr>
        <w:t xml:space="preserve"> G. </w:t>
      </w:r>
      <w:proofErr w:type="spellStart"/>
      <w:r w:rsidRPr="00EB09C4">
        <w:rPr>
          <w:rFonts w:eastAsia="Times New Roman"/>
          <w:sz w:val="24"/>
          <w:szCs w:val="24"/>
          <w:highlight w:val="white"/>
          <w:lang w:val="uk-UA"/>
        </w:rPr>
        <w:t>Investment</w:t>
      </w:r>
      <w:proofErr w:type="spellEnd"/>
      <w:r w:rsidRPr="00EB09C4">
        <w:rPr>
          <w:rFonts w:eastAsia="Times New Roman"/>
          <w:sz w:val="24"/>
          <w:szCs w:val="24"/>
          <w:highlight w:val="white"/>
          <w:lang w:val="uk-UA"/>
        </w:rPr>
        <w:t xml:space="preserve"> </w:t>
      </w:r>
      <w:proofErr w:type="spellStart"/>
      <w:r w:rsidRPr="00EB09C4">
        <w:rPr>
          <w:rFonts w:eastAsia="Times New Roman"/>
          <w:sz w:val="24"/>
          <w:szCs w:val="24"/>
          <w:highlight w:val="white"/>
          <w:lang w:val="uk-UA"/>
        </w:rPr>
        <w:t>attractiveness</w:t>
      </w:r>
      <w:proofErr w:type="spellEnd"/>
      <w:r w:rsidRPr="00EB09C4">
        <w:rPr>
          <w:rFonts w:eastAsia="Times New Roman"/>
          <w:sz w:val="24"/>
          <w:szCs w:val="24"/>
          <w:highlight w:val="white"/>
          <w:lang w:val="uk-UA"/>
        </w:rPr>
        <w:t xml:space="preserve"> </w:t>
      </w:r>
      <w:proofErr w:type="spellStart"/>
      <w:r w:rsidRPr="00EB09C4">
        <w:rPr>
          <w:rFonts w:eastAsia="Times New Roman"/>
          <w:sz w:val="24"/>
          <w:szCs w:val="24"/>
          <w:highlight w:val="white"/>
          <w:lang w:val="uk-UA"/>
        </w:rPr>
        <w:t>of</w:t>
      </w:r>
      <w:proofErr w:type="spellEnd"/>
      <w:r w:rsidRPr="00EB09C4">
        <w:rPr>
          <w:rFonts w:eastAsia="Times New Roman"/>
          <w:sz w:val="24"/>
          <w:szCs w:val="24"/>
          <w:highlight w:val="white"/>
          <w:lang w:val="uk-UA"/>
        </w:rPr>
        <w:t xml:space="preserve"> </w:t>
      </w:r>
      <w:proofErr w:type="spellStart"/>
      <w:r w:rsidRPr="00EB09C4">
        <w:rPr>
          <w:rFonts w:eastAsia="Times New Roman"/>
          <w:sz w:val="24"/>
          <w:szCs w:val="24"/>
          <w:highlight w:val="white"/>
          <w:lang w:val="uk-UA"/>
        </w:rPr>
        <w:t>the</w:t>
      </w:r>
      <w:proofErr w:type="spellEnd"/>
      <w:r w:rsidRPr="00EB09C4">
        <w:rPr>
          <w:rFonts w:eastAsia="Times New Roman"/>
          <w:sz w:val="24"/>
          <w:szCs w:val="24"/>
          <w:highlight w:val="white"/>
          <w:lang w:val="uk-UA"/>
        </w:rPr>
        <w:t xml:space="preserve"> </w:t>
      </w:r>
      <w:proofErr w:type="spellStart"/>
      <w:r w:rsidRPr="00EB09C4">
        <w:rPr>
          <w:rFonts w:eastAsia="Times New Roman"/>
          <w:sz w:val="24"/>
          <w:szCs w:val="24"/>
          <w:highlight w:val="white"/>
          <w:lang w:val="uk-UA"/>
        </w:rPr>
        <w:t>art-market</w:t>
      </w:r>
      <w:proofErr w:type="spellEnd"/>
      <w:r w:rsidRPr="00EB09C4">
        <w:rPr>
          <w:rFonts w:eastAsia="Times New Roman"/>
          <w:sz w:val="24"/>
          <w:szCs w:val="24"/>
          <w:highlight w:val="white"/>
          <w:lang w:val="uk-UA"/>
        </w:rPr>
        <w:t xml:space="preserve"> </w:t>
      </w:r>
      <w:proofErr w:type="spellStart"/>
      <w:r w:rsidRPr="00EB09C4">
        <w:rPr>
          <w:rFonts w:eastAsia="Times New Roman"/>
          <w:sz w:val="24"/>
          <w:szCs w:val="24"/>
          <w:highlight w:val="white"/>
          <w:lang w:val="uk-UA"/>
        </w:rPr>
        <w:t>assessment</w:t>
      </w:r>
      <w:proofErr w:type="spellEnd"/>
      <w:r w:rsidRPr="00EB09C4">
        <w:rPr>
          <w:rFonts w:eastAsia="Times New Roman"/>
          <w:sz w:val="24"/>
          <w:szCs w:val="24"/>
          <w:highlight w:val="white"/>
          <w:lang w:val="uk-UA"/>
        </w:rPr>
        <w:t xml:space="preserve">. </w:t>
      </w:r>
      <w:proofErr w:type="spellStart"/>
      <w:r w:rsidRPr="00EB09C4">
        <w:rPr>
          <w:rFonts w:eastAsia="Times New Roman"/>
          <w:i/>
          <w:iCs/>
          <w:sz w:val="24"/>
          <w:szCs w:val="24"/>
          <w:highlight w:val="white"/>
          <w:lang w:val="uk-UA"/>
        </w:rPr>
        <w:t>Journal</w:t>
      </w:r>
      <w:proofErr w:type="spellEnd"/>
      <w:r w:rsidRPr="00EB09C4">
        <w:rPr>
          <w:rFonts w:eastAsia="Times New Roman"/>
          <w:i/>
          <w:iCs/>
          <w:sz w:val="24"/>
          <w:szCs w:val="24"/>
          <w:highlight w:val="white"/>
          <w:lang w:val="uk-UA"/>
        </w:rPr>
        <w:t xml:space="preserve"> </w:t>
      </w:r>
      <w:proofErr w:type="spellStart"/>
      <w:r w:rsidRPr="00EB09C4">
        <w:rPr>
          <w:rFonts w:eastAsia="Times New Roman"/>
          <w:i/>
          <w:iCs/>
          <w:sz w:val="24"/>
          <w:szCs w:val="24"/>
          <w:highlight w:val="white"/>
          <w:lang w:val="uk-UA"/>
        </w:rPr>
        <w:t>Association</w:t>
      </w:r>
      <w:proofErr w:type="spellEnd"/>
      <w:r w:rsidRPr="00EB09C4">
        <w:rPr>
          <w:rFonts w:eastAsia="Times New Roman"/>
          <w:i/>
          <w:iCs/>
          <w:sz w:val="24"/>
          <w:szCs w:val="24"/>
          <w:highlight w:val="white"/>
          <w:lang w:val="uk-UA"/>
        </w:rPr>
        <w:t xml:space="preserve"> 1901 “SEPIKE” </w:t>
      </w:r>
      <w:proofErr w:type="spellStart"/>
      <w:r w:rsidRPr="00EB09C4">
        <w:rPr>
          <w:rFonts w:eastAsia="Times New Roman"/>
          <w:i/>
          <w:iCs/>
          <w:sz w:val="24"/>
          <w:szCs w:val="24"/>
          <w:highlight w:val="white"/>
          <w:lang w:val="uk-UA"/>
        </w:rPr>
        <w:t>Poitiers</w:t>
      </w:r>
      <w:proofErr w:type="spellEnd"/>
      <w:r w:rsidRPr="00EB09C4">
        <w:rPr>
          <w:rFonts w:eastAsia="Times New Roman"/>
          <w:i/>
          <w:iCs/>
          <w:sz w:val="24"/>
          <w:szCs w:val="24"/>
          <w:highlight w:val="white"/>
          <w:lang w:val="uk-UA"/>
        </w:rPr>
        <w:t xml:space="preserve">. </w:t>
      </w:r>
      <w:r w:rsidRPr="00EB09C4">
        <w:rPr>
          <w:rFonts w:eastAsia="Times New Roman"/>
          <w:sz w:val="24"/>
          <w:szCs w:val="24"/>
          <w:highlight w:val="white"/>
          <w:lang w:val="uk-UA"/>
        </w:rPr>
        <w:t xml:space="preserve">2020.  </w:t>
      </w:r>
      <w:proofErr w:type="spellStart"/>
      <w:r w:rsidRPr="00EB09C4">
        <w:rPr>
          <w:rFonts w:eastAsia="Times New Roman"/>
          <w:sz w:val="24"/>
          <w:szCs w:val="24"/>
          <w:highlight w:val="white"/>
          <w:lang w:val="uk-UA"/>
        </w:rPr>
        <w:t>Edition</w:t>
      </w:r>
      <w:proofErr w:type="spellEnd"/>
      <w:r w:rsidRPr="00EB09C4">
        <w:rPr>
          <w:rFonts w:eastAsia="Times New Roman"/>
          <w:sz w:val="24"/>
          <w:szCs w:val="24"/>
          <w:highlight w:val="white"/>
          <w:lang w:val="uk-UA"/>
        </w:rPr>
        <w:t xml:space="preserve"> 28.  P. 64-70.</w:t>
      </w:r>
      <w:r w:rsidR="003F765C" w:rsidRPr="00EB09C4">
        <w:rPr>
          <w:sz w:val="24"/>
          <w:szCs w:val="24"/>
          <w:lang w:val="en-US"/>
        </w:rPr>
        <w:t xml:space="preserve"> </w:t>
      </w:r>
      <w:hyperlink r:id="rId5" w:history="1">
        <w:r w:rsidR="00D61F39" w:rsidRPr="00EB09C4">
          <w:rPr>
            <w:rStyle w:val="a4"/>
            <w:rFonts w:eastAsia="Times New Roman"/>
            <w:color w:val="auto"/>
            <w:sz w:val="24"/>
            <w:szCs w:val="24"/>
            <w:highlight w:val="white"/>
            <w:lang w:val="uk-UA"/>
          </w:rPr>
          <w:t>URL:</w:t>
        </w:r>
        <w:r w:rsidR="00D61F39" w:rsidRPr="00EB09C4">
          <w:rPr>
            <w:rStyle w:val="a4"/>
            <w:rFonts w:eastAsia="Times New Roman"/>
            <w:color w:val="auto"/>
            <w:sz w:val="24"/>
            <w:szCs w:val="24"/>
            <w:lang w:val="uk-UA"/>
          </w:rPr>
          <w:t>https://dspace.lvduvs.edu.ua/handle/1234567890/4104</w:t>
        </w:r>
      </w:hyperlink>
    </w:p>
    <w:p w14:paraId="54E9A26B" w14:textId="56D59617" w:rsidR="00A55163" w:rsidRPr="00EB09C4" w:rsidRDefault="00A55163" w:rsidP="00E84B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  <w:lang w:val="uk-UA"/>
        </w:rPr>
      </w:pPr>
      <w:r w:rsidRPr="00EB09C4">
        <w:rPr>
          <w:rFonts w:eastAsia="Times New Roman"/>
          <w:sz w:val="24"/>
          <w:szCs w:val="24"/>
          <w:lang w:val="uk-UA"/>
        </w:rPr>
        <w:t xml:space="preserve">3. </w:t>
      </w:r>
      <w:proofErr w:type="spellStart"/>
      <w:r w:rsidR="00DD14B0" w:rsidRPr="00EB09C4">
        <w:rPr>
          <w:sz w:val="24"/>
          <w:szCs w:val="24"/>
        </w:rPr>
        <w:t>Medvid</w:t>
      </w:r>
      <w:proofErr w:type="spellEnd"/>
      <w:r w:rsidR="00DD14B0" w:rsidRPr="00EB09C4">
        <w:rPr>
          <w:sz w:val="24"/>
          <w:szCs w:val="24"/>
          <w:lang w:val="uk-UA"/>
        </w:rPr>
        <w:t xml:space="preserve">, </w:t>
      </w:r>
      <w:r w:rsidR="00DD14B0" w:rsidRPr="00EB09C4">
        <w:rPr>
          <w:sz w:val="24"/>
          <w:szCs w:val="24"/>
        </w:rPr>
        <w:t>V</w:t>
      </w:r>
      <w:r w:rsidR="00DD14B0" w:rsidRPr="00EB09C4">
        <w:rPr>
          <w:sz w:val="24"/>
          <w:szCs w:val="24"/>
          <w:lang w:val="uk-UA"/>
        </w:rPr>
        <w:t xml:space="preserve">., </w:t>
      </w:r>
      <w:r w:rsidR="00DD14B0" w:rsidRPr="00EB09C4">
        <w:rPr>
          <w:sz w:val="24"/>
          <w:szCs w:val="24"/>
        </w:rPr>
        <w:t>Pylypenko</w:t>
      </w:r>
      <w:r w:rsidR="00DD14B0" w:rsidRPr="00EB09C4">
        <w:rPr>
          <w:sz w:val="24"/>
          <w:szCs w:val="24"/>
          <w:lang w:val="uk-UA"/>
        </w:rPr>
        <w:t xml:space="preserve">, </w:t>
      </w:r>
      <w:r w:rsidR="00DD14B0" w:rsidRPr="00EB09C4">
        <w:rPr>
          <w:sz w:val="24"/>
          <w:szCs w:val="24"/>
        </w:rPr>
        <w:t>V</w:t>
      </w:r>
      <w:r w:rsidR="00DD14B0" w:rsidRPr="00EB09C4">
        <w:rPr>
          <w:sz w:val="24"/>
          <w:szCs w:val="24"/>
          <w:lang w:val="uk-UA"/>
        </w:rPr>
        <w:t xml:space="preserve">., </w:t>
      </w:r>
      <w:r w:rsidR="00DD14B0" w:rsidRPr="00EB09C4">
        <w:rPr>
          <w:sz w:val="24"/>
          <w:szCs w:val="24"/>
        </w:rPr>
        <w:t>Pylypenko</w:t>
      </w:r>
      <w:r w:rsidR="00DD14B0" w:rsidRPr="00EB09C4">
        <w:rPr>
          <w:sz w:val="24"/>
          <w:szCs w:val="24"/>
          <w:lang w:val="uk-UA"/>
        </w:rPr>
        <w:t xml:space="preserve">, </w:t>
      </w:r>
      <w:r w:rsidR="00DD14B0" w:rsidRPr="00EB09C4">
        <w:rPr>
          <w:sz w:val="24"/>
          <w:szCs w:val="24"/>
        </w:rPr>
        <w:t>N</w:t>
      </w:r>
      <w:r w:rsidR="00DD14B0" w:rsidRPr="00EB09C4">
        <w:rPr>
          <w:sz w:val="24"/>
          <w:szCs w:val="24"/>
          <w:lang w:val="uk-UA"/>
        </w:rPr>
        <w:t xml:space="preserve">., </w:t>
      </w:r>
      <w:proofErr w:type="spellStart"/>
      <w:r w:rsidR="00DD14B0" w:rsidRPr="00EB09C4">
        <w:rPr>
          <w:sz w:val="24"/>
          <w:szCs w:val="24"/>
        </w:rPr>
        <w:t>Ustik</w:t>
      </w:r>
      <w:proofErr w:type="spellEnd"/>
      <w:r w:rsidR="00DD14B0" w:rsidRPr="00EB09C4">
        <w:rPr>
          <w:sz w:val="24"/>
          <w:szCs w:val="24"/>
          <w:lang w:val="uk-UA"/>
        </w:rPr>
        <w:t xml:space="preserve">, </w:t>
      </w:r>
      <w:r w:rsidR="00DD14B0" w:rsidRPr="00EB09C4">
        <w:rPr>
          <w:sz w:val="24"/>
          <w:szCs w:val="24"/>
        </w:rPr>
        <w:t>T</w:t>
      </w:r>
      <w:r w:rsidR="00DD14B0" w:rsidRPr="00EB09C4">
        <w:rPr>
          <w:sz w:val="24"/>
          <w:szCs w:val="24"/>
          <w:lang w:val="uk-UA"/>
        </w:rPr>
        <w:t xml:space="preserve">., </w:t>
      </w:r>
      <w:proofErr w:type="spellStart"/>
      <w:r w:rsidR="00DD14B0" w:rsidRPr="00EB09C4">
        <w:rPr>
          <w:sz w:val="24"/>
          <w:szCs w:val="24"/>
        </w:rPr>
        <w:t>Volchenko</w:t>
      </w:r>
      <w:proofErr w:type="spellEnd"/>
      <w:r w:rsidR="00DD14B0" w:rsidRPr="00EB09C4">
        <w:rPr>
          <w:sz w:val="24"/>
          <w:szCs w:val="24"/>
          <w:lang w:val="uk-UA"/>
        </w:rPr>
        <w:t xml:space="preserve">, </w:t>
      </w:r>
      <w:r w:rsidR="00DD14B0" w:rsidRPr="00EB09C4">
        <w:rPr>
          <w:sz w:val="24"/>
          <w:szCs w:val="24"/>
        </w:rPr>
        <w:t>N</w:t>
      </w:r>
      <w:r w:rsidR="00DD14B0" w:rsidRPr="00EB09C4">
        <w:rPr>
          <w:sz w:val="24"/>
          <w:szCs w:val="24"/>
          <w:lang w:val="uk-UA"/>
        </w:rPr>
        <w:t xml:space="preserve">., &amp; </w:t>
      </w:r>
      <w:proofErr w:type="spellStart"/>
      <w:r w:rsidR="00DD14B0" w:rsidRPr="00EB09C4">
        <w:rPr>
          <w:sz w:val="24"/>
          <w:szCs w:val="24"/>
        </w:rPr>
        <w:t>Vashchenko</w:t>
      </w:r>
      <w:proofErr w:type="spellEnd"/>
      <w:r w:rsidR="00DD14B0" w:rsidRPr="00EB09C4">
        <w:rPr>
          <w:sz w:val="24"/>
          <w:szCs w:val="24"/>
          <w:lang w:val="uk-UA"/>
        </w:rPr>
        <w:t xml:space="preserve">, </w:t>
      </w:r>
      <w:r w:rsidR="00DD14B0" w:rsidRPr="00EB09C4">
        <w:rPr>
          <w:sz w:val="24"/>
          <w:szCs w:val="24"/>
        </w:rPr>
        <w:t>M</w:t>
      </w:r>
      <w:r w:rsidR="00DD14B0" w:rsidRPr="00EB09C4">
        <w:rPr>
          <w:sz w:val="24"/>
          <w:szCs w:val="24"/>
          <w:lang w:val="uk-UA"/>
        </w:rPr>
        <w:t xml:space="preserve">. (2019). </w:t>
      </w:r>
      <w:r w:rsidR="00DD14B0" w:rsidRPr="00EB09C4">
        <w:rPr>
          <w:sz w:val="24"/>
          <w:szCs w:val="24"/>
          <w:lang w:val="en-US"/>
        </w:rPr>
        <w:t xml:space="preserve">Factors of rural development in the context of </w:t>
      </w:r>
      <w:proofErr w:type="spellStart"/>
      <w:r w:rsidR="00DD14B0" w:rsidRPr="00EB09C4">
        <w:rPr>
          <w:sz w:val="24"/>
          <w:szCs w:val="24"/>
          <w:lang w:val="en-US"/>
        </w:rPr>
        <w:t>decentralisation</w:t>
      </w:r>
      <w:proofErr w:type="spellEnd"/>
      <w:r w:rsidR="00DD14B0" w:rsidRPr="00EB09C4">
        <w:rPr>
          <w:sz w:val="24"/>
          <w:szCs w:val="24"/>
          <w:lang w:val="en-US"/>
        </w:rPr>
        <w:t xml:space="preserve">: empirical research. </w:t>
      </w:r>
      <w:r w:rsidR="00DD14B0" w:rsidRPr="00DD14B0">
        <w:rPr>
          <w:sz w:val="24"/>
          <w:szCs w:val="24"/>
          <w:lang w:val="en-US"/>
        </w:rPr>
        <w:t xml:space="preserve">Economic Annals-XXI, 177(5-6), 126-140. </w:t>
      </w:r>
      <w:proofErr w:type="spellStart"/>
      <w:r w:rsidR="00DD14B0" w:rsidRPr="00DD14B0">
        <w:rPr>
          <w:sz w:val="24"/>
          <w:szCs w:val="24"/>
          <w:lang w:val="en-US"/>
        </w:rPr>
        <w:t>doi</w:t>
      </w:r>
      <w:proofErr w:type="spellEnd"/>
      <w:r w:rsidR="00DD14B0" w:rsidRPr="00DD14B0">
        <w:rPr>
          <w:sz w:val="24"/>
          <w:szCs w:val="24"/>
          <w:lang w:val="en-US"/>
        </w:rPr>
        <w:t xml:space="preserve">: </w:t>
      </w:r>
      <w:hyperlink r:id="rId6" w:history="1">
        <w:r w:rsidR="00DD14B0" w:rsidRPr="00F906FA">
          <w:rPr>
            <w:rStyle w:val="a4"/>
            <w:sz w:val="24"/>
            <w:szCs w:val="24"/>
            <w:lang w:val="en-US"/>
          </w:rPr>
          <w:t>https://doi.org/10.21003/ea.V177-11</w:t>
        </w:r>
      </w:hyperlink>
      <w:r w:rsidR="00DD14B0">
        <w:rPr>
          <w:sz w:val="24"/>
          <w:szCs w:val="24"/>
          <w:lang w:val="uk-UA"/>
        </w:rPr>
        <w:t xml:space="preserve"> </w:t>
      </w:r>
    </w:p>
    <w:p w14:paraId="7104B09C" w14:textId="5AEBC5D9" w:rsidR="00534C72" w:rsidRPr="00EB09C4" w:rsidRDefault="00534C72" w:rsidP="00E84B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rynqvb"/>
          <w:rFonts w:eastAsia="Times New Roman"/>
          <w:sz w:val="24"/>
          <w:szCs w:val="24"/>
          <w:lang w:val="uk-UA"/>
        </w:rPr>
      </w:pPr>
      <w:r w:rsidRPr="00EB09C4">
        <w:rPr>
          <w:rFonts w:eastAsia="Times New Roman"/>
          <w:sz w:val="24"/>
          <w:szCs w:val="24"/>
          <w:lang w:val="uk-UA"/>
        </w:rPr>
        <w:t xml:space="preserve">4. </w:t>
      </w:r>
      <w:r w:rsidR="00DD14B0" w:rsidRPr="00EB09C4">
        <w:rPr>
          <w:sz w:val="24"/>
          <w:szCs w:val="24"/>
          <w:lang w:val="uk-UA"/>
        </w:rPr>
        <w:t xml:space="preserve">Пилипенко Н.М., Шаповал Г.І. Вдосконалення оцінки інвестиційної привабливості підприємств. </w:t>
      </w:r>
      <w:r w:rsidR="00DD14B0" w:rsidRPr="00EB09C4">
        <w:rPr>
          <w:i/>
          <w:iCs/>
          <w:sz w:val="24"/>
          <w:szCs w:val="24"/>
          <w:lang w:val="uk-UA"/>
        </w:rPr>
        <w:t>Вісник Сумського національного аграрного університету. Серія «Економіка і менеджмент».</w:t>
      </w:r>
      <w:r w:rsidR="00DD14B0" w:rsidRPr="00EB09C4">
        <w:rPr>
          <w:sz w:val="24"/>
          <w:szCs w:val="24"/>
          <w:lang w:val="uk-UA"/>
        </w:rPr>
        <w:t xml:space="preserve"> 2013. </w:t>
      </w:r>
      <w:proofErr w:type="spellStart"/>
      <w:r w:rsidR="00DD14B0" w:rsidRPr="00EB09C4">
        <w:rPr>
          <w:sz w:val="24"/>
          <w:szCs w:val="24"/>
          <w:lang w:val="uk-UA"/>
        </w:rPr>
        <w:t>Вип</w:t>
      </w:r>
      <w:proofErr w:type="spellEnd"/>
      <w:r w:rsidR="00DD14B0" w:rsidRPr="00EB09C4">
        <w:rPr>
          <w:sz w:val="24"/>
          <w:szCs w:val="24"/>
          <w:lang w:val="uk-UA"/>
        </w:rPr>
        <w:t>. 12(58). С. 155–161.</w:t>
      </w:r>
      <w:r w:rsidR="00DD14B0" w:rsidRPr="00EB09C4">
        <w:rPr>
          <w:sz w:val="24"/>
          <w:szCs w:val="24"/>
        </w:rPr>
        <w:t xml:space="preserve"> </w:t>
      </w:r>
      <w:r w:rsidR="00DD14B0" w:rsidRPr="00EB09C4">
        <w:rPr>
          <w:rFonts w:eastAsia="Times New Roman"/>
          <w:sz w:val="24"/>
          <w:szCs w:val="24"/>
          <w:highlight w:val="white"/>
          <w:lang w:val="uk-UA"/>
        </w:rPr>
        <w:t>URL:</w:t>
      </w:r>
      <w:r w:rsidR="00DD14B0" w:rsidRPr="00EB09C4">
        <w:rPr>
          <w:rFonts w:eastAsia="Times New Roman"/>
          <w:sz w:val="24"/>
          <w:szCs w:val="24"/>
          <w:lang w:val="uk-UA"/>
        </w:rPr>
        <w:t xml:space="preserve"> </w:t>
      </w:r>
      <w:hyperlink r:id="rId7" w:history="1">
        <w:r w:rsidR="00DD14B0" w:rsidRPr="00EB09C4">
          <w:rPr>
            <w:rStyle w:val="a4"/>
            <w:color w:val="auto"/>
            <w:sz w:val="24"/>
            <w:szCs w:val="24"/>
            <w:lang w:val="uk-UA"/>
          </w:rPr>
          <w:t>https://repo.snau.edu.ua/bitstream/123456789/1571/1/33.pdf</w:t>
        </w:r>
      </w:hyperlink>
    </w:p>
    <w:p w14:paraId="5A3043EC" w14:textId="77777777" w:rsidR="00DD14B0" w:rsidRPr="00EB09C4" w:rsidRDefault="00DD14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rynqvb"/>
          <w:rFonts w:eastAsia="Times New Roman"/>
          <w:sz w:val="24"/>
          <w:szCs w:val="24"/>
          <w:lang w:val="uk-UA"/>
        </w:rPr>
      </w:pPr>
    </w:p>
    <w:sectPr w:rsidR="00DD14B0" w:rsidRPr="00EB09C4" w:rsidSect="009D53EF">
      <w:pgSz w:w="12240" w:h="15840"/>
      <w:pgMar w:top="1134" w:right="1134" w:bottom="1134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41A2C"/>
    <w:multiLevelType w:val="hybridMultilevel"/>
    <w:tmpl w:val="DD2C835C"/>
    <w:lvl w:ilvl="0" w:tplc="17FEF288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4171C15"/>
    <w:multiLevelType w:val="hybridMultilevel"/>
    <w:tmpl w:val="3B8E1B90"/>
    <w:lvl w:ilvl="0" w:tplc="80ACD9B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 w16cid:durableId="652828534">
    <w:abstractNumId w:val="1"/>
  </w:num>
  <w:num w:numId="2" w16cid:durableId="191890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89"/>
    <w:rsid w:val="00001DDF"/>
    <w:rsid w:val="00053882"/>
    <w:rsid w:val="000614C0"/>
    <w:rsid w:val="00076740"/>
    <w:rsid w:val="00093CF5"/>
    <w:rsid w:val="00096F5F"/>
    <w:rsid w:val="000A72B6"/>
    <w:rsid w:val="000F5B00"/>
    <w:rsid w:val="001347F3"/>
    <w:rsid w:val="001622F4"/>
    <w:rsid w:val="001A1421"/>
    <w:rsid w:val="001B3811"/>
    <w:rsid w:val="001B413D"/>
    <w:rsid w:val="00222009"/>
    <w:rsid w:val="0025137D"/>
    <w:rsid w:val="00257B41"/>
    <w:rsid w:val="002C595C"/>
    <w:rsid w:val="0033717A"/>
    <w:rsid w:val="0035182F"/>
    <w:rsid w:val="003C55F6"/>
    <w:rsid w:val="003F765C"/>
    <w:rsid w:val="004076CB"/>
    <w:rsid w:val="0041737E"/>
    <w:rsid w:val="004177E0"/>
    <w:rsid w:val="00514318"/>
    <w:rsid w:val="00534C72"/>
    <w:rsid w:val="00564BAD"/>
    <w:rsid w:val="00571BA9"/>
    <w:rsid w:val="00597B60"/>
    <w:rsid w:val="005C71E8"/>
    <w:rsid w:val="005F4EA4"/>
    <w:rsid w:val="00655835"/>
    <w:rsid w:val="007059C2"/>
    <w:rsid w:val="00740712"/>
    <w:rsid w:val="0074760C"/>
    <w:rsid w:val="007C0D01"/>
    <w:rsid w:val="007F67A4"/>
    <w:rsid w:val="00803147"/>
    <w:rsid w:val="00854F21"/>
    <w:rsid w:val="00864B34"/>
    <w:rsid w:val="00871377"/>
    <w:rsid w:val="008B2F8C"/>
    <w:rsid w:val="008F0143"/>
    <w:rsid w:val="00900F5E"/>
    <w:rsid w:val="00973DF3"/>
    <w:rsid w:val="009D53EF"/>
    <w:rsid w:val="00A041A0"/>
    <w:rsid w:val="00A55163"/>
    <w:rsid w:val="00A9444D"/>
    <w:rsid w:val="00AA47FD"/>
    <w:rsid w:val="00AE2EBB"/>
    <w:rsid w:val="00AE63E8"/>
    <w:rsid w:val="00AE6B59"/>
    <w:rsid w:val="00B136DC"/>
    <w:rsid w:val="00B464B8"/>
    <w:rsid w:val="00BD3D94"/>
    <w:rsid w:val="00C524A0"/>
    <w:rsid w:val="00C55B5F"/>
    <w:rsid w:val="00C72F46"/>
    <w:rsid w:val="00C8516B"/>
    <w:rsid w:val="00CB0BBA"/>
    <w:rsid w:val="00CC2A99"/>
    <w:rsid w:val="00CD5536"/>
    <w:rsid w:val="00CE79F6"/>
    <w:rsid w:val="00D11486"/>
    <w:rsid w:val="00D377C1"/>
    <w:rsid w:val="00D37DBD"/>
    <w:rsid w:val="00D53189"/>
    <w:rsid w:val="00D61F39"/>
    <w:rsid w:val="00D62657"/>
    <w:rsid w:val="00D772F7"/>
    <w:rsid w:val="00DB305A"/>
    <w:rsid w:val="00DD14B0"/>
    <w:rsid w:val="00E0207F"/>
    <w:rsid w:val="00E06CC8"/>
    <w:rsid w:val="00E84B57"/>
    <w:rsid w:val="00EA33F8"/>
    <w:rsid w:val="00EB09C4"/>
    <w:rsid w:val="00F1043D"/>
    <w:rsid w:val="00F4430E"/>
    <w:rsid w:val="00FA5828"/>
    <w:rsid w:val="00FC77CA"/>
    <w:rsid w:val="00FD5506"/>
    <w:rsid w:val="00FD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0941"/>
  <w15:chartTrackingRefBased/>
  <w15:docId w15:val="{F8F5B7B5-471B-4935-86C4-544F56AF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AE2EBB"/>
  </w:style>
  <w:style w:type="paragraph" w:styleId="a3">
    <w:name w:val="List Paragraph"/>
    <w:basedOn w:val="a"/>
    <w:uiPriority w:val="34"/>
    <w:qFormat/>
    <w:rsid w:val="001B41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413D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35182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D61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po.snau.edu.ua/bitstream/123456789/1571/1/3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1003/ea.V177-11" TargetMode="External"/><Relationship Id="rId5" Type="http://schemas.openxmlformats.org/officeDocument/2006/relationships/hyperlink" Target="URL:https://dspace.lvduvs.edu.ua/handle/1234567890/41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2615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Вячеслав Валентинович Пилипенко</cp:lastModifiedBy>
  <cp:revision>50</cp:revision>
  <dcterms:created xsi:type="dcterms:W3CDTF">2023-02-06T14:36:00Z</dcterms:created>
  <dcterms:modified xsi:type="dcterms:W3CDTF">2023-02-06T15:18:00Z</dcterms:modified>
</cp:coreProperties>
</file>