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C30A" w14:textId="77777777" w:rsidR="00A7499B" w:rsidRPr="00721FF5" w:rsidRDefault="00A7499B" w:rsidP="00A7499B">
      <w:pPr>
        <w:jc w:val="right"/>
        <w:rPr>
          <w:rFonts w:cs="Times New Roman"/>
          <w:szCs w:val="28"/>
        </w:rPr>
      </w:pPr>
      <w:r w:rsidRPr="00721FF5">
        <w:rPr>
          <w:rFonts w:cs="Times New Roman"/>
          <w:szCs w:val="28"/>
        </w:rPr>
        <w:t xml:space="preserve">Нагай Денис </w:t>
      </w:r>
      <w:proofErr w:type="spellStart"/>
      <w:r w:rsidRPr="00721FF5">
        <w:rPr>
          <w:rFonts w:cs="Times New Roman"/>
          <w:szCs w:val="28"/>
        </w:rPr>
        <w:t>Анатолійович</w:t>
      </w:r>
      <w:proofErr w:type="spellEnd"/>
    </w:p>
    <w:p w14:paraId="711128F1" w14:textId="330109E8" w:rsidR="006B5929" w:rsidRPr="00721FF5" w:rsidRDefault="00A7499B" w:rsidP="00A7499B">
      <w:pPr>
        <w:jc w:val="right"/>
        <w:rPr>
          <w:szCs w:val="28"/>
        </w:rPr>
      </w:pPr>
      <w:r w:rsidRPr="00721FF5">
        <w:rPr>
          <w:szCs w:val="28"/>
          <w:lang w:val="uk-UA"/>
        </w:rPr>
        <w:t>Аспірант кафедри професійної освіти та технологій сільськогосподарського виробництва, Глухівський національний педагогічний</w:t>
      </w:r>
      <w:r w:rsidRPr="00721FF5">
        <w:rPr>
          <w:szCs w:val="28"/>
        </w:rPr>
        <w:t xml:space="preserve"> </w:t>
      </w:r>
      <w:r w:rsidRPr="00721FF5">
        <w:rPr>
          <w:szCs w:val="28"/>
          <w:lang w:val="uk-UA"/>
        </w:rPr>
        <w:t>університет імені Олександра Довженка м. Глухів</w:t>
      </w:r>
    </w:p>
    <w:p w14:paraId="1A297720" w14:textId="7CCE6529" w:rsidR="00A7499B" w:rsidRPr="00DF2D8D" w:rsidRDefault="00A7499B" w:rsidP="00A7499B">
      <w:pPr>
        <w:jc w:val="right"/>
        <w:rPr>
          <w:szCs w:val="28"/>
        </w:rPr>
      </w:pPr>
      <w:r w:rsidRPr="00721FF5">
        <w:rPr>
          <w:szCs w:val="28"/>
          <w:lang w:val="uk-UA"/>
        </w:rPr>
        <w:t>https://orcid.org/0009-0009-6626-1362</w:t>
      </w:r>
    </w:p>
    <w:p w14:paraId="192EAB26" w14:textId="77777777" w:rsidR="00A7499B" w:rsidRPr="00DF2D8D" w:rsidRDefault="00A7499B" w:rsidP="00A7499B">
      <w:pPr>
        <w:spacing w:line="300" w:lineRule="auto"/>
        <w:jc w:val="right"/>
        <w:rPr>
          <w:sz w:val="24"/>
          <w:szCs w:val="24"/>
        </w:rPr>
      </w:pPr>
    </w:p>
    <w:p w14:paraId="6ADBF9B1" w14:textId="77777777" w:rsidR="0059162F" w:rsidRPr="001E6D4B" w:rsidRDefault="0059162F" w:rsidP="0059162F">
      <w:pPr>
        <w:ind w:firstLine="0"/>
        <w:jc w:val="center"/>
        <w:rPr>
          <w:b/>
          <w:bCs/>
          <w:lang w:val="uk-UA"/>
        </w:rPr>
      </w:pPr>
      <w:bookmarkStart w:id="0" w:name="_Hlk217988543"/>
      <w:r w:rsidRPr="001E6D4B">
        <w:rPr>
          <w:b/>
          <w:bCs/>
          <w:lang w:val="uk-UA"/>
        </w:rPr>
        <w:t>ЗАСТОСУВАННЯ ARDUINO ДЛЯ РОЗВИТКУ АЛГОРИТМІЧНОГО МИСЛЕННЯ УЧНІВ НА УРОКАХ ІНФОРМАТИКИ</w:t>
      </w:r>
    </w:p>
    <w:bookmarkEnd w:id="0"/>
    <w:p w14:paraId="5A54D6F1" w14:textId="77777777" w:rsidR="0059162F" w:rsidRPr="00BD5DE3" w:rsidRDefault="0059162F" w:rsidP="0059162F">
      <w:pPr>
        <w:ind w:firstLine="720"/>
        <w:rPr>
          <w:lang w:val="uk-UA"/>
        </w:rPr>
      </w:pPr>
    </w:p>
    <w:p w14:paraId="1112E510" w14:textId="3ACF9714" w:rsidR="0059162F" w:rsidRPr="0059162F" w:rsidRDefault="0059162F" w:rsidP="0059162F">
      <w:pPr>
        <w:ind w:firstLine="720"/>
        <w:rPr>
          <w:lang w:val="uk-UA"/>
        </w:rPr>
      </w:pPr>
      <w:r w:rsidRPr="0059162F">
        <w:rPr>
          <w:lang w:val="uk-UA"/>
        </w:rPr>
        <w:t xml:space="preserve">Цифрова трансформація освіти зумовлює потребу у формуванні в учнів ключових </w:t>
      </w:r>
      <w:proofErr w:type="spellStart"/>
      <w:r w:rsidRPr="0059162F">
        <w:rPr>
          <w:lang w:val="uk-UA"/>
        </w:rPr>
        <w:t>компетентностей</w:t>
      </w:r>
      <w:proofErr w:type="spellEnd"/>
      <w:r w:rsidRPr="0059162F">
        <w:rPr>
          <w:lang w:val="uk-UA"/>
        </w:rPr>
        <w:t xml:space="preserve"> XXI століття, серед яких провідне місце належить обчислювальному мисленню як основі інтелектуальної, інженерної та творчої діяльності. Класичні методики навчання програмування, що орієнтуються на роботу з абстрактними консольними додатками, часто не забезпечують достатнього рівня практичного осмислення алгоритмів, що стримує розвиток системного мислення та знижує мотивацію учнів</w:t>
      </w:r>
      <w:r w:rsidR="00BD5DE3" w:rsidRPr="00BD5DE3">
        <w:rPr>
          <w:lang w:val="uk-UA"/>
        </w:rPr>
        <w:t xml:space="preserve"> [1]</w:t>
      </w:r>
      <w:r w:rsidRPr="0059162F">
        <w:rPr>
          <w:lang w:val="uk-UA"/>
        </w:rPr>
        <w:t xml:space="preserve">. </w:t>
      </w:r>
    </w:p>
    <w:p w14:paraId="3CFE5CCF" w14:textId="4899C0AA" w:rsidR="0059162F" w:rsidRPr="0059162F" w:rsidRDefault="0059162F" w:rsidP="0059162F">
      <w:pPr>
        <w:ind w:firstLine="720"/>
        <w:rPr>
          <w:lang w:val="uk-UA"/>
        </w:rPr>
      </w:pPr>
      <w:r w:rsidRPr="0059162F">
        <w:rPr>
          <w:lang w:val="uk-UA"/>
        </w:rPr>
        <w:t xml:space="preserve">Платформа </w:t>
      </w:r>
      <w:proofErr w:type="spellStart"/>
      <w:r w:rsidRPr="0059162F">
        <w:rPr>
          <w:lang w:val="uk-UA"/>
        </w:rPr>
        <w:t>Arduino</w:t>
      </w:r>
      <w:proofErr w:type="spellEnd"/>
      <w:r w:rsidRPr="0059162F">
        <w:rPr>
          <w:lang w:val="uk-UA"/>
        </w:rPr>
        <w:t xml:space="preserve"> забезпечує “матеріалізацію” алгоритмічних структур через керування фізичними пристроями, що підсилює зв’язок між теорією та практикою, сприяє міждисциплінарній інтеграції та створює умови для STEM-орієнтованого навчання. Актуальна дослідницька проблема полягає у </w:t>
      </w:r>
      <w:proofErr w:type="spellStart"/>
      <w:r w:rsidRPr="0059162F">
        <w:rPr>
          <w:lang w:val="uk-UA"/>
        </w:rPr>
        <w:t>бракy</w:t>
      </w:r>
      <w:proofErr w:type="spellEnd"/>
      <w:r w:rsidRPr="0059162F">
        <w:rPr>
          <w:lang w:val="uk-UA"/>
        </w:rPr>
        <w:t xml:space="preserve"> детально розроблених методичних сценаріїв, які демонстрували б покрокову інтеграцію </w:t>
      </w:r>
      <w:proofErr w:type="spellStart"/>
      <w:r w:rsidRPr="0059162F">
        <w:rPr>
          <w:lang w:val="uk-UA"/>
        </w:rPr>
        <w:t>Arduino-проєктів</w:t>
      </w:r>
      <w:proofErr w:type="spellEnd"/>
      <w:r w:rsidRPr="0059162F">
        <w:rPr>
          <w:lang w:val="uk-UA"/>
        </w:rPr>
        <w:t xml:space="preserve"> у типові </w:t>
      </w:r>
      <w:proofErr w:type="spellStart"/>
      <w:r w:rsidRPr="0059162F">
        <w:rPr>
          <w:lang w:val="uk-UA"/>
        </w:rPr>
        <w:t>уроки</w:t>
      </w:r>
      <w:proofErr w:type="spellEnd"/>
      <w:r w:rsidRPr="0059162F">
        <w:rPr>
          <w:lang w:val="uk-UA"/>
        </w:rPr>
        <w:t xml:space="preserve"> інформатики з чітким відображенням навчальних цілей та критеріїв оцінювання.</w:t>
      </w:r>
    </w:p>
    <w:p w14:paraId="74176CD3" w14:textId="77777777" w:rsidR="0059162F" w:rsidRPr="00BD5DE3" w:rsidRDefault="0059162F" w:rsidP="0059162F">
      <w:pPr>
        <w:ind w:firstLine="720"/>
        <w:rPr>
          <w:lang w:val="uk-UA"/>
        </w:rPr>
      </w:pPr>
      <w:r w:rsidRPr="0059162F">
        <w:rPr>
          <w:lang w:val="uk-UA"/>
        </w:rPr>
        <w:t xml:space="preserve">Мета статті – теоретично обґрунтувати та розробити практичну методику використання </w:t>
      </w:r>
      <w:r w:rsidRPr="0059162F">
        <w:rPr>
          <w:lang w:val="en-US"/>
        </w:rPr>
        <w:t>Arduino</w:t>
      </w:r>
      <w:r w:rsidRPr="0059162F">
        <w:rPr>
          <w:lang w:val="uk-UA"/>
        </w:rPr>
        <w:t xml:space="preserve"> для цілеспрямованого формування компонентів обчислювального мислення (декомпозиції, алгоритмізації, абстрагування, узагальнення) в учнів 8–9 класів на </w:t>
      </w:r>
      <w:proofErr w:type="spellStart"/>
      <w:r w:rsidRPr="0059162F">
        <w:rPr>
          <w:lang w:val="uk-UA"/>
        </w:rPr>
        <w:t>уроках</w:t>
      </w:r>
      <w:proofErr w:type="spellEnd"/>
      <w:r w:rsidRPr="0059162F">
        <w:rPr>
          <w:lang w:val="uk-UA"/>
        </w:rPr>
        <w:t xml:space="preserve"> інформатики. </w:t>
      </w:r>
    </w:p>
    <w:p w14:paraId="4D34942E" w14:textId="1506F3AB" w:rsidR="00BD5DE3" w:rsidRPr="00BD5DE3" w:rsidRDefault="0059162F" w:rsidP="0059162F">
      <w:pPr>
        <w:ind w:firstLine="720"/>
        <w:rPr>
          <w:lang w:val="uk-UA"/>
        </w:rPr>
      </w:pPr>
      <w:r w:rsidRPr="0059162F">
        <w:rPr>
          <w:lang w:val="uk-UA"/>
        </w:rPr>
        <w:lastRenderedPageBreak/>
        <w:t xml:space="preserve">Науковий аналіз літератури фіксує позитивний вплив </w:t>
      </w:r>
      <w:r w:rsidRPr="0059162F">
        <w:rPr>
          <w:lang w:val="en-US"/>
        </w:rPr>
        <w:t>Arduino</w:t>
      </w:r>
      <w:r w:rsidRPr="0059162F">
        <w:rPr>
          <w:lang w:val="uk-UA"/>
        </w:rPr>
        <w:t>-</w:t>
      </w:r>
      <w:proofErr w:type="spellStart"/>
      <w:r w:rsidRPr="0059162F">
        <w:rPr>
          <w:lang w:val="uk-UA"/>
        </w:rPr>
        <w:t>проєктів</w:t>
      </w:r>
      <w:proofErr w:type="spellEnd"/>
      <w:r w:rsidRPr="0059162F">
        <w:rPr>
          <w:lang w:val="uk-UA"/>
        </w:rPr>
        <w:t xml:space="preserve"> на розвиток когнітивних і соціальних навичок учнів, але водночас демонструє дефіцит педагогічних моделей, які б поєднували технічні можливості платформи з конкретними дидактичними завданнями та вимогами державного стандарту. Запропоновано методичний сценарій уроку-</w:t>
      </w:r>
      <w:proofErr w:type="spellStart"/>
      <w:r w:rsidRPr="0059162F">
        <w:rPr>
          <w:lang w:val="uk-UA"/>
        </w:rPr>
        <w:t>проєкту</w:t>
      </w:r>
      <w:proofErr w:type="spellEnd"/>
      <w:r w:rsidRPr="0059162F">
        <w:rPr>
          <w:lang w:val="uk-UA"/>
        </w:rPr>
        <w:t xml:space="preserve"> «Розумний ліхтарик», що об’єднує знання з інформатики, фізики та основ інженерії, моделюючи </w:t>
      </w:r>
      <w:r w:rsidRPr="0059162F">
        <w:rPr>
          <w:lang w:val="en-US"/>
        </w:rPr>
        <w:t>STEM</w:t>
      </w:r>
      <w:r w:rsidRPr="0059162F">
        <w:rPr>
          <w:lang w:val="uk-UA"/>
        </w:rPr>
        <w:t>-підхід та поетапно розкриваючи механізм “оживлення” алгоритмів у фізичному пристрої</w:t>
      </w:r>
      <w:r w:rsidR="00BD5DE3" w:rsidRPr="00BD5DE3">
        <w:rPr>
          <w:lang w:val="uk-UA"/>
        </w:rPr>
        <w:t xml:space="preserve"> [2]</w:t>
      </w:r>
      <w:r w:rsidRPr="0059162F">
        <w:rPr>
          <w:lang w:val="uk-UA"/>
        </w:rPr>
        <w:t xml:space="preserve">. </w:t>
      </w:r>
    </w:p>
    <w:p w14:paraId="46CBB3FE" w14:textId="024932F5" w:rsidR="0059162F" w:rsidRPr="00BD5DE3" w:rsidRDefault="0059162F" w:rsidP="0059162F">
      <w:pPr>
        <w:ind w:firstLine="720"/>
      </w:pPr>
      <w:r w:rsidRPr="0059162F">
        <w:rPr>
          <w:lang w:val="uk-UA"/>
        </w:rPr>
        <w:t xml:space="preserve">Структура уроку вибудувана у форматі трьох блоків: </w:t>
      </w:r>
    </w:p>
    <w:p w14:paraId="7A965DBB" w14:textId="77777777" w:rsidR="0059162F" w:rsidRPr="0059162F" w:rsidRDefault="0059162F" w:rsidP="0059162F">
      <w:pPr>
        <w:pStyle w:val="ListParagraph"/>
        <w:numPr>
          <w:ilvl w:val="0"/>
          <w:numId w:val="2"/>
        </w:numPr>
        <w:rPr>
          <w:lang w:val="uk-UA"/>
        </w:rPr>
      </w:pPr>
      <w:r w:rsidRPr="0059162F">
        <w:rPr>
          <w:lang w:val="uk-UA"/>
        </w:rPr>
        <w:t xml:space="preserve">актуалізація знань і постановка проблеми (узагальнення понять умовних операторів, аналогових сигналів, ШІМ); </w:t>
      </w:r>
    </w:p>
    <w:p w14:paraId="034B9CEC" w14:textId="77777777" w:rsidR="0059162F" w:rsidRPr="0059162F" w:rsidRDefault="0059162F" w:rsidP="0059162F">
      <w:pPr>
        <w:pStyle w:val="ListParagraph"/>
        <w:numPr>
          <w:ilvl w:val="0"/>
          <w:numId w:val="2"/>
        </w:numPr>
        <w:rPr>
          <w:lang w:val="uk-UA"/>
        </w:rPr>
      </w:pPr>
      <w:r w:rsidRPr="0059162F">
        <w:rPr>
          <w:lang w:val="uk-UA"/>
        </w:rPr>
        <w:t xml:space="preserve">практична реалізація схеми й написання коду з логічними змінними; </w:t>
      </w:r>
    </w:p>
    <w:p w14:paraId="6A5BA7F9" w14:textId="38A84A16" w:rsidR="0059162F" w:rsidRPr="0059162F" w:rsidRDefault="0059162F" w:rsidP="0059162F">
      <w:pPr>
        <w:pStyle w:val="ListParagraph"/>
        <w:numPr>
          <w:ilvl w:val="0"/>
          <w:numId w:val="2"/>
        </w:numPr>
        <w:rPr>
          <w:lang w:val="uk-UA"/>
        </w:rPr>
      </w:pPr>
      <w:r w:rsidRPr="0059162F">
        <w:rPr>
          <w:lang w:val="uk-UA"/>
        </w:rPr>
        <w:t>тестування, рефлексія та оцінювання результатів.</w:t>
      </w:r>
    </w:p>
    <w:p w14:paraId="61775E3A" w14:textId="5FB48474" w:rsidR="00692B42" w:rsidRDefault="0059162F" w:rsidP="005B220D">
      <w:pPr>
        <w:ind w:firstLine="720"/>
        <w:rPr>
          <w:lang w:val="uk-UA"/>
        </w:rPr>
      </w:pPr>
      <w:r w:rsidRPr="0059162F">
        <w:rPr>
          <w:lang w:val="uk-UA"/>
        </w:rPr>
        <w:t>Практична частина уроку передбачає складання електричної схеми (</w:t>
      </w:r>
      <w:r w:rsidRPr="0059162F">
        <w:rPr>
          <w:lang w:val="en-US"/>
        </w:rPr>
        <w:t>Arduino</w:t>
      </w:r>
      <w:r w:rsidRPr="0059162F">
        <w:rPr>
          <w:lang w:val="uk-UA"/>
        </w:rPr>
        <w:t xml:space="preserve"> </w:t>
      </w:r>
      <w:r w:rsidRPr="0059162F">
        <w:rPr>
          <w:lang w:val="en-US"/>
        </w:rPr>
        <w:t>Uno</w:t>
      </w:r>
      <w:r w:rsidRPr="0059162F">
        <w:rPr>
          <w:lang w:val="uk-UA"/>
        </w:rPr>
        <w:t xml:space="preserve">, </w:t>
      </w:r>
      <w:proofErr w:type="spellStart"/>
      <w:r w:rsidRPr="0059162F">
        <w:rPr>
          <w:lang w:val="uk-UA"/>
        </w:rPr>
        <w:t>фоторезистор</w:t>
      </w:r>
      <w:proofErr w:type="spellEnd"/>
      <w:r w:rsidRPr="0059162F">
        <w:rPr>
          <w:lang w:val="uk-UA"/>
        </w:rPr>
        <w:t xml:space="preserve">, потенціометр, світлодіод) та написання коду на </w:t>
      </w:r>
      <w:r w:rsidRPr="0059162F">
        <w:rPr>
          <w:lang w:val="en-US"/>
        </w:rPr>
        <w:t>C</w:t>
      </w:r>
      <w:r w:rsidRPr="0059162F">
        <w:rPr>
          <w:lang w:val="uk-UA"/>
        </w:rPr>
        <w:t>/</w:t>
      </w:r>
      <w:r w:rsidRPr="0059162F">
        <w:rPr>
          <w:lang w:val="en-US"/>
        </w:rPr>
        <w:t>C</w:t>
      </w:r>
      <w:r w:rsidRPr="0059162F">
        <w:rPr>
          <w:lang w:val="uk-UA"/>
        </w:rPr>
        <w:t>++ із використанням умовних операторів, логічних змінних, читанням аналогових значень і застосуванням послідовного моніторингу (</w:t>
      </w:r>
      <w:r w:rsidRPr="0059162F">
        <w:rPr>
          <w:lang w:val="en-US"/>
        </w:rPr>
        <w:t>Serial</w:t>
      </w:r>
      <w:r w:rsidRPr="0059162F">
        <w:rPr>
          <w:lang w:val="uk-UA"/>
        </w:rPr>
        <w:t xml:space="preserve"> </w:t>
      </w:r>
      <w:r w:rsidRPr="0059162F">
        <w:rPr>
          <w:lang w:val="en-US"/>
        </w:rPr>
        <w:t>Monitor</w:t>
      </w:r>
      <w:r w:rsidRPr="0059162F">
        <w:rPr>
          <w:lang w:val="uk-UA"/>
        </w:rPr>
        <w:t>) для налагодження</w:t>
      </w:r>
      <w:r w:rsidR="00BD5DE3" w:rsidRPr="00BD5DE3">
        <w:rPr>
          <w:lang w:val="uk-UA"/>
        </w:rPr>
        <w:t xml:space="preserve"> [7]</w:t>
      </w:r>
      <w:r w:rsidRPr="0059162F">
        <w:rPr>
          <w:lang w:val="uk-UA"/>
        </w:rPr>
        <w:t xml:space="preserve">. </w:t>
      </w:r>
    </w:p>
    <w:p w14:paraId="70862AD1" w14:textId="6FB37150" w:rsidR="00692B42" w:rsidRDefault="00692B42" w:rsidP="005B220D">
      <w:pPr>
        <w:ind w:firstLine="720"/>
        <w:rPr>
          <w:lang w:val="uk-UA"/>
        </w:rPr>
      </w:pPr>
      <w:r>
        <w:rPr>
          <w:noProof/>
        </w:rPr>
        <w:drawing>
          <wp:inline distT="0" distB="0" distL="0" distR="0" wp14:anchorId="520EEA32" wp14:editId="6762639A">
            <wp:extent cx="5940425" cy="2326640"/>
            <wp:effectExtent l="0" t="0" r="3175" b="0"/>
            <wp:docPr id="2" name="Рисунок 2" descr="A close-up of a circuit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A close-up of a circuit boa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C06D" w14:textId="637519E9" w:rsidR="00BD5DE3" w:rsidRDefault="00BD5DE3" w:rsidP="00BD5DE3">
      <w:pPr>
        <w:ind w:left="709" w:firstLine="0"/>
        <w:jc w:val="center"/>
        <w:rPr>
          <w:i/>
          <w:iCs/>
          <w:lang w:val="uk-UA"/>
        </w:rPr>
      </w:pPr>
      <w:r w:rsidRPr="00C50B0D">
        <w:rPr>
          <w:i/>
          <w:iCs/>
          <w:lang w:val="uk-UA"/>
        </w:rPr>
        <w:t xml:space="preserve">Рис. </w:t>
      </w:r>
      <w:r>
        <w:rPr>
          <w:i/>
          <w:iCs/>
          <w:lang w:val="en-US"/>
        </w:rPr>
        <w:t>1</w:t>
      </w:r>
      <w:r w:rsidRPr="00C50B0D">
        <w:rPr>
          <w:i/>
          <w:iCs/>
          <w:lang w:val="uk-UA"/>
        </w:rPr>
        <w:t xml:space="preserve">. Зібрана на макетній платі схема </w:t>
      </w:r>
      <w:proofErr w:type="spellStart"/>
      <w:r w:rsidRPr="00C50B0D">
        <w:rPr>
          <w:i/>
          <w:iCs/>
          <w:lang w:val="uk-UA"/>
        </w:rPr>
        <w:t>проєкту</w:t>
      </w:r>
      <w:proofErr w:type="spellEnd"/>
      <w:r w:rsidRPr="00C50B0D">
        <w:rPr>
          <w:i/>
          <w:iCs/>
          <w:lang w:val="uk-UA"/>
        </w:rPr>
        <w:t xml:space="preserve"> в двох режимах, з різними рівнями освітленості</w:t>
      </w:r>
    </w:p>
    <w:p w14:paraId="3DD34FEC" w14:textId="63E9E468" w:rsidR="005B220D" w:rsidRPr="005B220D" w:rsidRDefault="0059162F" w:rsidP="00692B42">
      <w:pPr>
        <w:ind w:firstLine="0"/>
        <w:rPr>
          <w:lang w:val="uk-UA"/>
        </w:rPr>
      </w:pPr>
      <w:r w:rsidRPr="0059162F">
        <w:rPr>
          <w:lang w:val="uk-UA"/>
        </w:rPr>
        <w:lastRenderedPageBreak/>
        <w:t xml:space="preserve">Теоретичні аспекти, закладені в коді: </w:t>
      </w:r>
    </w:p>
    <w:p w14:paraId="4744FD35" w14:textId="77777777" w:rsidR="005B220D" w:rsidRPr="005B220D" w:rsidRDefault="0059162F" w:rsidP="005B220D">
      <w:pPr>
        <w:pStyle w:val="ListParagraph"/>
        <w:numPr>
          <w:ilvl w:val="0"/>
          <w:numId w:val="3"/>
        </w:numPr>
        <w:rPr>
          <w:lang w:val="uk-UA"/>
        </w:rPr>
      </w:pPr>
      <w:r w:rsidRPr="005B220D">
        <w:rPr>
          <w:lang w:val="uk-UA"/>
        </w:rPr>
        <w:t>введення логічної змінної `</w:t>
      </w:r>
      <w:proofErr w:type="spellStart"/>
      <w:r w:rsidRPr="005B220D">
        <w:rPr>
          <w:lang w:val="en-US"/>
        </w:rPr>
        <w:t>boolean</w:t>
      </w:r>
      <w:proofErr w:type="spellEnd"/>
      <w:r w:rsidRPr="005B220D">
        <w:rPr>
          <w:lang w:val="uk-UA"/>
        </w:rPr>
        <w:t xml:space="preserve">`, </w:t>
      </w:r>
    </w:p>
    <w:p w14:paraId="1BC0B760" w14:textId="77777777" w:rsidR="005B220D" w:rsidRPr="005B220D" w:rsidRDefault="0059162F" w:rsidP="005B220D">
      <w:pPr>
        <w:pStyle w:val="ListParagraph"/>
        <w:numPr>
          <w:ilvl w:val="0"/>
          <w:numId w:val="3"/>
        </w:numPr>
        <w:rPr>
          <w:lang w:val="uk-UA"/>
        </w:rPr>
      </w:pPr>
      <w:r w:rsidRPr="005B220D">
        <w:rPr>
          <w:lang w:val="uk-UA"/>
        </w:rPr>
        <w:t>інтерпретація результатів порівняння як умов для фізичної дії,</w:t>
      </w:r>
    </w:p>
    <w:p w14:paraId="13B41A77" w14:textId="77777777" w:rsidR="005B220D" w:rsidRPr="005B220D" w:rsidRDefault="0059162F" w:rsidP="005B220D">
      <w:pPr>
        <w:pStyle w:val="ListParagraph"/>
        <w:numPr>
          <w:ilvl w:val="0"/>
          <w:numId w:val="3"/>
        </w:numPr>
        <w:rPr>
          <w:lang w:val="uk-UA"/>
        </w:rPr>
      </w:pPr>
      <w:r w:rsidRPr="005B220D">
        <w:rPr>
          <w:lang w:val="uk-UA"/>
        </w:rPr>
        <w:t>пояснення синтаксису операторів `</w:t>
      </w:r>
      <w:r w:rsidRPr="005B220D">
        <w:rPr>
          <w:lang w:val="en-US"/>
        </w:rPr>
        <w:t>if</w:t>
      </w:r>
      <w:r w:rsidRPr="005B220D">
        <w:rPr>
          <w:lang w:val="uk-UA"/>
        </w:rPr>
        <w:t>–</w:t>
      </w:r>
      <w:r w:rsidRPr="005B220D">
        <w:rPr>
          <w:lang w:val="en-US"/>
        </w:rPr>
        <w:t>else</w:t>
      </w:r>
      <w:r w:rsidRPr="005B220D">
        <w:rPr>
          <w:lang w:val="uk-UA"/>
        </w:rPr>
        <w:t xml:space="preserve">`, </w:t>
      </w:r>
    </w:p>
    <w:p w14:paraId="51DB60E8" w14:textId="4B4791E0" w:rsidR="0059162F" w:rsidRPr="005B220D" w:rsidRDefault="0059162F" w:rsidP="005B220D">
      <w:pPr>
        <w:pStyle w:val="ListParagraph"/>
        <w:numPr>
          <w:ilvl w:val="0"/>
          <w:numId w:val="3"/>
        </w:numPr>
        <w:rPr>
          <w:lang w:val="uk-UA"/>
        </w:rPr>
      </w:pPr>
      <w:r w:rsidRPr="005B220D">
        <w:rPr>
          <w:lang w:val="uk-UA"/>
        </w:rPr>
        <w:t>демонстрація циклу `</w:t>
      </w:r>
      <w:r w:rsidRPr="005B220D">
        <w:rPr>
          <w:lang w:val="en-US"/>
        </w:rPr>
        <w:t>loop</w:t>
      </w:r>
      <w:r w:rsidRPr="005B220D">
        <w:rPr>
          <w:lang w:val="uk-UA"/>
        </w:rPr>
        <w:t xml:space="preserve">()` як серцевини безперервного алгоритму та використання ШІМ для управління яскравістю </w:t>
      </w:r>
      <w:proofErr w:type="spellStart"/>
      <w:r w:rsidRPr="005B220D">
        <w:rPr>
          <w:lang w:val="uk-UA"/>
        </w:rPr>
        <w:t>світлодіода</w:t>
      </w:r>
      <w:proofErr w:type="spellEnd"/>
      <w:r w:rsidRPr="005B220D">
        <w:rPr>
          <w:lang w:val="uk-UA"/>
        </w:rPr>
        <w:t>.</w:t>
      </w:r>
    </w:p>
    <w:p w14:paraId="668EACD7" w14:textId="694545E1" w:rsidR="0059162F" w:rsidRPr="005B220D" w:rsidRDefault="0059162F" w:rsidP="005B220D">
      <w:pPr>
        <w:ind w:firstLine="720"/>
        <w:rPr>
          <w:lang w:val="uk-UA"/>
        </w:rPr>
      </w:pPr>
      <w:r w:rsidRPr="005B220D">
        <w:rPr>
          <w:lang w:val="uk-UA"/>
        </w:rPr>
        <w:t>Система формувального оцінювання включає критерії: коректність зібраної схеми (25 %), працездатність і логіка коду (50 %), активність та рефлексія під час обговорення (25 %); запроваджено диференціацію завдань за рівнями складності для забезпечення індивідуальної траєкторії навчання</w:t>
      </w:r>
      <w:r w:rsidR="00BD5DE3" w:rsidRPr="00BD5DE3">
        <w:rPr>
          <w:lang w:val="uk-UA"/>
        </w:rPr>
        <w:t xml:space="preserve"> [6]</w:t>
      </w:r>
      <w:r w:rsidRPr="005B220D">
        <w:rPr>
          <w:lang w:val="uk-UA"/>
        </w:rPr>
        <w:t>.</w:t>
      </w:r>
    </w:p>
    <w:p w14:paraId="5B3F6144" w14:textId="2507999F" w:rsidR="0059162F" w:rsidRPr="005B220D" w:rsidRDefault="0059162F" w:rsidP="00692B42">
      <w:pPr>
        <w:ind w:firstLine="720"/>
        <w:rPr>
          <w:lang w:val="uk-UA"/>
        </w:rPr>
      </w:pPr>
      <w:r w:rsidRPr="005B220D">
        <w:rPr>
          <w:lang w:val="uk-UA"/>
        </w:rPr>
        <w:t xml:space="preserve">Компоненти обчислювального мислення, які цілеспрямовано розвиваються у </w:t>
      </w:r>
      <w:proofErr w:type="spellStart"/>
      <w:r w:rsidRPr="005B220D">
        <w:rPr>
          <w:lang w:val="uk-UA"/>
        </w:rPr>
        <w:t>проєкті</w:t>
      </w:r>
      <w:proofErr w:type="spellEnd"/>
      <w:r w:rsidRPr="005B220D">
        <w:rPr>
          <w:lang w:val="uk-UA"/>
        </w:rPr>
        <w:t xml:space="preserve">:  </w:t>
      </w:r>
    </w:p>
    <w:p w14:paraId="372DCAB6" w14:textId="2ABD830E" w:rsidR="005B220D" w:rsidRPr="005B220D" w:rsidRDefault="0059162F" w:rsidP="005B220D">
      <w:pPr>
        <w:pStyle w:val="ListParagraph"/>
        <w:numPr>
          <w:ilvl w:val="0"/>
          <w:numId w:val="4"/>
        </w:numPr>
        <w:rPr>
          <w:lang w:val="uk-UA"/>
        </w:rPr>
      </w:pPr>
      <w:r w:rsidRPr="005B220D">
        <w:rPr>
          <w:lang w:val="uk-UA"/>
        </w:rPr>
        <w:t xml:space="preserve">декомпозиція задачі на </w:t>
      </w:r>
      <w:r w:rsidR="005B220D" w:rsidRPr="005B220D">
        <w:rPr>
          <w:lang w:val="uk-UA"/>
        </w:rPr>
        <w:t>під задачі</w:t>
      </w:r>
      <w:r w:rsidRPr="005B220D">
        <w:rPr>
          <w:lang w:val="uk-UA"/>
        </w:rPr>
        <w:t xml:space="preserve"> (збір даних, порівняння, керування виконавцем);  </w:t>
      </w:r>
    </w:p>
    <w:p w14:paraId="5363DA3D" w14:textId="77777777" w:rsidR="005B220D" w:rsidRPr="005B220D" w:rsidRDefault="0059162F" w:rsidP="005B220D">
      <w:pPr>
        <w:pStyle w:val="ListParagraph"/>
        <w:numPr>
          <w:ilvl w:val="0"/>
          <w:numId w:val="4"/>
        </w:numPr>
        <w:rPr>
          <w:lang w:val="uk-UA"/>
        </w:rPr>
      </w:pPr>
      <w:r w:rsidRPr="005B220D">
        <w:rPr>
          <w:lang w:val="uk-UA"/>
        </w:rPr>
        <w:t xml:space="preserve">алгоритмізація: чітка послідовність дій із розгалуженням;  </w:t>
      </w:r>
    </w:p>
    <w:p w14:paraId="08ACAA31" w14:textId="77777777" w:rsidR="005B220D" w:rsidRPr="005B220D" w:rsidRDefault="0059162F" w:rsidP="005B220D">
      <w:pPr>
        <w:pStyle w:val="ListParagraph"/>
        <w:numPr>
          <w:ilvl w:val="0"/>
          <w:numId w:val="4"/>
        </w:numPr>
        <w:rPr>
          <w:lang w:val="uk-UA"/>
        </w:rPr>
      </w:pPr>
      <w:r w:rsidRPr="005B220D">
        <w:rPr>
          <w:lang w:val="uk-UA"/>
        </w:rPr>
        <w:t xml:space="preserve">абстрагування: використання змінних для представлення фізичних величин;  </w:t>
      </w:r>
    </w:p>
    <w:p w14:paraId="30930169" w14:textId="34F11670" w:rsidR="0059162F" w:rsidRPr="005B220D" w:rsidRDefault="005B220D" w:rsidP="005B220D">
      <w:pPr>
        <w:pStyle w:val="ListParagraph"/>
        <w:numPr>
          <w:ilvl w:val="0"/>
          <w:numId w:val="4"/>
        </w:numPr>
        <w:rPr>
          <w:lang w:val="uk-UA"/>
        </w:rPr>
      </w:pPr>
      <w:r w:rsidRPr="005B220D">
        <w:rPr>
          <w:lang w:val="uk-UA"/>
        </w:rPr>
        <w:t>у</w:t>
      </w:r>
      <w:r w:rsidR="0059162F" w:rsidRPr="005B220D">
        <w:rPr>
          <w:lang w:val="uk-UA"/>
        </w:rPr>
        <w:t>загальнення</w:t>
      </w:r>
      <w:r w:rsidRPr="005B220D">
        <w:rPr>
          <w:lang w:val="uk-UA"/>
        </w:rPr>
        <w:t xml:space="preserve"> - </w:t>
      </w:r>
      <w:r w:rsidR="0059162F" w:rsidRPr="005B220D">
        <w:rPr>
          <w:lang w:val="uk-UA"/>
        </w:rPr>
        <w:t>перенесення отриманих принципів на інші проекти (сигналізація, автоматизоване освітлення, екологічні датчики).</w:t>
      </w:r>
    </w:p>
    <w:p w14:paraId="52143D38" w14:textId="77777777" w:rsidR="005B220D" w:rsidRDefault="0059162F" w:rsidP="005B220D">
      <w:pPr>
        <w:ind w:firstLine="720"/>
        <w:rPr>
          <w:lang w:val="uk-UA"/>
        </w:rPr>
      </w:pPr>
      <w:r w:rsidRPr="005B220D">
        <w:rPr>
          <w:lang w:val="uk-UA"/>
        </w:rPr>
        <w:t xml:space="preserve">Необхідність використання віртуальних інструментів: </w:t>
      </w:r>
      <w:proofErr w:type="spellStart"/>
      <w:r w:rsidRPr="0059162F">
        <w:rPr>
          <w:lang w:val="en-US"/>
        </w:rPr>
        <w:t>Tinkercad</w:t>
      </w:r>
      <w:proofErr w:type="spellEnd"/>
      <w:r w:rsidRPr="005B220D">
        <w:rPr>
          <w:lang w:val="uk-UA"/>
        </w:rPr>
        <w:t xml:space="preserve"> </w:t>
      </w:r>
      <w:r w:rsidRPr="0059162F">
        <w:rPr>
          <w:lang w:val="en-US"/>
        </w:rPr>
        <w:t>Circuits</w:t>
      </w:r>
      <w:r w:rsidRPr="005B220D">
        <w:rPr>
          <w:lang w:val="uk-UA"/>
        </w:rPr>
        <w:t xml:space="preserve"> розглядається як безкоштовний симулятор для моделювання схем, тестування та налагодження у випадках обмеженої матеріальної бази, а також як засіб попередньої підготовки вчителя та учнів.</w:t>
      </w:r>
    </w:p>
    <w:p w14:paraId="042FA812" w14:textId="325A727F" w:rsidR="0059162F" w:rsidRPr="005B220D" w:rsidRDefault="0059162F" w:rsidP="005B220D">
      <w:pPr>
        <w:ind w:firstLine="720"/>
        <w:rPr>
          <w:lang w:val="uk-UA"/>
        </w:rPr>
      </w:pPr>
      <w:r w:rsidRPr="005B220D">
        <w:rPr>
          <w:lang w:val="uk-UA"/>
        </w:rPr>
        <w:t>Методична підтримка педагога повинна виходити за межі технічних тренінгів і включати:</w:t>
      </w:r>
      <w:r w:rsidR="005B220D">
        <w:rPr>
          <w:lang w:val="uk-UA"/>
        </w:rPr>
        <w:t xml:space="preserve"> </w:t>
      </w:r>
      <w:r w:rsidRPr="005B220D">
        <w:rPr>
          <w:lang w:val="uk-UA"/>
        </w:rPr>
        <w:t>покрокові інструкції та чек-листи для роботи зі схемами</w:t>
      </w:r>
      <w:r w:rsidR="005B220D">
        <w:rPr>
          <w:lang w:val="uk-UA"/>
        </w:rPr>
        <w:t xml:space="preserve">, </w:t>
      </w:r>
      <w:r w:rsidRPr="005B220D">
        <w:rPr>
          <w:lang w:val="uk-UA"/>
        </w:rPr>
        <w:t>підготовку до типових помилок (полярність елементів, помилки підключення, логічні хиби в коді)</w:t>
      </w:r>
      <w:r w:rsidR="005B220D">
        <w:rPr>
          <w:lang w:val="uk-UA"/>
        </w:rPr>
        <w:t xml:space="preserve">, </w:t>
      </w:r>
      <w:r w:rsidRPr="005B220D">
        <w:rPr>
          <w:lang w:val="uk-UA"/>
        </w:rPr>
        <w:t>розвиток умінь пояснювати абстрактні поняття через практичні демонстрації</w:t>
      </w:r>
      <w:r w:rsidR="005B220D">
        <w:rPr>
          <w:lang w:val="uk-UA"/>
        </w:rPr>
        <w:t xml:space="preserve">, </w:t>
      </w:r>
      <w:r w:rsidRPr="005B220D">
        <w:rPr>
          <w:lang w:val="uk-UA"/>
        </w:rPr>
        <w:t>створення спільнот педагогів-практиків для обміну досвідом</w:t>
      </w:r>
      <w:r w:rsidR="00BD5DE3" w:rsidRPr="00BD5DE3">
        <w:rPr>
          <w:lang w:val="uk-UA"/>
        </w:rPr>
        <w:t xml:space="preserve"> [4]</w:t>
      </w:r>
      <w:r w:rsidRPr="005B220D">
        <w:rPr>
          <w:lang w:val="uk-UA"/>
        </w:rPr>
        <w:t>.</w:t>
      </w:r>
    </w:p>
    <w:p w14:paraId="5A5022EA" w14:textId="449C24C7" w:rsidR="0059162F" w:rsidRPr="005B220D" w:rsidRDefault="0059162F" w:rsidP="005B220D">
      <w:pPr>
        <w:ind w:firstLine="720"/>
        <w:rPr>
          <w:lang w:val="uk-UA"/>
        </w:rPr>
      </w:pPr>
      <w:r w:rsidRPr="005B220D">
        <w:rPr>
          <w:lang w:val="uk-UA"/>
        </w:rPr>
        <w:lastRenderedPageBreak/>
        <w:t xml:space="preserve">Запропонований сценарій уроку демонструє можливість інтеграції повноцінної </w:t>
      </w:r>
      <w:proofErr w:type="spellStart"/>
      <w:r w:rsidRPr="005B220D">
        <w:rPr>
          <w:lang w:val="uk-UA"/>
        </w:rPr>
        <w:t>проєктної</w:t>
      </w:r>
      <w:proofErr w:type="spellEnd"/>
      <w:r w:rsidRPr="005B220D">
        <w:rPr>
          <w:lang w:val="uk-UA"/>
        </w:rPr>
        <w:t xml:space="preserve"> діяльності у межах одного навчального заняття, забезпечуючи чітку логіку, дидактичну структурованість, міжпредметні зв’язки та досягнення вимірюваних результатів навчання.</w:t>
      </w:r>
      <w:r w:rsidR="005B220D">
        <w:rPr>
          <w:lang w:val="uk-UA"/>
        </w:rPr>
        <w:t xml:space="preserve"> </w:t>
      </w:r>
      <w:r w:rsidRPr="005B220D">
        <w:rPr>
          <w:lang w:val="uk-UA"/>
        </w:rPr>
        <w:t xml:space="preserve">Підготовка педагогічних кадрів визнається критичним чинником успіху: необхідні довгострокові програми професійного розвитку, що поєднують практичну роботу з </w:t>
      </w:r>
      <w:r w:rsidRPr="0059162F">
        <w:rPr>
          <w:lang w:val="en-US"/>
        </w:rPr>
        <w:t>Arduino</w:t>
      </w:r>
      <w:r w:rsidRPr="005B220D">
        <w:rPr>
          <w:lang w:val="uk-UA"/>
        </w:rPr>
        <w:t>, методичну рефлексію та супровід у впровадженні, а також систематичний обмін досвідом</w:t>
      </w:r>
      <w:r w:rsidR="00BD5DE3" w:rsidRPr="00BD5DE3">
        <w:rPr>
          <w:lang w:val="uk-UA"/>
        </w:rPr>
        <w:t xml:space="preserve"> [3]</w:t>
      </w:r>
      <w:r w:rsidRPr="005B220D">
        <w:rPr>
          <w:lang w:val="uk-UA"/>
        </w:rPr>
        <w:t>.</w:t>
      </w:r>
    </w:p>
    <w:p w14:paraId="075BF5C2" w14:textId="46D98B63" w:rsidR="0059162F" w:rsidRPr="005B220D" w:rsidRDefault="0059162F" w:rsidP="005B220D">
      <w:pPr>
        <w:ind w:firstLine="720"/>
        <w:rPr>
          <w:lang w:val="uk-UA"/>
        </w:rPr>
      </w:pPr>
      <w:r w:rsidRPr="005B220D">
        <w:rPr>
          <w:lang w:val="uk-UA"/>
        </w:rPr>
        <w:t xml:space="preserve">Системний підхід до оцінювання </w:t>
      </w:r>
      <w:proofErr w:type="spellStart"/>
      <w:r w:rsidRPr="005B220D">
        <w:rPr>
          <w:lang w:val="uk-UA"/>
        </w:rPr>
        <w:t>компетентностей</w:t>
      </w:r>
      <w:proofErr w:type="spellEnd"/>
      <w:r w:rsidRPr="005B220D">
        <w:rPr>
          <w:lang w:val="uk-UA"/>
        </w:rPr>
        <w:t xml:space="preserve"> передбачає розробку індикаторів сформованості обчислювального мислення і фіксацію динаміки впродовж навчального курсу, що має стати перспективним напрямом подальших емпіричних досліджень.</w:t>
      </w:r>
    </w:p>
    <w:p w14:paraId="66E9029C" w14:textId="1C660EA5" w:rsidR="005B220D" w:rsidRDefault="0059162F" w:rsidP="005B220D">
      <w:pPr>
        <w:ind w:firstLine="720"/>
        <w:rPr>
          <w:lang w:val="uk-UA"/>
        </w:rPr>
      </w:pPr>
      <w:r w:rsidRPr="005B220D">
        <w:rPr>
          <w:lang w:val="uk-UA"/>
        </w:rPr>
        <w:t xml:space="preserve">Ресурсні виклики (обмежена кількість наборів </w:t>
      </w:r>
      <w:r w:rsidRPr="0059162F">
        <w:rPr>
          <w:lang w:val="en-US"/>
        </w:rPr>
        <w:t>Arduino</w:t>
      </w:r>
      <w:r w:rsidRPr="005B220D">
        <w:rPr>
          <w:lang w:val="uk-UA"/>
        </w:rPr>
        <w:t>, недостатньо оснащені майстерні) можуть бути частково нівельовані завдяки комбінуванню фізичних і віртуальних лабораторій, використанню модульного підходу та організації групової роботи.</w:t>
      </w:r>
      <w:r w:rsidR="005B220D">
        <w:rPr>
          <w:lang w:val="uk-UA"/>
        </w:rPr>
        <w:t xml:space="preserve"> </w:t>
      </w:r>
      <w:r w:rsidRPr="005B220D">
        <w:rPr>
          <w:lang w:val="uk-UA"/>
        </w:rPr>
        <w:t xml:space="preserve">Методика «Розумного ліхтарика» трансформує </w:t>
      </w:r>
      <w:r w:rsidRPr="0059162F">
        <w:rPr>
          <w:lang w:val="en-US"/>
        </w:rPr>
        <w:t>Arduino</w:t>
      </w:r>
      <w:r w:rsidRPr="005B220D">
        <w:rPr>
          <w:lang w:val="uk-UA"/>
        </w:rPr>
        <w:t xml:space="preserve"> з разового експериментального інструменту у регулярний ресурс уроку, спрямований на оновлення змісту інформатики, формування практичних навичок програмування та розвиток інтелектуальних умінь, затребуваних у цифровому суспільстві</w:t>
      </w:r>
      <w:r w:rsidR="00BD5DE3" w:rsidRPr="00BD5DE3">
        <w:t xml:space="preserve"> [5]</w:t>
      </w:r>
      <w:r w:rsidRPr="005B220D">
        <w:rPr>
          <w:lang w:val="uk-UA"/>
        </w:rPr>
        <w:t>.</w:t>
      </w:r>
    </w:p>
    <w:p w14:paraId="3DABEF03" w14:textId="0EAF9151" w:rsidR="00721FF5" w:rsidRPr="005B220D" w:rsidRDefault="0059162F" w:rsidP="005B220D">
      <w:pPr>
        <w:ind w:firstLine="720"/>
        <w:rPr>
          <w:lang w:val="uk-UA"/>
        </w:rPr>
      </w:pPr>
      <w:r w:rsidRPr="005B220D">
        <w:rPr>
          <w:lang w:val="uk-UA"/>
        </w:rPr>
        <w:t>Перспективи досліджень</w:t>
      </w:r>
      <w:r w:rsidR="005B220D">
        <w:rPr>
          <w:lang w:val="uk-UA"/>
        </w:rPr>
        <w:t xml:space="preserve"> </w:t>
      </w:r>
      <w:r w:rsidRPr="005B220D">
        <w:rPr>
          <w:lang w:val="uk-UA"/>
        </w:rPr>
        <w:t xml:space="preserve">– масштабування подібних сценаріїв на серію уроків, інтеграція в різні розділи курсу інформатики, проведення педагогічних експериментів із фіксацією навчальних досягнень та розробка моделей професійної підтримки вчителів для системного використання </w:t>
      </w:r>
      <w:proofErr w:type="spellStart"/>
      <w:r w:rsidRPr="005B220D">
        <w:rPr>
          <w:lang w:val="uk-UA"/>
        </w:rPr>
        <w:t>мікроконтролерних</w:t>
      </w:r>
      <w:proofErr w:type="spellEnd"/>
      <w:r w:rsidRPr="005B220D">
        <w:rPr>
          <w:lang w:val="uk-UA"/>
        </w:rPr>
        <w:t xml:space="preserve"> технологій у школі.</w:t>
      </w:r>
    </w:p>
    <w:p w14:paraId="239E7C51" w14:textId="77777777" w:rsidR="0059162F" w:rsidRPr="005B220D" w:rsidRDefault="0059162F" w:rsidP="00721FF5">
      <w:pPr>
        <w:ind w:firstLine="720"/>
        <w:rPr>
          <w:lang w:val="uk-UA"/>
        </w:rPr>
      </w:pPr>
    </w:p>
    <w:p w14:paraId="5F4F139C" w14:textId="77777777" w:rsidR="00721FF5" w:rsidRPr="001C0831" w:rsidRDefault="00721FF5" w:rsidP="00721FF5">
      <w:pPr>
        <w:rPr>
          <w:b/>
          <w:bCs/>
          <w:i/>
          <w:iCs/>
          <w:lang w:val="uk-UA" w:eastAsia="ru-RU"/>
        </w:rPr>
      </w:pPr>
      <w:r w:rsidRPr="001C0831">
        <w:rPr>
          <w:b/>
          <w:bCs/>
          <w:i/>
          <w:iCs/>
          <w:lang w:val="uk-UA" w:eastAsia="ru-RU"/>
        </w:rPr>
        <w:t xml:space="preserve">Література: </w:t>
      </w:r>
    </w:p>
    <w:p w14:paraId="15A4D0C8" w14:textId="4EA40B7C" w:rsidR="00692B42" w:rsidRPr="001E6D4B" w:rsidRDefault="00692B42" w:rsidP="00692B42">
      <w:pPr>
        <w:numPr>
          <w:ilvl w:val="0"/>
          <w:numId w:val="5"/>
        </w:numPr>
        <w:rPr>
          <w:lang w:val="uk-UA"/>
        </w:rPr>
      </w:pPr>
      <w:proofErr w:type="spellStart"/>
      <w:r w:rsidRPr="001E6D4B">
        <w:rPr>
          <w:lang w:val="uk-UA"/>
        </w:rPr>
        <w:t>Ting-Chia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Hsu</w:t>
      </w:r>
      <w:proofErr w:type="spellEnd"/>
      <w:r w:rsidRPr="001E6D4B">
        <w:rPr>
          <w:lang w:val="uk-UA"/>
        </w:rPr>
        <w:t xml:space="preserve">, </w:t>
      </w:r>
      <w:proofErr w:type="spellStart"/>
      <w:r w:rsidRPr="001E6D4B">
        <w:rPr>
          <w:lang w:val="uk-UA"/>
        </w:rPr>
        <w:t>Shao</w:t>
      </w:r>
      <w:proofErr w:type="spellEnd"/>
      <w:r w:rsidRPr="001E6D4B">
        <w:rPr>
          <w:lang w:val="uk-UA"/>
        </w:rPr>
        <w:t xml:space="preserve">-Chen </w:t>
      </w:r>
      <w:proofErr w:type="spellStart"/>
      <w:r w:rsidRPr="001E6D4B">
        <w:rPr>
          <w:lang w:val="uk-UA"/>
        </w:rPr>
        <w:t>Chang</w:t>
      </w:r>
      <w:proofErr w:type="spellEnd"/>
      <w:r w:rsidRPr="001E6D4B">
        <w:rPr>
          <w:lang w:val="uk-UA"/>
        </w:rPr>
        <w:t xml:space="preserve">, </w:t>
      </w:r>
      <w:proofErr w:type="spellStart"/>
      <w:r w:rsidRPr="001E6D4B">
        <w:rPr>
          <w:lang w:val="uk-UA"/>
        </w:rPr>
        <w:t>Yu-Ting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Hung</w:t>
      </w:r>
      <w:proofErr w:type="spellEnd"/>
      <w:r w:rsidRPr="001E6D4B">
        <w:rPr>
          <w:lang w:val="uk-UA"/>
        </w:rPr>
        <w:t xml:space="preserve">. </w:t>
      </w:r>
      <w:proofErr w:type="spellStart"/>
      <w:r w:rsidRPr="001E6D4B">
        <w:rPr>
          <w:lang w:val="uk-UA"/>
        </w:rPr>
        <w:t>How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to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learn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and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how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to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teach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computational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thinking</w:t>
      </w:r>
      <w:proofErr w:type="spellEnd"/>
      <w:r w:rsidRPr="001E6D4B">
        <w:rPr>
          <w:lang w:val="uk-UA"/>
        </w:rPr>
        <w:t xml:space="preserve">: </w:t>
      </w:r>
      <w:proofErr w:type="spellStart"/>
      <w:r w:rsidRPr="001E6D4B">
        <w:rPr>
          <w:lang w:val="uk-UA"/>
        </w:rPr>
        <w:t>Suggestions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based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on</w:t>
      </w:r>
      <w:proofErr w:type="spellEnd"/>
      <w:r w:rsidRPr="001E6D4B">
        <w:rPr>
          <w:lang w:val="uk-UA"/>
        </w:rPr>
        <w:t xml:space="preserve"> a </w:t>
      </w:r>
      <w:proofErr w:type="spellStart"/>
      <w:r w:rsidRPr="001E6D4B">
        <w:rPr>
          <w:lang w:val="uk-UA"/>
        </w:rPr>
        <w:t>review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of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literature</w:t>
      </w:r>
      <w:proofErr w:type="spellEnd"/>
      <w:r w:rsidRPr="001E6D4B">
        <w:rPr>
          <w:lang w:val="uk-UA"/>
        </w:rPr>
        <w:t xml:space="preserve">. </w:t>
      </w:r>
      <w:proofErr w:type="spellStart"/>
      <w:r w:rsidRPr="001E6D4B">
        <w:rPr>
          <w:i/>
          <w:iCs/>
          <w:lang w:val="uk-UA"/>
        </w:rPr>
        <w:t>Computers</w:t>
      </w:r>
      <w:proofErr w:type="spellEnd"/>
      <w:r w:rsidRPr="001E6D4B">
        <w:rPr>
          <w:i/>
          <w:iCs/>
          <w:lang w:val="uk-UA"/>
        </w:rPr>
        <w:t xml:space="preserve"> </w:t>
      </w:r>
      <w:r w:rsidRPr="001E6D4B">
        <w:rPr>
          <w:i/>
          <w:iCs/>
          <w:lang w:val="uk-UA"/>
        </w:rPr>
        <w:lastRenderedPageBreak/>
        <w:t xml:space="preserve">&amp; </w:t>
      </w:r>
      <w:proofErr w:type="spellStart"/>
      <w:r w:rsidRPr="001E6D4B">
        <w:rPr>
          <w:i/>
          <w:iCs/>
          <w:lang w:val="uk-UA"/>
        </w:rPr>
        <w:t>Education</w:t>
      </w:r>
      <w:proofErr w:type="spellEnd"/>
      <w:r w:rsidRPr="001E6D4B">
        <w:rPr>
          <w:i/>
          <w:iCs/>
          <w:lang w:val="uk-UA"/>
        </w:rPr>
        <w:t xml:space="preserve"> </w:t>
      </w:r>
      <w:proofErr w:type="spellStart"/>
      <w:r w:rsidRPr="001E6D4B">
        <w:rPr>
          <w:i/>
          <w:iCs/>
          <w:lang w:val="uk-UA"/>
        </w:rPr>
        <w:t>Volume</w:t>
      </w:r>
      <w:proofErr w:type="spellEnd"/>
      <w:r w:rsidRPr="001E6D4B">
        <w:rPr>
          <w:i/>
          <w:iCs/>
          <w:lang w:val="uk-UA"/>
        </w:rPr>
        <w:t xml:space="preserve"> 126</w:t>
      </w:r>
      <w:r w:rsidRPr="001E6D4B">
        <w:rPr>
          <w:lang w:val="uk-UA"/>
        </w:rPr>
        <w:t xml:space="preserve">, </w:t>
      </w:r>
      <w:proofErr w:type="spellStart"/>
      <w:r w:rsidRPr="001E6D4B">
        <w:rPr>
          <w:i/>
          <w:iCs/>
          <w:lang w:val="uk-UA"/>
        </w:rPr>
        <w:t>November</w:t>
      </w:r>
      <w:proofErr w:type="spellEnd"/>
      <w:r w:rsidRPr="001E6D4B">
        <w:rPr>
          <w:i/>
          <w:iCs/>
          <w:lang w:val="uk-UA"/>
        </w:rPr>
        <w:t xml:space="preserve"> 2018,</w:t>
      </w:r>
      <w:r w:rsidRPr="001E6D4B">
        <w:rPr>
          <w:lang w:val="uk-UA"/>
        </w:rPr>
        <w:t xml:space="preserve"> p. 296-310. DOI: </w:t>
      </w:r>
      <w:hyperlink r:id="rId6" w:history="1">
        <w:r w:rsidRPr="001E6D4B">
          <w:rPr>
            <w:rStyle w:val="Hyperlink"/>
            <w:lang w:val="uk-UA"/>
          </w:rPr>
          <w:t>https://doi.org/10.1016/j.compedu.2018.07.004</w:t>
        </w:r>
      </w:hyperlink>
      <w:r w:rsidRPr="001E6D4B">
        <w:rPr>
          <w:lang w:val="uk-UA"/>
        </w:rPr>
        <w:t xml:space="preserve">  </w:t>
      </w:r>
    </w:p>
    <w:p w14:paraId="6EEA50E2" w14:textId="77777777" w:rsidR="00692B42" w:rsidRPr="001E6D4B" w:rsidRDefault="00692B42" w:rsidP="00692B42">
      <w:pPr>
        <w:numPr>
          <w:ilvl w:val="0"/>
          <w:numId w:val="5"/>
        </w:numPr>
        <w:rPr>
          <w:lang w:val="uk-UA"/>
        </w:rPr>
      </w:pPr>
      <w:r w:rsidRPr="001E6D4B">
        <w:rPr>
          <w:lang w:val="uk-UA"/>
        </w:rPr>
        <w:t xml:space="preserve">Цифрова компетентність сучасного вчителя нової української школи: 2021 (Подолання викликів у період карантину, спричиненого COVID-19): </w:t>
      </w:r>
      <w:proofErr w:type="spellStart"/>
      <w:r w:rsidRPr="001E6D4B">
        <w:rPr>
          <w:lang w:val="uk-UA"/>
        </w:rPr>
        <w:t>зб.матеріалів</w:t>
      </w:r>
      <w:proofErr w:type="spellEnd"/>
      <w:r w:rsidRPr="001E6D4B">
        <w:rPr>
          <w:lang w:val="uk-UA"/>
        </w:rPr>
        <w:t xml:space="preserve"> всеукр.наук.-</w:t>
      </w:r>
      <w:proofErr w:type="spellStart"/>
      <w:r w:rsidRPr="001E6D4B">
        <w:rPr>
          <w:lang w:val="uk-UA"/>
        </w:rPr>
        <w:t>практ.семінару</w:t>
      </w:r>
      <w:proofErr w:type="spellEnd"/>
      <w:r w:rsidRPr="001E6D4B">
        <w:rPr>
          <w:lang w:val="uk-UA"/>
        </w:rPr>
        <w:t xml:space="preserve"> (Київ, 2 березня 2021 р.) / за </w:t>
      </w:r>
      <w:proofErr w:type="spellStart"/>
      <w:r w:rsidRPr="001E6D4B">
        <w:rPr>
          <w:lang w:val="uk-UA"/>
        </w:rPr>
        <w:t>заг.ред</w:t>
      </w:r>
      <w:proofErr w:type="spellEnd"/>
      <w:r w:rsidRPr="001E6D4B">
        <w:rPr>
          <w:lang w:val="uk-UA"/>
        </w:rPr>
        <w:t xml:space="preserve">. О.В. </w:t>
      </w:r>
      <w:proofErr w:type="spellStart"/>
      <w:r w:rsidRPr="001E6D4B">
        <w:rPr>
          <w:lang w:val="uk-UA"/>
        </w:rPr>
        <w:t>Овчарук</w:t>
      </w:r>
      <w:proofErr w:type="spellEnd"/>
      <w:r w:rsidRPr="001E6D4B">
        <w:rPr>
          <w:lang w:val="uk-UA"/>
        </w:rPr>
        <w:t>. Київ: Інститут інформаційних технологій і засобів навчання НАПН України: 2021. 117 с.</w:t>
      </w:r>
    </w:p>
    <w:p w14:paraId="33B1715C" w14:textId="77777777" w:rsidR="00692B42" w:rsidRPr="001E6D4B" w:rsidRDefault="00692B42" w:rsidP="00692B42">
      <w:pPr>
        <w:numPr>
          <w:ilvl w:val="0"/>
          <w:numId w:val="5"/>
        </w:numPr>
        <w:rPr>
          <w:lang w:val="uk-UA"/>
        </w:rPr>
      </w:pPr>
      <w:proofErr w:type="spellStart"/>
      <w:r w:rsidRPr="001E6D4B">
        <w:rPr>
          <w:lang w:val="uk-UA"/>
        </w:rPr>
        <w:t>Brennan</w:t>
      </w:r>
      <w:proofErr w:type="spellEnd"/>
      <w:r w:rsidRPr="001E6D4B">
        <w:rPr>
          <w:lang w:val="uk-UA"/>
        </w:rPr>
        <w:t xml:space="preserve"> K., </w:t>
      </w:r>
      <w:proofErr w:type="spellStart"/>
      <w:r w:rsidRPr="001E6D4B">
        <w:rPr>
          <w:lang w:val="uk-UA"/>
        </w:rPr>
        <w:t>Resnick</w:t>
      </w:r>
      <w:proofErr w:type="spellEnd"/>
      <w:r w:rsidRPr="001E6D4B">
        <w:rPr>
          <w:lang w:val="uk-UA"/>
        </w:rPr>
        <w:t xml:space="preserve"> M. </w:t>
      </w:r>
      <w:proofErr w:type="spellStart"/>
      <w:r w:rsidRPr="001E6D4B">
        <w:rPr>
          <w:lang w:val="uk-UA"/>
        </w:rPr>
        <w:t>New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frameworks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for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studying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and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assessing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development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of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computational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thinking</w:t>
      </w:r>
      <w:proofErr w:type="spellEnd"/>
      <w:r w:rsidRPr="001E6D4B">
        <w:rPr>
          <w:lang w:val="uk-UA"/>
        </w:rPr>
        <w:t xml:space="preserve">. </w:t>
      </w:r>
      <w:proofErr w:type="spellStart"/>
      <w:r w:rsidRPr="001E6D4B">
        <w:rPr>
          <w:lang w:val="uk-UA"/>
        </w:rPr>
        <w:t>In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Proceedings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of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2012 </w:t>
      </w:r>
      <w:proofErr w:type="spellStart"/>
      <w:r w:rsidRPr="001E6D4B">
        <w:rPr>
          <w:lang w:val="uk-UA"/>
        </w:rPr>
        <w:t>Annual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Meeting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of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American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Educational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Research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Association</w:t>
      </w:r>
      <w:proofErr w:type="spellEnd"/>
      <w:r w:rsidRPr="001E6D4B">
        <w:rPr>
          <w:lang w:val="uk-UA"/>
        </w:rPr>
        <w:t xml:space="preserve">, </w:t>
      </w:r>
      <w:proofErr w:type="spellStart"/>
      <w:r w:rsidRPr="001E6D4B">
        <w:rPr>
          <w:lang w:val="uk-UA"/>
        </w:rPr>
        <w:t>Vancouver</w:t>
      </w:r>
      <w:proofErr w:type="spellEnd"/>
      <w:r w:rsidRPr="001E6D4B">
        <w:rPr>
          <w:lang w:val="uk-UA"/>
        </w:rPr>
        <w:t xml:space="preserve">, </w:t>
      </w:r>
      <w:proofErr w:type="spellStart"/>
      <w:r w:rsidRPr="001E6D4B">
        <w:rPr>
          <w:lang w:val="uk-UA"/>
        </w:rPr>
        <w:t>Canada</w:t>
      </w:r>
      <w:proofErr w:type="spellEnd"/>
      <w:r w:rsidRPr="001E6D4B">
        <w:rPr>
          <w:lang w:val="uk-UA"/>
        </w:rPr>
        <w:t>. 2012. 25 p.</w:t>
      </w:r>
    </w:p>
    <w:p w14:paraId="3956A04D" w14:textId="77777777" w:rsidR="00692B42" w:rsidRPr="001E6D4B" w:rsidRDefault="00692B42" w:rsidP="00692B42">
      <w:pPr>
        <w:numPr>
          <w:ilvl w:val="0"/>
          <w:numId w:val="5"/>
        </w:numPr>
        <w:rPr>
          <w:lang w:val="uk-UA"/>
        </w:rPr>
      </w:pPr>
      <w:proofErr w:type="spellStart"/>
      <w:r w:rsidRPr="001E6D4B">
        <w:rPr>
          <w:lang w:val="uk-UA"/>
        </w:rPr>
        <w:t>Blumenfeld</w:t>
      </w:r>
      <w:proofErr w:type="spellEnd"/>
      <w:r w:rsidRPr="001E6D4B">
        <w:rPr>
          <w:lang w:val="uk-UA"/>
        </w:rPr>
        <w:t xml:space="preserve"> P. C., </w:t>
      </w:r>
      <w:proofErr w:type="spellStart"/>
      <w:r w:rsidRPr="001E6D4B">
        <w:rPr>
          <w:lang w:val="uk-UA"/>
        </w:rPr>
        <w:t>Soloway</w:t>
      </w:r>
      <w:proofErr w:type="spellEnd"/>
      <w:r w:rsidRPr="001E6D4B">
        <w:rPr>
          <w:lang w:val="uk-UA"/>
        </w:rPr>
        <w:t xml:space="preserve"> E., </w:t>
      </w:r>
      <w:proofErr w:type="spellStart"/>
      <w:r w:rsidRPr="001E6D4B">
        <w:rPr>
          <w:lang w:val="uk-UA"/>
        </w:rPr>
        <w:t>Marx</w:t>
      </w:r>
      <w:proofErr w:type="spellEnd"/>
      <w:r w:rsidRPr="001E6D4B">
        <w:rPr>
          <w:lang w:val="uk-UA"/>
        </w:rPr>
        <w:t xml:space="preserve"> R. W., </w:t>
      </w:r>
      <w:proofErr w:type="spellStart"/>
      <w:r w:rsidRPr="001E6D4B">
        <w:rPr>
          <w:lang w:val="uk-UA"/>
        </w:rPr>
        <w:t>Krajcik</w:t>
      </w:r>
      <w:proofErr w:type="spellEnd"/>
      <w:r w:rsidRPr="001E6D4B">
        <w:rPr>
          <w:lang w:val="uk-UA"/>
        </w:rPr>
        <w:t xml:space="preserve"> J. S., </w:t>
      </w:r>
      <w:proofErr w:type="spellStart"/>
      <w:r w:rsidRPr="001E6D4B">
        <w:rPr>
          <w:lang w:val="uk-UA"/>
        </w:rPr>
        <w:t>Guzdial</w:t>
      </w:r>
      <w:proofErr w:type="spellEnd"/>
      <w:r w:rsidRPr="001E6D4B">
        <w:rPr>
          <w:lang w:val="uk-UA"/>
        </w:rPr>
        <w:t xml:space="preserve"> M., </w:t>
      </w:r>
      <w:proofErr w:type="spellStart"/>
      <w:r w:rsidRPr="001E6D4B">
        <w:rPr>
          <w:lang w:val="uk-UA"/>
        </w:rPr>
        <w:t>Palincsar</w:t>
      </w:r>
      <w:proofErr w:type="spellEnd"/>
      <w:r w:rsidRPr="001E6D4B">
        <w:rPr>
          <w:lang w:val="uk-UA"/>
        </w:rPr>
        <w:t xml:space="preserve"> A. </w:t>
      </w:r>
      <w:proofErr w:type="spellStart"/>
      <w:r w:rsidRPr="001E6D4B">
        <w:rPr>
          <w:lang w:val="uk-UA"/>
        </w:rPr>
        <w:t>Motivating</w:t>
      </w:r>
      <w:proofErr w:type="spellEnd"/>
      <w:r w:rsidRPr="001E6D4B">
        <w:rPr>
          <w:lang w:val="uk-UA"/>
        </w:rPr>
        <w:t xml:space="preserve"> Project-</w:t>
      </w:r>
      <w:proofErr w:type="spellStart"/>
      <w:r w:rsidRPr="001E6D4B">
        <w:rPr>
          <w:lang w:val="uk-UA"/>
        </w:rPr>
        <w:t>Based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Learning</w:t>
      </w:r>
      <w:proofErr w:type="spellEnd"/>
      <w:r w:rsidRPr="001E6D4B">
        <w:rPr>
          <w:lang w:val="uk-UA"/>
        </w:rPr>
        <w:t xml:space="preserve">: </w:t>
      </w:r>
      <w:proofErr w:type="spellStart"/>
      <w:r w:rsidRPr="001E6D4B">
        <w:rPr>
          <w:lang w:val="uk-UA"/>
        </w:rPr>
        <w:t>Sustaining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Doing</w:t>
      </w:r>
      <w:proofErr w:type="spellEnd"/>
      <w:r w:rsidRPr="001E6D4B">
        <w:rPr>
          <w:lang w:val="uk-UA"/>
        </w:rPr>
        <w:t xml:space="preserve">, </w:t>
      </w:r>
      <w:proofErr w:type="spellStart"/>
      <w:r w:rsidRPr="001E6D4B">
        <w:rPr>
          <w:lang w:val="uk-UA"/>
        </w:rPr>
        <w:t>Supporting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Learning</w:t>
      </w:r>
      <w:proofErr w:type="spellEnd"/>
      <w:r w:rsidRPr="001E6D4B">
        <w:rPr>
          <w:lang w:val="uk-UA"/>
        </w:rPr>
        <w:t xml:space="preserve">. </w:t>
      </w:r>
      <w:proofErr w:type="spellStart"/>
      <w:r w:rsidRPr="001E6D4B">
        <w:rPr>
          <w:lang w:val="uk-UA"/>
        </w:rPr>
        <w:t>Educational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Psychologist</w:t>
      </w:r>
      <w:proofErr w:type="spellEnd"/>
      <w:r w:rsidRPr="001E6D4B">
        <w:rPr>
          <w:lang w:val="uk-UA"/>
        </w:rPr>
        <w:t xml:space="preserve">. 1991. </w:t>
      </w:r>
      <w:proofErr w:type="spellStart"/>
      <w:r w:rsidRPr="001E6D4B">
        <w:rPr>
          <w:lang w:val="uk-UA"/>
        </w:rPr>
        <w:t>Vol</w:t>
      </w:r>
      <w:proofErr w:type="spellEnd"/>
      <w:r w:rsidRPr="001E6D4B">
        <w:rPr>
          <w:lang w:val="uk-UA"/>
        </w:rPr>
        <w:t xml:space="preserve">. 26, </w:t>
      </w:r>
      <w:proofErr w:type="spellStart"/>
      <w:r w:rsidRPr="001E6D4B">
        <w:rPr>
          <w:lang w:val="uk-UA"/>
        </w:rPr>
        <w:t>No</w:t>
      </w:r>
      <w:proofErr w:type="spellEnd"/>
      <w:r w:rsidRPr="001E6D4B">
        <w:rPr>
          <w:lang w:val="uk-UA"/>
        </w:rPr>
        <w:t>. 3–4. P. 369–398.</w:t>
      </w:r>
    </w:p>
    <w:p w14:paraId="6B6D4DC4" w14:textId="77777777" w:rsidR="00692B42" w:rsidRPr="001E6D4B" w:rsidRDefault="00692B42" w:rsidP="00692B42">
      <w:pPr>
        <w:numPr>
          <w:ilvl w:val="0"/>
          <w:numId w:val="5"/>
        </w:numPr>
        <w:rPr>
          <w:lang w:val="uk-UA"/>
        </w:rPr>
      </w:pPr>
      <w:r w:rsidRPr="001E6D4B">
        <w:rPr>
          <w:lang w:val="uk-UA"/>
        </w:rPr>
        <w:t>Про затвердження Державного стандарту базової середньої освіти : Постанова Кабінету Міністрів України від 30 вересня 2020 р. № 898. URL: https://zakon.rada.gov.ua/laws/show/898-2020-%D0%BF#Text (дата звернення: 27.11.2025)</w:t>
      </w:r>
    </w:p>
    <w:p w14:paraId="5B4D49B8" w14:textId="77777777" w:rsidR="00692B42" w:rsidRPr="001E6D4B" w:rsidRDefault="00692B42" w:rsidP="00692B42">
      <w:pPr>
        <w:numPr>
          <w:ilvl w:val="0"/>
          <w:numId w:val="5"/>
        </w:numPr>
        <w:rPr>
          <w:lang w:val="uk-UA"/>
        </w:rPr>
      </w:pPr>
      <w:proofErr w:type="spellStart"/>
      <w:r w:rsidRPr="001E6D4B">
        <w:rPr>
          <w:lang w:val="uk-UA"/>
        </w:rPr>
        <w:t>Tunc</w:t>
      </w:r>
      <w:proofErr w:type="spellEnd"/>
      <w:r w:rsidRPr="001E6D4B">
        <w:rPr>
          <w:lang w:val="uk-UA"/>
        </w:rPr>
        <w:t xml:space="preserve"> C., </w:t>
      </w:r>
      <w:proofErr w:type="spellStart"/>
      <w:r w:rsidRPr="001E6D4B">
        <w:rPr>
          <w:lang w:val="uk-UA"/>
        </w:rPr>
        <w:t>Bagceci</w:t>
      </w:r>
      <w:proofErr w:type="spellEnd"/>
      <w:r w:rsidRPr="001E6D4B">
        <w:rPr>
          <w:lang w:val="uk-UA"/>
        </w:rPr>
        <w:t xml:space="preserve"> B. </w:t>
      </w:r>
      <w:proofErr w:type="spellStart"/>
      <w:r w:rsidRPr="001E6D4B">
        <w:rPr>
          <w:lang w:val="uk-UA"/>
        </w:rPr>
        <w:t>Teachers</w:t>
      </w:r>
      <w:proofErr w:type="spellEnd"/>
      <w:r w:rsidRPr="001E6D4B">
        <w:rPr>
          <w:lang w:val="uk-UA"/>
        </w:rPr>
        <w:t xml:space="preserve">' </w:t>
      </w:r>
      <w:proofErr w:type="spellStart"/>
      <w:r w:rsidRPr="001E6D4B">
        <w:rPr>
          <w:lang w:val="uk-UA"/>
        </w:rPr>
        <w:t>views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of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implementation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of</w:t>
      </w:r>
      <w:proofErr w:type="spellEnd"/>
      <w:r w:rsidRPr="001E6D4B">
        <w:rPr>
          <w:lang w:val="uk-UA"/>
        </w:rPr>
        <w:t xml:space="preserve"> STEM </w:t>
      </w:r>
      <w:proofErr w:type="spellStart"/>
      <w:r w:rsidRPr="001E6D4B">
        <w:rPr>
          <w:lang w:val="uk-UA"/>
        </w:rPr>
        <w:t>approach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in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secondary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schools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and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the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effects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on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students</w:t>
      </w:r>
      <w:proofErr w:type="spellEnd"/>
      <w:r w:rsidRPr="001E6D4B">
        <w:rPr>
          <w:lang w:val="uk-UA"/>
        </w:rPr>
        <w:t xml:space="preserve">. </w:t>
      </w:r>
      <w:proofErr w:type="spellStart"/>
      <w:r w:rsidRPr="001E6D4B">
        <w:rPr>
          <w:lang w:val="uk-UA"/>
        </w:rPr>
        <w:t>Pedagogical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Research</w:t>
      </w:r>
      <w:proofErr w:type="spellEnd"/>
      <w:r w:rsidRPr="001E6D4B">
        <w:rPr>
          <w:lang w:val="uk-UA"/>
        </w:rPr>
        <w:t xml:space="preserve">. 2021. </w:t>
      </w:r>
      <w:proofErr w:type="spellStart"/>
      <w:r w:rsidRPr="001E6D4B">
        <w:rPr>
          <w:lang w:val="uk-UA"/>
        </w:rPr>
        <w:t>Vol</w:t>
      </w:r>
      <w:proofErr w:type="spellEnd"/>
      <w:r w:rsidRPr="001E6D4B">
        <w:rPr>
          <w:lang w:val="uk-UA"/>
        </w:rPr>
        <w:t xml:space="preserve">. 6, </w:t>
      </w:r>
      <w:proofErr w:type="spellStart"/>
      <w:r w:rsidRPr="001E6D4B">
        <w:rPr>
          <w:lang w:val="uk-UA"/>
        </w:rPr>
        <w:t>No</w:t>
      </w:r>
      <w:proofErr w:type="spellEnd"/>
      <w:r w:rsidRPr="001E6D4B">
        <w:rPr>
          <w:lang w:val="uk-UA"/>
        </w:rPr>
        <w:t>. 1. P. em0085.</w:t>
      </w:r>
    </w:p>
    <w:p w14:paraId="78DD5AF1" w14:textId="07578E23" w:rsidR="00A7499B" w:rsidRPr="00692B42" w:rsidRDefault="00692B42" w:rsidP="00692B42">
      <w:pPr>
        <w:numPr>
          <w:ilvl w:val="0"/>
          <w:numId w:val="5"/>
        </w:numPr>
        <w:rPr>
          <w:lang w:val="uk-UA"/>
        </w:rPr>
      </w:pPr>
      <w:proofErr w:type="spellStart"/>
      <w:r w:rsidRPr="001E6D4B">
        <w:rPr>
          <w:lang w:val="uk-UA"/>
        </w:rPr>
        <w:t>Framework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for</w:t>
      </w:r>
      <w:proofErr w:type="spellEnd"/>
      <w:r w:rsidRPr="001E6D4B">
        <w:rPr>
          <w:lang w:val="uk-UA"/>
        </w:rPr>
        <w:t xml:space="preserve"> 21st </w:t>
      </w:r>
      <w:proofErr w:type="spellStart"/>
      <w:r w:rsidRPr="001E6D4B">
        <w:rPr>
          <w:lang w:val="uk-UA"/>
        </w:rPr>
        <w:t>Century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Learning</w:t>
      </w:r>
      <w:proofErr w:type="spellEnd"/>
      <w:r w:rsidRPr="001E6D4B">
        <w:rPr>
          <w:lang w:val="uk-UA"/>
        </w:rPr>
        <w:t xml:space="preserve">. </w:t>
      </w:r>
      <w:proofErr w:type="spellStart"/>
      <w:r w:rsidRPr="001E6D4B">
        <w:rPr>
          <w:lang w:val="uk-UA"/>
        </w:rPr>
        <w:t>Partnership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for</w:t>
      </w:r>
      <w:proofErr w:type="spellEnd"/>
      <w:r w:rsidRPr="001E6D4B">
        <w:rPr>
          <w:lang w:val="uk-UA"/>
        </w:rPr>
        <w:t xml:space="preserve"> 21st </w:t>
      </w:r>
      <w:proofErr w:type="spellStart"/>
      <w:r w:rsidRPr="001E6D4B">
        <w:rPr>
          <w:lang w:val="uk-UA"/>
        </w:rPr>
        <w:t>Century</w:t>
      </w:r>
      <w:proofErr w:type="spellEnd"/>
      <w:r w:rsidRPr="001E6D4B">
        <w:rPr>
          <w:lang w:val="uk-UA"/>
        </w:rPr>
        <w:t xml:space="preserve"> </w:t>
      </w:r>
      <w:proofErr w:type="spellStart"/>
      <w:r w:rsidRPr="001E6D4B">
        <w:rPr>
          <w:lang w:val="uk-UA"/>
        </w:rPr>
        <w:t>Skills</w:t>
      </w:r>
      <w:proofErr w:type="spellEnd"/>
      <w:r w:rsidRPr="001E6D4B">
        <w:rPr>
          <w:lang w:val="uk-UA"/>
        </w:rPr>
        <w:t xml:space="preserve"> (P21). URL: http://www.battelleforkids.org/networks/p21 (дата звернення: 23.11.2025).</w:t>
      </w:r>
      <w:r w:rsidR="00721FF5" w:rsidRPr="00692B42">
        <w:rPr>
          <w:rFonts w:eastAsia="Times New Roman"/>
          <w:sz w:val="24"/>
          <w:szCs w:val="24"/>
          <w:lang w:val="uk-UA" w:eastAsia="ru-RU"/>
        </w:rPr>
        <w:t xml:space="preserve"> </w:t>
      </w:r>
    </w:p>
    <w:sectPr w:rsidR="00A7499B" w:rsidRPr="00692B42" w:rsidSect="00A7499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2F3"/>
    <w:multiLevelType w:val="hybridMultilevel"/>
    <w:tmpl w:val="0FA47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204288"/>
    <w:multiLevelType w:val="hybridMultilevel"/>
    <w:tmpl w:val="321824D2"/>
    <w:lvl w:ilvl="0" w:tplc="04090017">
      <w:start w:val="1"/>
      <w:numFmt w:val="lowerLetter"/>
      <w:lvlText w:val="%1)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" w15:restartNumberingAfterBreak="0">
    <w:nsid w:val="5D8C007E"/>
    <w:multiLevelType w:val="multilevel"/>
    <w:tmpl w:val="0D9E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D5A33"/>
    <w:multiLevelType w:val="hybridMultilevel"/>
    <w:tmpl w:val="D4AC49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182606"/>
    <w:multiLevelType w:val="hybridMultilevel"/>
    <w:tmpl w:val="EE1A1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6712425">
    <w:abstractNumId w:val="4"/>
  </w:num>
  <w:num w:numId="2" w16cid:durableId="1087842444">
    <w:abstractNumId w:val="0"/>
  </w:num>
  <w:num w:numId="3" w16cid:durableId="535772419">
    <w:abstractNumId w:val="3"/>
  </w:num>
  <w:num w:numId="4" w16cid:durableId="1075208316">
    <w:abstractNumId w:val="1"/>
  </w:num>
  <w:num w:numId="5" w16cid:durableId="179019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9B"/>
    <w:rsid w:val="0001126E"/>
    <w:rsid w:val="000F7755"/>
    <w:rsid w:val="00114510"/>
    <w:rsid w:val="00395606"/>
    <w:rsid w:val="005717BE"/>
    <w:rsid w:val="0059162F"/>
    <w:rsid w:val="005B220D"/>
    <w:rsid w:val="006710A8"/>
    <w:rsid w:val="00692B42"/>
    <w:rsid w:val="006B5929"/>
    <w:rsid w:val="006C4B57"/>
    <w:rsid w:val="00721FF5"/>
    <w:rsid w:val="009B6A8C"/>
    <w:rsid w:val="00A344E0"/>
    <w:rsid w:val="00A7499B"/>
    <w:rsid w:val="00B63389"/>
    <w:rsid w:val="00B93B85"/>
    <w:rsid w:val="00BD5DE3"/>
    <w:rsid w:val="00C90B9D"/>
    <w:rsid w:val="00D323C2"/>
    <w:rsid w:val="00D47763"/>
    <w:rsid w:val="00DE2C81"/>
    <w:rsid w:val="00DF2D8D"/>
    <w:rsid w:val="00E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D7DE"/>
  <w15:chartTrackingRefBased/>
  <w15:docId w15:val="{511D5CA9-580A-4917-8720-A21B8075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9B"/>
    <w:pPr>
      <w:spacing w:after="0" w:line="360" w:lineRule="auto"/>
      <w:ind w:firstLine="709"/>
      <w:contextualSpacing/>
      <w:jc w:val="both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99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99B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99B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A74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9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21F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ompedu.2018.07.0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907</Words>
  <Characters>6731</Characters>
  <Application>Microsoft Office Word</Application>
  <DocSecurity>0</DocSecurity>
  <Lines>126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Nahai</dc:creator>
  <cp:keywords/>
  <dc:description/>
  <cp:lastModifiedBy>Denys Nahai</cp:lastModifiedBy>
  <cp:revision>6</cp:revision>
  <dcterms:created xsi:type="dcterms:W3CDTF">2026-01-07T17:27:00Z</dcterms:created>
  <dcterms:modified xsi:type="dcterms:W3CDTF">2026-01-07T20:05:00Z</dcterms:modified>
</cp:coreProperties>
</file>