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C30A" w14:textId="77777777" w:rsidR="00A7499B" w:rsidRPr="00721FF5" w:rsidRDefault="00A7499B" w:rsidP="00A7499B">
      <w:pPr>
        <w:jc w:val="right"/>
        <w:rPr>
          <w:rFonts w:cs="Times New Roman"/>
          <w:szCs w:val="28"/>
        </w:rPr>
      </w:pPr>
      <w:r w:rsidRPr="00721FF5">
        <w:rPr>
          <w:rFonts w:cs="Times New Roman"/>
          <w:szCs w:val="28"/>
        </w:rPr>
        <w:t xml:space="preserve">Нагай Денис </w:t>
      </w:r>
      <w:proofErr w:type="spellStart"/>
      <w:r w:rsidRPr="00721FF5">
        <w:rPr>
          <w:rFonts w:cs="Times New Roman"/>
          <w:szCs w:val="28"/>
        </w:rPr>
        <w:t>Анатолійович</w:t>
      </w:r>
      <w:proofErr w:type="spellEnd"/>
    </w:p>
    <w:p w14:paraId="711128F1" w14:textId="330109E8" w:rsidR="006B5929" w:rsidRPr="00721FF5" w:rsidRDefault="00A7499B" w:rsidP="00A7499B">
      <w:pPr>
        <w:jc w:val="right"/>
        <w:rPr>
          <w:szCs w:val="28"/>
        </w:rPr>
      </w:pPr>
      <w:r w:rsidRPr="00721FF5">
        <w:rPr>
          <w:szCs w:val="28"/>
          <w:lang w:val="uk-UA"/>
        </w:rPr>
        <w:t>Аспірант кафедри професійної освіти та технологій сільськогосподарського виробництва, Глухівський національний педагогічний</w:t>
      </w:r>
      <w:r w:rsidRPr="00721FF5">
        <w:rPr>
          <w:szCs w:val="28"/>
        </w:rPr>
        <w:t xml:space="preserve"> </w:t>
      </w:r>
      <w:r w:rsidRPr="00721FF5">
        <w:rPr>
          <w:szCs w:val="28"/>
          <w:lang w:val="uk-UA"/>
        </w:rPr>
        <w:t>університет імені Олександра Довженка м. Глухів</w:t>
      </w:r>
    </w:p>
    <w:p w14:paraId="1A297720" w14:textId="7CCE6529" w:rsidR="00A7499B" w:rsidRPr="00DF2D8D" w:rsidRDefault="00A7499B" w:rsidP="00A7499B">
      <w:pPr>
        <w:jc w:val="right"/>
        <w:rPr>
          <w:szCs w:val="28"/>
        </w:rPr>
      </w:pPr>
      <w:r w:rsidRPr="00721FF5">
        <w:rPr>
          <w:szCs w:val="28"/>
          <w:lang w:val="uk-UA"/>
        </w:rPr>
        <w:t>https://orcid.org/0009-0009-6626-1362</w:t>
      </w:r>
    </w:p>
    <w:p w14:paraId="192EAB26" w14:textId="77777777" w:rsidR="00A7499B" w:rsidRPr="00DF2D8D" w:rsidRDefault="00A7499B" w:rsidP="00A7499B">
      <w:pPr>
        <w:spacing w:line="300" w:lineRule="auto"/>
        <w:jc w:val="right"/>
        <w:rPr>
          <w:sz w:val="24"/>
          <w:szCs w:val="24"/>
        </w:rPr>
      </w:pPr>
    </w:p>
    <w:p w14:paraId="347E4DAB" w14:textId="77777777" w:rsidR="00A7499B" w:rsidRPr="00DF2D8D" w:rsidRDefault="00A7499B" w:rsidP="00A7499B">
      <w:pPr>
        <w:ind w:firstLine="0"/>
        <w:jc w:val="center"/>
        <w:rPr>
          <w:b/>
          <w:bCs/>
        </w:rPr>
      </w:pPr>
      <w:r w:rsidRPr="001C0831">
        <w:rPr>
          <w:b/>
          <w:bCs/>
          <w:lang w:val="uk-UA"/>
        </w:rPr>
        <w:t>ВИКОРИСТАННЯ ВІРТУАЛЬНИХ ЛАБОРАТОРІЙ З ПРОГРАМУВАННЯ У ФОРМУВАННІ ПРОФЕСІЙНОЇ КОМПЕТЕНТНОСТІ МАЙБУТНІХ УЧИТЕЛІВ ІНФОРМАТИКИ</w:t>
      </w:r>
    </w:p>
    <w:p w14:paraId="3BC7ED47" w14:textId="77777777" w:rsidR="00A7499B" w:rsidRPr="00DF2D8D" w:rsidRDefault="00A7499B" w:rsidP="00A7499B">
      <w:pPr>
        <w:spacing w:line="240" w:lineRule="auto"/>
        <w:ind w:firstLine="0"/>
        <w:jc w:val="center"/>
        <w:rPr>
          <w:b/>
          <w:bCs/>
        </w:rPr>
      </w:pPr>
    </w:p>
    <w:p w14:paraId="1EAAFFAF" w14:textId="77777777" w:rsidR="00A344E0" w:rsidRPr="00A344E0" w:rsidRDefault="00A344E0" w:rsidP="00A344E0">
      <w:pPr>
        <w:ind w:firstLine="720"/>
        <w:rPr>
          <w:lang w:val="uk-UA"/>
        </w:rPr>
      </w:pPr>
      <w:r w:rsidRPr="00A344E0">
        <w:rPr>
          <w:lang w:val="uk-UA"/>
        </w:rPr>
        <w:t xml:space="preserve">В умовах </w:t>
      </w:r>
      <w:proofErr w:type="spellStart"/>
      <w:r w:rsidRPr="00A344E0">
        <w:rPr>
          <w:lang w:val="uk-UA"/>
        </w:rPr>
        <w:t>цифровізації</w:t>
      </w:r>
      <w:proofErr w:type="spellEnd"/>
      <w:r w:rsidRPr="00A344E0">
        <w:rPr>
          <w:lang w:val="uk-UA"/>
        </w:rPr>
        <w:t xml:space="preserve"> освіти та трансформації освітніх парадигм, роль інформаційно-комунікаційних технологій у професійній підготовці педагогічних кадрів значно зростає. Висока динаміка розвитку цифрового середовища та інтеграція технологій у всі сфери суспільної діяльності вимагають від системи вищої педагогічної освіти нових підходів до підготовки майбутніх фахівців. Особливо актуальною стає проблема комплексного формування професійної компетентності майбутніх учителів інформатики, яка включає інтеграцію теоретичної та практичної готовності до педагогічної діяльності, оволодіння сучасними педагогічними методиками та здатність ефективно використовувати цифрові ресурси.</w:t>
      </w:r>
    </w:p>
    <w:p w14:paraId="33FEF213" w14:textId="3409B914" w:rsidR="00A344E0" w:rsidRPr="00A344E0" w:rsidRDefault="00A344E0" w:rsidP="00A344E0">
      <w:pPr>
        <w:ind w:firstLine="720"/>
        <w:rPr>
          <w:lang w:val="uk-UA"/>
        </w:rPr>
      </w:pPr>
      <w:r w:rsidRPr="00A344E0">
        <w:rPr>
          <w:lang w:val="uk-UA"/>
        </w:rPr>
        <w:t>Аналіз сучасної наукової літератури демонструє, що віртуальні лабораторії з програмування стають невід'ємним інструментом професійної підготовки майбутніх учителів інформатики</w:t>
      </w:r>
      <w:r w:rsidR="00DF2D8D" w:rsidRPr="00DF2D8D">
        <w:rPr>
          <w:lang w:val="uk-UA"/>
        </w:rPr>
        <w:t xml:space="preserve"> [1]</w:t>
      </w:r>
      <w:r w:rsidRPr="00A344E0">
        <w:rPr>
          <w:lang w:val="uk-UA"/>
        </w:rPr>
        <w:t>. Віртуальні лабораторії дозволяють моделювати аутентичні педагогічні ситуації, розвивати обчислювальне мислення та набувати досвіду розроблення методичних стратегій викладання програмування. Однак, питання щодо обґрунтування педагогічних умов ефективного використання віртуальних лабораторій, структурування їхнього змісту та механізмів оцінювання сформованості професійної компетентності залишаються недостатньо вивченими</w:t>
      </w:r>
      <w:r w:rsidR="00DF2D8D" w:rsidRPr="00DF2D8D">
        <w:rPr>
          <w:lang w:val="uk-UA"/>
        </w:rPr>
        <w:t xml:space="preserve"> [2]</w:t>
      </w:r>
      <w:r w:rsidRPr="00A344E0">
        <w:rPr>
          <w:lang w:val="uk-UA"/>
        </w:rPr>
        <w:t>.</w:t>
      </w:r>
    </w:p>
    <w:p w14:paraId="765C999A" w14:textId="650B6E4E" w:rsidR="00A344E0" w:rsidRPr="00A344E0" w:rsidRDefault="00A344E0" w:rsidP="00A344E0">
      <w:pPr>
        <w:ind w:firstLine="720"/>
        <w:rPr>
          <w:lang w:val="uk-UA"/>
        </w:rPr>
      </w:pPr>
      <w:r w:rsidRPr="00A344E0">
        <w:rPr>
          <w:lang w:val="uk-UA"/>
        </w:rPr>
        <w:lastRenderedPageBreak/>
        <w:t xml:space="preserve">Віртуальні лабораторії представляють собою інтерактивні цифрові середовища, що відтворюють умови реального експериментування та дозволяють виконувати навчальні завдання без використання фізичного обладнання. Важливими характеристиками віртуальних лабораторій є інтерактивність, реалістичність середовища, безпечність експериментування, масштабованість та адаптивність до індивідуального темпу навчання. Система миттєвого автоматичного оцінювання надає негайний зворотний зв'язок, що критично важливо для розвитку здатності до </w:t>
      </w:r>
      <w:proofErr w:type="spellStart"/>
      <w:r w:rsidRPr="00A344E0">
        <w:rPr>
          <w:lang w:val="uk-UA"/>
        </w:rPr>
        <w:t>самокорекції</w:t>
      </w:r>
      <w:proofErr w:type="spellEnd"/>
      <w:r w:rsidR="00DF2D8D" w:rsidRPr="00DF2D8D">
        <w:t xml:space="preserve"> [3]</w:t>
      </w:r>
      <w:r w:rsidRPr="00A344E0">
        <w:rPr>
          <w:lang w:val="uk-UA"/>
        </w:rPr>
        <w:t>.</w:t>
      </w:r>
    </w:p>
    <w:p w14:paraId="612A8D29" w14:textId="77777777" w:rsidR="00A344E0" w:rsidRPr="00A344E0" w:rsidRDefault="00A344E0" w:rsidP="00A344E0">
      <w:pPr>
        <w:ind w:firstLine="720"/>
        <w:rPr>
          <w:lang w:val="uk-UA"/>
        </w:rPr>
      </w:pPr>
      <w:r w:rsidRPr="00A344E0">
        <w:rPr>
          <w:lang w:val="uk-UA"/>
        </w:rPr>
        <w:t>Запропонована методика впровадження віртуальних лабораторій у навчальний процес передбачає три етапи:</w:t>
      </w:r>
    </w:p>
    <w:p w14:paraId="387639D5" w14:textId="22BE64F0" w:rsidR="00A344E0" w:rsidRPr="00A344E0" w:rsidRDefault="00A344E0" w:rsidP="00A344E0">
      <w:pPr>
        <w:ind w:firstLine="0"/>
        <w:rPr>
          <w:lang w:val="uk-UA"/>
        </w:rPr>
      </w:pPr>
      <w:r w:rsidRPr="00A344E0">
        <w:rPr>
          <w:lang w:val="uk-UA"/>
        </w:rPr>
        <w:t xml:space="preserve">1. </w:t>
      </w:r>
      <w:proofErr w:type="spellStart"/>
      <w:r w:rsidRPr="00A344E0">
        <w:rPr>
          <w:lang w:val="uk-UA"/>
        </w:rPr>
        <w:t>Орієнтаційно</w:t>
      </w:r>
      <w:proofErr w:type="spellEnd"/>
      <w:r w:rsidRPr="00A344E0">
        <w:rPr>
          <w:lang w:val="uk-UA"/>
        </w:rPr>
        <w:t>-мотиваційний етап: Формування у студентів усвідомленого ставлення до майбутньої діяльності та мотивація до активної участі.</w:t>
      </w:r>
    </w:p>
    <w:p w14:paraId="2A957559" w14:textId="7446F2AB" w:rsidR="00A344E0" w:rsidRPr="00A344E0" w:rsidRDefault="00A344E0" w:rsidP="00A344E0">
      <w:pPr>
        <w:ind w:firstLine="0"/>
        <w:rPr>
          <w:lang w:val="uk-UA"/>
        </w:rPr>
      </w:pPr>
      <w:r w:rsidRPr="00A344E0">
        <w:rPr>
          <w:lang w:val="uk-UA"/>
        </w:rPr>
        <w:t xml:space="preserve">2. Практичний етап: Організація індивідуальних та групових завдань, проведення навчальних </w:t>
      </w:r>
      <w:proofErr w:type="spellStart"/>
      <w:r w:rsidRPr="00A344E0">
        <w:rPr>
          <w:lang w:val="uk-UA"/>
        </w:rPr>
        <w:t>хакатонів</w:t>
      </w:r>
      <w:proofErr w:type="spellEnd"/>
      <w:r w:rsidRPr="00A344E0">
        <w:rPr>
          <w:lang w:val="uk-UA"/>
        </w:rPr>
        <w:t xml:space="preserve"> та впровадження практики спільного рецензування коду.</w:t>
      </w:r>
    </w:p>
    <w:p w14:paraId="42C3B06C" w14:textId="7A6BBEC1" w:rsidR="00A344E0" w:rsidRPr="00DF2D8D" w:rsidRDefault="00A344E0" w:rsidP="00A344E0">
      <w:pPr>
        <w:ind w:firstLine="0"/>
      </w:pPr>
      <w:r w:rsidRPr="00A344E0">
        <w:rPr>
          <w:lang w:val="uk-UA"/>
        </w:rPr>
        <w:t>3. Рефлексивно-оцінювальний етап: Формування здатності до критичного аналізу власної діяльності та трансформації досвіду в навчання.</w:t>
      </w:r>
    </w:p>
    <w:p w14:paraId="39A36973" w14:textId="77777777" w:rsidR="00721FF5" w:rsidRPr="00DF2D8D" w:rsidRDefault="00721FF5" w:rsidP="00721FF5">
      <w:pPr>
        <w:spacing w:line="240" w:lineRule="auto"/>
        <w:jc w:val="center"/>
        <w:rPr>
          <w:b/>
          <w:bCs/>
          <w:lang w:eastAsia="ru-RU"/>
        </w:rPr>
      </w:pPr>
      <w:r w:rsidRPr="001C0831">
        <w:rPr>
          <w:b/>
          <w:bCs/>
          <w:lang w:val="uk-UA" w:eastAsia="ru-RU"/>
        </w:rPr>
        <w:t xml:space="preserve">Реалізація принципів </w:t>
      </w:r>
      <w:proofErr w:type="spellStart"/>
      <w:r w:rsidRPr="001C0831">
        <w:rPr>
          <w:b/>
          <w:bCs/>
          <w:lang w:val="uk-UA" w:eastAsia="ru-RU"/>
        </w:rPr>
        <w:t>компетентнісного</w:t>
      </w:r>
      <w:proofErr w:type="spellEnd"/>
      <w:r w:rsidRPr="001C0831">
        <w:rPr>
          <w:b/>
          <w:bCs/>
          <w:lang w:val="uk-UA" w:eastAsia="ru-RU"/>
        </w:rPr>
        <w:t xml:space="preserve"> навчання у віртуальних лабораторіях програмування</w:t>
      </w:r>
    </w:p>
    <w:p w14:paraId="42C04D4D" w14:textId="77777777" w:rsidR="00721FF5" w:rsidRPr="00DF2D8D" w:rsidRDefault="00721FF5" w:rsidP="00721FF5">
      <w:pPr>
        <w:spacing w:line="240" w:lineRule="auto"/>
        <w:jc w:val="center"/>
        <w:rPr>
          <w:b/>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444"/>
        <w:gridCol w:w="3000"/>
      </w:tblGrid>
      <w:tr w:rsidR="00721FF5" w:rsidRPr="00516393" w14:paraId="195E5D35" w14:textId="77777777" w:rsidTr="00971B3C">
        <w:tc>
          <w:tcPr>
            <w:tcW w:w="0" w:type="auto"/>
            <w:hideMark/>
          </w:tcPr>
          <w:p w14:paraId="511148FE" w14:textId="77777777" w:rsidR="00721FF5" w:rsidRPr="00516393" w:rsidRDefault="00721FF5" w:rsidP="00971B3C">
            <w:pPr>
              <w:spacing w:line="240" w:lineRule="auto"/>
              <w:ind w:firstLine="0"/>
              <w:contextualSpacing w:val="0"/>
              <w:jc w:val="center"/>
              <w:rPr>
                <w:rFonts w:eastAsia="Times New Roman"/>
                <w:b/>
                <w:bCs/>
                <w:sz w:val="24"/>
                <w:szCs w:val="24"/>
                <w:lang w:val="uk-UA" w:eastAsia="ru-RU"/>
              </w:rPr>
            </w:pPr>
            <w:r w:rsidRPr="00516393">
              <w:rPr>
                <w:rFonts w:eastAsia="Times New Roman"/>
                <w:b/>
                <w:bCs/>
                <w:sz w:val="24"/>
                <w:szCs w:val="24"/>
                <w:lang w:val="uk-UA" w:eastAsia="ru-RU"/>
              </w:rPr>
              <w:t>Принцип навчання</w:t>
            </w:r>
          </w:p>
        </w:tc>
        <w:tc>
          <w:tcPr>
            <w:tcW w:w="0" w:type="auto"/>
            <w:hideMark/>
          </w:tcPr>
          <w:p w14:paraId="1F2A0D9E" w14:textId="77777777" w:rsidR="00721FF5" w:rsidRPr="00516393" w:rsidRDefault="00721FF5" w:rsidP="00971B3C">
            <w:pPr>
              <w:spacing w:line="240" w:lineRule="auto"/>
              <w:ind w:firstLine="0"/>
              <w:contextualSpacing w:val="0"/>
              <w:jc w:val="center"/>
              <w:rPr>
                <w:rFonts w:eastAsia="Times New Roman"/>
                <w:b/>
                <w:bCs/>
                <w:sz w:val="24"/>
                <w:szCs w:val="24"/>
                <w:lang w:val="uk-UA" w:eastAsia="ru-RU"/>
              </w:rPr>
            </w:pPr>
            <w:r w:rsidRPr="00516393">
              <w:rPr>
                <w:rFonts w:eastAsia="Times New Roman"/>
                <w:b/>
                <w:bCs/>
                <w:sz w:val="24"/>
                <w:szCs w:val="24"/>
                <w:lang w:val="uk-UA" w:eastAsia="ru-RU"/>
              </w:rPr>
              <w:t>Механізм реалізації у віртуальних лабораторіях</w:t>
            </w:r>
          </w:p>
        </w:tc>
        <w:tc>
          <w:tcPr>
            <w:tcW w:w="0" w:type="auto"/>
            <w:hideMark/>
          </w:tcPr>
          <w:p w14:paraId="2B593BF8" w14:textId="77777777" w:rsidR="00721FF5" w:rsidRPr="00516393" w:rsidRDefault="00721FF5" w:rsidP="00971B3C">
            <w:pPr>
              <w:spacing w:line="240" w:lineRule="auto"/>
              <w:ind w:firstLine="0"/>
              <w:contextualSpacing w:val="0"/>
              <w:jc w:val="center"/>
              <w:rPr>
                <w:rFonts w:eastAsia="Times New Roman"/>
                <w:b/>
                <w:bCs/>
                <w:sz w:val="24"/>
                <w:szCs w:val="24"/>
                <w:lang w:val="uk-UA" w:eastAsia="ru-RU"/>
              </w:rPr>
            </w:pPr>
            <w:r w:rsidRPr="00516393">
              <w:rPr>
                <w:rFonts w:eastAsia="Times New Roman"/>
                <w:b/>
                <w:bCs/>
                <w:sz w:val="24"/>
                <w:szCs w:val="24"/>
                <w:lang w:val="uk-UA" w:eastAsia="ru-RU"/>
              </w:rPr>
              <w:t>Розвинені компетентності</w:t>
            </w:r>
          </w:p>
        </w:tc>
      </w:tr>
      <w:tr w:rsidR="00721FF5" w:rsidRPr="00516393" w14:paraId="11DA53F7" w14:textId="77777777" w:rsidTr="00971B3C">
        <w:tc>
          <w:tcPr>
            <w:tcW w:w="0" w:type="auto"/>
            <w:hideMark/>
          </w:tcPr>
          <w:p w14:paraId="542A7200" w14:textId="77777777" w:rsidR="00721FF5" w:rsidRPr="00516393" w:rsidRDefault="00721FF5" w:rsidP="00971B3C">
            <w:pPr>
              <w:spacing w:line="240" w:lineRule="auto"/>
              <w:ind w:firstLine="0"/>
              <w:contextualSpacing w:val="0"/>
              <w:jc w:val="left"/>
              <w:rPr>
                <w:rFonts w:eastAsia="Times New Roman"/>
                <w:b/>
                <w:bCs/>
                <w:sz w:val="24"/>
                <w:szCs w:val="24"/>
                <w:lang w:val="uk-UA" w:eastAsia="ru-RU"/>
              </w:rPr>
            </w:pPr>
            <w:r w:rsidRPr="00516393">
              <w:rPr>
                <w:rFonts w:eastAsia="Times New Roman"/>
                <w:b/>
                <w:bCs/>
                <w:sz w:val="24"/>
                <w:szCs w:val="24"/>
                <w:lang w:val="uk-UA" w:eastAsia="ru-RU"/>
              </w:rPr>
              <w:t>Практична спрямованість</w:t>
            </w:r>
          </w:p>
        </w:tc>
        <w:tc>
          <w:tcPr>
            <w:tcW w:w="0" w:type="auto"/>
            <w:hideMark/>
          </w:tcPr>
          <w:p w14:paraId="7B64493B" w14:textId="77777777" w:rsidR="00721FF5" w:rsidRPr="00516393" w:rsidRDefault="00721FF5" w:rsidP="00971B3C">
            <w:pPr>
              <w:spacing w:line="240" w:lineRule="auto"/>
              <w:ind w:firstLine="0"/>
              <w:contextualSpacing w:val="0"/>
              <w:jc w:val="left"/>
              <w:rPr>
                <w:rFonts w:eastAsia="Times New Roman"/>
                <w:sz w:val="24"/>
                <w:szCs w:val="24"/>
                <w:lang w:val="uk-UA" w:eastAsia="ru-RU"/>
              </w:rPr>
            </w:pPr>
            <w:r w:rsidRPr="00516393">
              <w:rPr>
                <w:rFonts w:eastAsia="Times New Roman"/>
                <w:sz w:val="24"/>
                <w:szCs w:val="24"/>
                <w:lang w:val="uk-UA" w:eastAsia="ru-RU"/>
              </w:rPr>
              <w:t>Аутентичні проблеми, робота з реальними мовами програмування, створення програмних продуктів</w:t>
            </w:r>
          </w:p>
        </w:tc>
        <w:tc>
          <w:tcPr>
            <w:tcW w:w="0" w:type="auto"/>
            <w:hideMark/>
          </w:tcPr>
          <w:p w14:paraId="515A5777" w14:textId="77777777" w:rsidR="00721FF5" w:rsidRPr="00516393" w:rsidRDefault="00721FF5" w:rsidP="00971B3C">
            <w:pPr>
              <w:spacing w:line="240" w:lineRule="auto"/>
              <w:ind w:firstLine="0"/>
              <w:contextualSpacing w:val="0"/>
              <w:jc w:val="left"/>
              <w:rPr>
                <w:rFonts w:eastAsia="Times New Roman"/>
                <w:sz w:val="24"/>
                <w:szCs w:val="24"/>
                <w:lang w:val="uk-UA" w:eastAsia="ru-RU"/>
              </w:rPr>
            </w:pPr>
            <w:r w:rsidRPr="00516393">
              <w:rPr>
                <w:rFonts w:eastAsia="Times New Roman"/>
                <w:sz w:val="24"/>
                <w:szCs w:val="24"/>
                <w:lang w:val="uk-UA" w:eastAsia="ru-RU"/>
              </w:rPr>
              <w:t>Технічна компетентність, методична компетентність</w:t>
            </w:r>
          </w:p>
        </w:tc>
      </w:tr>
      <w:tr w:rsidR="00721FF5" w:rsidRPr="00516393" w14:paraId="6D89F20B" w14:textId="77777777" w:rsidTr="00971B3C">
        <w:tc>
          <w:tcPr>
            <w:tcW w:w="0" w:type="auto"/>
            <w:hideMark/>
          </w:tcPr>
          <w:p w14:paraId="7FD3D523" w14:textId="77777777" w:rsidR="00721FF5" w:rsidRPr="00516393" w:rsidRDefault="00721FF5" w:rsidP="00971B3C">
            <w:pPr>
              <w:spacing w:line="240" w:lineRule="auto"/>
              <w:ind w:firstLine="0"/>
              <w:contextualSpacing w:val="0"/>
              <w:jc w:val="left"/>
              <w:rPr>
                <w:rFonts w:eastAsia="Times New Roman"/>
                <w:b/>
                <w:bCs/>
                <w:sz w:val="24"/>
                <w:szCs w:val="24"/>
                <w:lang w:val="uk-UA" w:eastAsia="ru-RU"/>
              </w:rPr>
            </w:pPr>
            <w:r w:rsidRPr="00516393">
              <w:rPr>
                <w:rFonts w:eastAsia="Times New Roman"/>
                <w:b/>
                <w:bCs/>
                <w:sz w:val="24"/>
                <w:szCs w:val="24"/>
                <w:lang w:val="uk-UA" w:eastAsia="ru-RU"/>
              </w:rPr>
              <w:t>Індивідуалізація</w:t>
            </w:r>
          </w:p>
        </w:tc>
        <w:tc>
          <w:tcPr>
            <w:tcW w:w="0" w:type="auto"/>
            <w:hideMark/>
          </w:tcPr>
          <w:p w14:paraId="7CA49892" w14:textId="77777777" w:rsidR="00721FF5" w:rsidRPr="00516393" w:rsidRDefault="00721FF5" w:rsidP="00971B3C">
            <w:pPr>
              <w:spacing w:line="240" w:lineRule="auto"/>
              <w:ind w:firstLine="0"/>
              <w:contextualSpacing w:val="0"/>
              <w:jc w:val="left"/>
              <w:rPr>
                <w:rFonts w:eastAsia="Times New Roman"/>
                <w:sz w:val="24"/>
                <w:szCs w:val="24"/>
                <w:lang w:val="uk-UA" w:eastAsia="ru-RU"/>
              </w:rPr>
            </w:pPr>
            <w:r w:rsidRPr="00516393">
              <w:rPr>
                <w:rFonts w:eastAsia="Times New Roman"/>
                <w:sz w:val="24"/>
                <w:szCs w:val="24"/>
                <w:lang w:val="uk-UA" w:eastAsia="ru-RU"/>
              </w:rPr>
              <w:t>Адаптивні завдання, самостійний темп навчання, диференціація за складністю</w:t>
            </w:r>
          </w:p>
        </w:tc>
        <w:tc>
          <w:tcPr>
            <w:tcW w:w="0" w:type="auto"/>
            <w:hideMark/>
          </w:tcPr>
          <w:p w14:paraId="517E18CB" w14:textId="77777777" w:rsidR="00721FF5" w:rsidRPr="00516393" w:rsidRDefault="00721FF5" w:rsidP="00971B3C">
            <w:pPr>
              <w:spacing w:line="240" w:lineRule="auto"/>
              <w:ind w:firstLine="0"/>
              <w:contextualSpacing w:val="0"/>
              <w:jc w:val="left"/>
              <w:rPr>
                <w:rFonts w:eastAsia="Times New Roman"/>
                <w:sz w:val="24"/>
                <w:szCs w:val="24"/>
                <w:lang w:val="uk-UA" w:eastAsia="ru-RU"/>
              </w:rPr>
            </w:pPr>
            <w:r w:rsidRPr="00516393">
              <w:rPr>
                <w:rFonts w:eastAsia="Times New Roman"/>
                <w:sz w:val="24"/>
                <w:szCs w:val="24"/>
                <w:lang w:val="uk-UA" w:eastAsia="ru-RU"/>
              </w:rPr>
              <w:t>Самостійність, впевненість у своїх силах</w:t>
            </w:r>
          </w:p>
        </w:tc>
      </w:tr>
      <w:tr w:rsidR="00721FF5" w:rsidRPr="00516393" w14:paraId="24022156" w14:textId="77777777" w:rsidTr="00971B3C">
        <w:tc>
          <w:tcPr>
            <w:tcW w:w="0" w:type="auto"/>
            <w:hideMark/>
          </w:tcPr>
          <w:p w14:paraId="60178914" w14:textId="77777777" w:rsidR="00721FF5" w:rsidRPr="00516393" w:rsidRDefault="00721FF5" w:rsidP="00971B3C">
            <w:pPr>
              <w:spacing w:line="240" w:lineRule="auto"/>
              <w:ind w:firstLine="0"/>
              <w:contextualSpacing w:val="0"/>
              <w:jc w:val="left"/>
              <w:rPr>
                <w:rFonts w:eastAsia="Times New Roman"/>
                <w:b/>
                <w:bCs/>
                <w:sz w:val="24"/>
                <w:szCs w:val="24"/>
                <w:lang w:val="uk-UA" w:eastAsia="ru-RU"/>
              </w:rPr>
            </w:pPr>
            <w:r w:rsidRPr="00516393">
              <w:rPr>
                <w:rFonts w:eastAsia="Times New Roman"/>
                <w:b/>
                <w:bCs/>
                <w:sz w:val="24"/>
                <w:szCs w:val="24"/>
                <w:lang w:val="uk-UA" w:eastAsia="ru-RU"/>
              </w:rPr>
              <w:t>Активна взаємодія</w:t>
            </w:r>
          </w:p>
        </w:tc>
        <w:tc>
          <w:tcPr>
            <w:tcW w:w="0" w:type="auto"/>
            <w:hideMark/>
          </w:tcPr>
          <w:p w14:paraId="01F2B27D" w14:textId="77777777" w:rsidR="00721FF5" w:rsidRPr="00516393" w:rsidRDefault="00721FF5" w:rsidP="00971B3C">
            <w:pPr>
              <w:spacing w:line="240" w:lineRule="auto"/>
              <w:ind w:firstLine="0"/>
              <w:contextualSpacing w:val="0"/>
              <w:jc w:val="left"/>
              <w:rPr>
                <w:rFonts w:eastAsia="Times New Roman"/>
                <w:sz w:val="24"/>
                <w:szCs w:val="24"/>
                <w:lang w:val="uk-UA" w:eastAsia="ru-RU"/>
              </w:rPr>
            </w:pPr>
            <w:r w:rsidRPr="00516393">
              <w:rPr>
                <w:rFonts w:eastAsia="Times New Roman"/>
                <w:sz w:val="24"/>
                <w:szCs w:val="24"/>
                <w:lang w:val="uk-UA" w:eastAsia="ru-RU"/>
              </w:rPr>
              <w:t xml:space="preserve">Спільні </w:t>
            </w:r>
            <w:proofErr w:type="spellStart"/>
            <w:r w:rsidRPr="00516393">
              <w:rPr>
                <w:rFonts w:eastAsia="Times New Roman"/>
                <w:sz w:val="24"/>
                <w:szCs w:val="24"/>
                <w:lang w:val="uk-UA" w:eastAsia="ru-RU"/>
              </w:rPr>
              <w:t>проєкти</w:t>
            </w:r>
            <w:proofErr w:type="spellEnd"/>
            <w:r w:rsidRPr="00516393">
              <w:rPr>
                <w:rFonts w:eastAsia="Times New Roman"/>
                <w:sz w:val="24"/>
                <w:szCs w:val="24"/>
                <w:lang w:val="uk-UA" w:eastAsia="ru-RU"/>
              </w:rPr>
              <w:t xml:space="preserve">, </w:t>
            </w:r>
            <w:proofErr w:type="spellStart"/>
            <w:r w:rsidRPr="00516393">
              <w:rPr>
                <w:rFonts w:eastAsia="Times New Roman"/>
                <w:sz w:val="24"/>
                <w:szCs w:val="24"/>
                <w:lang w:val="uk-UA" w:eastAsia="ru-RU"/>
              </w:rPr>
              <w:t>peer-review</w:t>
            </w:r>
            <w:proofErr w:type="spellEnd"/>
            <w:r w:rsidRPr="00516393">
              <w:rPr>
                <w:rFonts w:eastAsia="Times New Roman"/>
                <w:sz w:val="24"/>
                <w:szCs w:val="24"/>
                <w:lang w:val="uk-UA" w:eastAsia="ru-RU"/>
              </w:rPr>
              <w:t>, онлайн-дискусії, командна робота</w:t>
            </w:r>
          </w:p>
        </w:tc>
        <w:tc>
          <w:tcPr>
            <w:tcW w:w="0" w:type="auto"/>
            <w:hideMark/>
          </w:tcPr>
          <w:p w14:paraId="56B6204E" w14:textId="77777777" w:rsidR="00721FF5" w:rsidRPr="00516393" w:rsidRDefault="00721FF5" w:rsidP="00971B3C">
            <w:pPr>
              <w:spacing w:line="240" w:lineRule="auto"/>
              <w:ind w:firstLine="0"/>
              <w:contextualSpacing w:val="0"/>
              <w:jc w:val="left"/>
              <w:rPr>
                <w:rFonts w:eastAsia="Times New Roman"/>
                <w:sz w:val="24"/>
                <w:szCs w:val="24"/>
                <w:lang w:val="uk-UA" w:eastAsia="ru-RU"/>
              </w:rPr>
            </w:pPr>
            <w:r w:rsidRPr="00516393">
              <w:rPr>
                <w:rFonts w:eastAsia="Times New Roman"/>
                <w:sz w:val="24"/>
                <w:szCs w:val="24"/>
                <w:lang w:val="uk-UA" w:eastAsia="ru-RU"/>
              </w:rPr>
              <w:t xml:space="preserve">Комунікативна компетентність, навички </w:t>
            </w:r>
            <w:proofErr w:type="spellStart"/>
            <w:r w:rsidRPr="00516393">
              <w:rPr>
                <w:rFonts w:eastAsia="Times New Roman"/>
                <w:sz w:val="24"/>
                <w:szCs w:val="24"/>
                <w:lang w:val="uk-UA" w:eastAsia="ru-RU"/>
              </w:rPr>
              <w:t>колаборації</w:t>
            </w:r>
            <w:proofErr w:type="spellEnd"/>
          </w:p>
        </w:tc>
      </w:tr>
      <w:tr w:rsidR="00721FF5" w:rsidRPr="00516393" w14:paraId="5F91CC9B" w14:textId="77777777" w:rsidTr="00971B3C">
        <w:tc>
          <w:tcPr>
            <w:tcW w:w="0" w:type="auto"/>
            <w:hideMark/>
          </w:tcPr>
          <w:p w14:paraId="00C5B84A" w14:textId="77777777" w:rsidR="00721FF5" w:rsidRPr="00516393" w:rsidRDefault="00721FF5" w:rsidP="00971B3C">
            <w:pPr>
              <w:spacing w:line="240" w:lineRule="auto"/>
              <w:ind w:firstLine="0"/>
              <w:contextualSpacing w:val="0"/>
              <w:jc w:val="left"/>
              <w:rPr>
                <w:rFonts w:eastAsia="Times New Roman"/>
                <w:b/>
                <w:bCs/>
                <w:sz w:val="24"/>
                <w:szCs w:val="24"/>
                <w:lang w:val="uk-UA" w:eastAsia="ru-RU"/>
              </w:rPr>
            </w:pPr>
            <w:proofErr w:type="spellStart"/>
            <w:r w:rsidRPr="00516393">
              <w:rPr>
                <w:rFonts w:eastAsia="Times New Roman"/>
                <w:b/>
                <w:bCs/>
                <w:sz w:val="24"/>
                <w:szCs w:val="24"/>
                <w:lang w:val="uk-UA" w:eastAsia="ru-RU"/>
              </w:rPr>
              <w:t>Самооцінювання</w:t>
            </w:r>
            <w:proofErr w:type="spellEnd"/>
            <w:r w:rsidRPr="00516393">
              <w:rPr>
                <w:rFonts w:eastAsia="Times New Roman"/>
                <w:b/>
                <w:bCs/>
                <w:sz w:val="24"/>
                <w:szCs w:val="24"/>
                <w:lang w:val="uk-UA" w:eastAsia="ru-RU"/>
              </w:rPr>
              <w:t xml:space="preserve"> та рефлексія</w:t>
            </w:r>
          </w:p>
        </w:tc>
        <w:tc>
          <w:tcPr>
            <w:tcW w:w="0" w:type="auto"/>
            <w:hideMark/>
          </w:tcPr>
          <w:p w14:paraId="3C3B8C68" w14:textId="77777777" w:rsidR="00721FF5" w:rsidRPr="00516393" w:rsidRDefault="00721FF5" w:rsidP="00971B3C">
            <w:pPr>
              <w:spacing w:line="240" w:lineRule="auto"/>
              <w:ind w:firstLine="0"/>
              <w:contextualSpacing w:val="0"/>
              <w:jc w:val="left"/>
              <w:rPr>
                <w:rFonts w:eastAsia="Times New Roman"/>
                <w:sz w:val="24"/>
                <w:szCs w:val="24"/>
                <w:lang w:val="uk-UA" w:eastAsia="ru-RU"/>
              </w:rPr>
            </w:pPr>
            <w:r w:rsidRPr="00516393">
              <w:rPr>
                <w:rFonts w:eastAsia="Times New Roman"/>
                <w:sz w:val="24"/>
                <w:szCs w:val="24"/>
                <w:lang w:val="uk-UA" w:eastAsia="ru-RU"/>
              </w:rPr>
              <w:t>Автоматичний зворотний зв’язок, аналіз помилок, порівняння з однокурсниками</w:t>
            </w:r>
          </w:p>
        </w:tc>
        <w:tc>
          <w:tcPr>
            <w:tcW w:w="0" w:type="auto"/>
            <w:hideMark/>
          </w:tcPr>
          <w:p w14:paraId="53863AFD" w14:textId="77777777" w:rsidR="00721FF5" w:rsidRPr="00516393" w:rsidRDefault="00721FF5" w:rsidP="00971B3C">
            <w:pPr>
              <w:spacing w:line="240" w:lineRule="auto"/>
              <w:ind w:firstLine="0"/>
              <w:contextualSpacing w:val="0"/>
              <w:jc w:val="left"/>
              <w:rPr>
                <w:rFonts w:eastAsia="Times New Roman"/>
                <w:sz w:val="24"/>
                <w:szCs w:val="24"/>
                <w:lang w:val="uk-UA" w:eastAsia="ru-RU"/>
              </w:rPr>
            </w:pPr>
            <w:r w:rsidRPr="00516393">
              <w:rPr>
                <w:rFonts w:eastAsia="Times New Roman"/>
                <w:sz w:val="24"/>
                <w:szCs w:val="24"/>
                <w:lang w:val="uk-UA" w:eastAsia="ru-RU"/>
              </w:rPr>
              <w:t>Рефлексивна компетентність, критичне мислення</w:t>
            </w:r>
          </w:p>
        </w:tc>
      </w:tr>
    </w:tbl>
    <w:p w14:paraId="66E5A55A" w14:textId="77777777" w:rsidR="00721FF5" w:rsidRDefault="00721FF5" w:rsidP="00721FF5">
      <w:pPr>
        <w:ind w:firstLine="720"/>
        <w:rPr>
          <w:lang w:val="en-US"/>
        </w:rPr>
      </w:pPr>
    </w:p>
    <w:p w14:paraId="7CB2EF6E" w14:textId="6E643AC8" w:rsidR="00A344E0" w:rsidRPr="00A344E0" w:rsidRDefault="00A344E0" w:rsidP="00721FF5">
      <w:pPr>
        <w:ind w:firstLine="720"/>
        <w:rPr>
          <w:lang w:val="uk-UA"/>
        </w:rPr>
      </w:pPr>
      <w:r w:rsidRPr="00A344E0">
        <w:rPr>
          <w:lang w:val="uk-UA"/>
        </w:rPr>
        <w:lastRenderedPageBreak/>
        <w:t>Використання віртуальних лабораторій у підготовці майбутніх учителів інформатики має забезпечити підвищення рівня самостійності студентів, зростання інтересу до програмування, покращення якості виконання практичних робіт та розвиток методичної компетентності. Систематичне впровадження віртуальних лабораторій дозволяє не лише покращити технічні навички та компетентність студентів, але й розвинути методичну, технологічну, комунікативну та рефлексивну складові їхньої професійної компетентності</w:t>
      </w:r>
      <w:r w:rsidR="00DF2D8D" w:rsidRPr="00DF2D8D">
        <w:rPr>
          <w:lang w:val="uk-UA"/>
        </w:rPr>
        <w:t xml:space="preserve"> [4]</w:t>
      </w:r>
      <w:r w:rsidRPr="00A344E0">
        <w:rPr>
          <w:lang w:val="uk-UA"/>
        </w:rPr>
        <w:t>.</w:t>
      </w:r>
    </w:p>
    <w:p w14:paraId="4B58E018" w14:textId="5A7F47B9" w:rsidR="00A7499B" w:rsidRPr="00DF2D8D" w:rsidRDefault="00A344E0" w:rsidP="00721FF5">
      <w:pPr>
        <w:ind w:firstLine="720"/>
        <w:rPr>
          <w:lang w:val="uk-UA"/>
        </w:rPr>
      </w:pPr>
      <w:r w:rsidRPr="00A344E0">
        <w:rPr>
          <w:lang w:val="uk-UA"/>
        </w:rPr>
        <w:t xml:space="preserve">Віртуальні лабораторії з програмування є ефективним інструментом формування професійної компетентності майбутніх учителів інформатики в умовах </w:t>
      </w:r>
      <w:proofErr w:type="spellStart"/>
      <w:r w:rsidRPr="00A344E0">
        <w:rPr>
          <w:lang w:val="uk-UA"/>
        </w:rPr>
        <w:t>цифровізації</w:t>
      </w:r>
      <w:proofErr w:type="spellEnd"/>
      <w:r w:rsidRPr="00A344E0">
        <w:rPr>
          <w:lang w:val="uk-UA"/>
        </w:rPr>
        <w:t xml:space="preserve"> освіти. Вони забезпечують інтеграцію теоретичної підготовки та практичної діяльності, сприяючи реалізації принципів </w:t>
      </w:r>
      <w:proofErr w:type="spellStart"/>
      <w:r w:rsidRPr="00A344E0">
        <w:rPr>
          <w:lang w:val="uk-UA"/>
        </w:rPr>
        <w:t>компетентнісного</w:t>
      </w:r>
      <w:proofErr w:type="spellEnd"/>
      <w:r w:rsidRPr="00A344E0">
        <w:rPr>
          <w:lang w:val="uk-UA"/>
        </w:rPr>
        <w:t xml:space="preserve"> підходу. Запропонована </w:t>
      </w:r>
      <w:proofErr w:type="spellStart"/>
      <w:r w:rsidRPr="00A344E0">
        <w:rPr>
          <w:lang w:val="uk-UA"/>
        </w:rPr>
        <w:t>триетапна</w:t>
      </w:r>
      <w:proofErr w:type="spellEnd"/>
      <w:r w:rsidRPr="00A344E0">
        <w:rPr>
          <w:lang w:val="uk-UA"/>
        </w:rPr>
        <w:t xml:space="preserve"> методика впровадження дозволяє цілеспрямовано формувати технічні, методичні, комунікативні та рефлексивні компетентності. Інтеграція віртуальних лабораторій у освітній процес є важливим кроком у підготовці вчителів інформатики, здатних ефективно працювати в умовах цифрової трансформації освіти.</w:t>
      </w:r>
    </w:p>
    <w:p w14:paraId="3DABEF03" w14:textId="77777777" w:rsidR="00721FF5" w:rsidRPr="00DF2D8D" w:rsidRDefault="00721FF5" w:rsidP="00721FF5">
      <w:pPr>
        <w:ind w:firstLine="720"/>
        <w:rPr>
          <w:lang w:val="uk-UA"/>
        </w:rPr>
      </w:pPr>
    </w:p>
    <w:p w14:paraId="5F4F139C" w14:textId="77777777" w:rsidR="00721FF5" w:rsidRPr="001C0831" w:rsidRDefault="00721FF5" w:rsidP="00721FF5">
      <w:pPr>
        <w:rPr>
          <w:b/>
          <w:bCs/>
          <w:i/>
          <w:iCs/>
          <w:lang w:val="uk-UA" w:eastAsia="ru-RU"/>
        </w:rPr>
      </w:pPr>
      <w:r w:rsidRPr="001C0831">
        <w:rPr>
          <w:b/>
          <w:bCs/>
          <w:i/>
          <w:iCs/>
          <w:lang w:val="uk-UA" w:eastAsia="ru-RU"/>
        </w:rPr>
        <w:t xml:space="preserve">Література: </w:t>
      </w:r>
    </w:p>
    <w:p w14:paraId="77B02FAB" w14:textId="77777777" w:rsidR="00721FF5" w:rsidRPr="001C0831" w:rsidRDefault="00721FF5" w:rsidP="00721FF5">
      <w:pPr>
        <w:rPr>
          <w:rFonts w:eastAsia="Times New Roman"/>
          <w:sz w:val="24"/>
          <w:szCs w:val="24"/>
          <w:lang w:val="uk-UA" w:eastAsia="ru-RU"/>
        </w:rPr>
      </w:pPr>
      <w:r w:rsidRPr="001C0831">
        <w:rPr>
          <w:rFonts w:eastAsia="Times New Roman"/>
          <w:sz w:val="24"/>
          <w:szCs w:val="24"/>
          <w:lang w:val="uk-UA" w:eastAsia="ru-RU"/>
        </w:rPr>
        <w:t xml:space="preserve">1. Теоретико-методологічні засади інформатизації освіти та практична реалізація інформаційно-комунікаційних технологій в освітній сфері України: монографія / В. Ю. Биков, О. Ю. </w:t>
      </w:r>
      <w:proofErr w:type="spellStart"/>
      <w:r w:rsidRPr="001C0831">
        <w:rPr>
          <w:rFonts w:eastAsia="Times New Roman"/>
          <w:sz w:val="24"/>
          <w:szCs w:val="24"/>
          <w:lang w:val="uk-UA" w:eastAsia="ru-RU"/>
        </w:rPr>
        <w:t>Буров</w:t>
      </w:r>
      <w:proofErr w:type="spellEnd"/>
      <w:r w:rsidRPr="001C0831">
        <w:rPr>
          <w:rFonts w:eastAsia="Times New Roman"/>
          <w:sz w:val="24"/>
          <w:szCs w:val="24"/>
          <w:lang w:val="uk-UA" w:eastAsia="ru-RU"/>
        </w:rPr>
        <w:t xml:space="preserve">, А. М. Гуржій, М. І. </w:t>
      </w:r>
      <w:proofErr w:type="spellStart"/>
      <w:r w:rsidRPr="001C0831">
        <w:rPr>
          <w:rFonts w:eastAsia="Times New Roman"/>
          <w:sz w:val="24"/>
          <w:szCs w:val="24"/>
          <w:lang w:val="uk-UA" w:eastAsia="ru-RU"/>
        </w:rPr>
        <w:t>Жалдак</w:t>
      </w:r>
      <w:proofErr w:type="spellEnd"/>
      <w:r w:rsidRPr="001C0831">
        <w:rPr>
          <w:rFonts w:eastAsia="Times New Roman"/>
          <w:sz w:val="24"/>
          <w:szCs w:val="24"/>
          <w:lang w:val="uk-UA" w:eastAsia="ru-RU"/>
        </w:rPr>
        <w:t xml:space="preserve">, М. П. Лещенко, С. Г. Литвинова, В. І. Луговий, В. В. Олійник, О. М. </w:t>
      </w:r>
      <w:proofErr w:type="spellStart"/>
      <w:r w:rsidRPr="001C0831">
        <w:rPr>
          <w:rFonts w:eastAsia="Times New Roman"/>
          <w:sz w:val="24"/>
          <w:szCs w:val="24"/>
          <w:lang w:val="uk-UA" w:eastAsia="ru-RU"/>
        </w:rPr>
        <w:t>Спірін</w:t>
      </w:r>
      <w:proofErr w:type="spellEnd"/>
      <w:r w:rsidRPr="001C0831">
        <w:rPr>
          <w:rFonts w:eastAsia="Times New Roman"/>
          <w:sz w:val="24"/>
          <w:szCs w:val="24"/>
          <w:lang w:val="uk-UA" w:eastAsia="ru-RU"/>
        </w:rPr>
        <w:t xml:space="preserve">, М. П. Шишкіна; наук. ред. В. Ю. Биков, С. Г. Литвинова, В. І. Луговий. Київ: </w:t>
      </w:r>
      <w:proofErr w:type="spellStart"/>
      <w:r w:rsidRPr="001C0831">
        <w:rPr>
          <w:rFonts w:eastAsia="Times New Roman"/>
          <w:sz w:val="24"/>
          <w:szCs w:val="24"/>
          <w:lang w:val="uk-UA" w:eastAsia="ru-RU"/>
        </w:rPr>
        <w:t>Компринт</w:t>
      </w:r>
      <w:proofErr w:type="spellEnd"/>
      <w:r w:rsidRPr="001C0831">
        <w:rPr>
          <w:rFonts w:eastAsia="Times New Roman"/>
          <w:sz w:val="24"/>
          <w:szCs w:val="24"/>
          <w:lang w:val="uk-UA" w:eastAsia="ru-RU"/>
        </w:rPr>
        <w:t>, 2019. 214 с.</w:t>
      </w:r>
    </w:p>
    <w:p w14:paraId="3D21B7D2" w14:textId="77777777" w:rsidR="00721FF5" w:rsidRPr="001C0831" w:rsidRDefault="00721FF5" w:rsidP="00721FF5">
      <w:pPr>
        <w:rPr>
          <w:rFonts w:eastAsia="Times New Roman"/>
          <w:sz w:val="24"/>
          <w:szCs w:val="24"/>
          <w:lang w:val="uk-UA" w:eastAsia="ru-RU"/>
        </w:rPr>
      </w:pPr>
      <w:r w:rsidRPr="001C0831">
        <w:rPr>
          <w:rFonts w:eastAsia="Times New Roman"/>
          <w:sz w:val="24"/>
          <w:szCs w:val="24"/>
          <w:lang w:val="uk-UA" w:eastAsia="ru-RU"/>
        </w:rPr>
        <w:t xml:space="preserve">2. </w:t>
      </w:r>
      <w:proofErr w:type="spellStart"/>
      <w:r w:rsidRPr="001C0831">
        <w:rPr>
          <w:rFonts w:eastAsia="Times New Roman"/>
          <w:sz w:val="24"/>
          <w:szCs w:val="24"/>
          <w:lang w:val="uk-UA" w:eastAsia="ru-RU"/>
        </w:rPr>
        <w:t>Сущенко</w:t>
      </w:r>
      <w:proofErr w:type="spellEnd"/>
      <w:r w:rsidRPr="001C0831">
        <w:rPr>
          <w:rFonts w:eastAsia="Times New Roman"/>
          <w:sz w:val="24"/>
          <w:szCs w:val="24"/>
          <w:lang w:val="uk-UA" w:eastAsia="ru-RU"/>
        </w:rPr>
        <w:t xml:space="preserve"> Л., Андрющенко О., </w:t>
      </w:r>
      <w:proofErr w:type="spellStart"/>
      <w:r w:rsidRPr="001C0831">
        <w:rPr>
          <w:rFonts w:eastAsia="Times New Roman"/>
          <w:sz w:val="24"/>
          <w:szCs w:val="24"/>
          <w:lang w:val="uk-UA" w:eastAsia="ru-RU"/>
        </w:rPr>
        <w:t>Сущенко</w:t>
      </w:r>
      <w:proofErr w:type="spellEnd"/>
      <w:r w:rsidRPr="001C0831">
        <w:rPr>
          <w:rFonts w:eastAsia="Times New Roman"/>
          <w:sz w:val="24"/>
          <w:szCs w:val="24"/>
          <w:lang w:val="uk-UA" w:eastAsia="ru-RU"/>
        </w:rPr>
        <w:t xml:space="preserve"> П. Цифрова трансформація закладів вищої освіти в умовах </w:t>
      </w:r>
      <w:proofErr w:type="spellStart"/>
      <w:r w:rsidRPr="001C0831">
        <w:rPr>
          <w:rFonts w:eastAsia="Times New Roman"/>
          <w:sz w:val="24"/>
          <w:szCs w:val="24"/>
          <w:lang w:val="uk-UA" w:eastAsia="ru-RU"/>
        </w:rPr>
        <w:t>діджиталізації</w:t>
      </w:r>
      <w:proofErr w:type="spellEnd"/>
      <w:r w:rsidRPr="001C0831">
        <w:rPr>
          <w:rFonts w:eastAsia="Times New Roman"/>
          <w:sz w:val="24"/>
          <w:szCs w:val="24"/>
          <w:lang w:val="uk-UA" w:eastAsia="ru-RU"/>
        </w:rPr>
        <w:t xml:space="preserve"> суспільства: виклики і перспективи. </w:t>
      </w:r>
      <w:r w:rsidRPr="001C0831">
        <w:rPr>
          <w:rFonts w:eastAsia="Times New Roman"/>
          <w:i/>
          <w:iCs/>
          <w:sz w:val="24"/>
          <w:szCs w:val="24"/>
          <w:lang w:val="uk-UA" w:eastAsia="ru-RU"/>
        </w:rPr>
        <w:t>Науковий вісник Ужгородського університету. Серія: «Педагогіка. Соціальна робота»</w:t>
      </w:r>
      <w:r w:rsidRPr="001C0831">
        <w:rPr>
          <w:rFonts w:eastAsia="Times New Roman"/>
          <w:sz w:val="24"/>
          <w:szCs w:val="24"/>
          <w:lang w:val="uk-UA" w:eastAsia="ru-RU"/>
        </w:rPr>
        <w:t xml:space="preserve">, 2025, (2(51), С.157–162. DOI: </w:t>
      </w:r>
      <w:hyperlink r:id="rId5" w:history="1">
        <w:r w:rsidRPr="001C0831">
          <w:rPr>
            <w:rStyle w:val="Hyperlink"/>
            <w:rFonts w:eastAsia="Times New Roman"/>
            <w:sz w:val="24"/>
            <w:szCs w:val="24"/>
            <w:lang w:val="uk-UA" w:eastAsia="ru-RU"/>
          </w:rPr>
          <w:t>https://doi.org/10.24144/2524-0609.2022.51.157-162</w:t>
        </w:r>
      </w:hyperlink>
      <w:r w:rsidRPr="001C0831">
        <w:rPr>
          <w:rFonts w:eastAsia="Times New Roman"/>
          <w:sz w:val="24"/>
          <w:szCs w:val="24"/>
          <w:lang w:val="uk-UA" w:eastAsia="ru-RU"/>
        </w:rPr>
        <w:t xml:space="preserve"> . </w:t>
      </w:r>
    </w:p>
    <w:p w14:paraId="5195C124" w14:textId="77777777" w:rsidR="00721FF5" w:rsidRPr="001C0831" w:rsidRDefault="00721FF5" w:rsidP="00721FF5">
      <w:pPr>
        <w:rPr>
          <w:rFonts w:eastAsia="Times New Roman"/>
          <w:sz w:val="24"/>
          <w:szCs w:val="24"/>
          <w:lang w:val="uk-UA" w:eastAsia="ru-RU"/>
        </w:rPr>
      </w:pPr>
      <w:r w:rsidRPr="001C0831">
        <w:rPr>
          <w:rFonts w:eastAsia="Times New Roman"/>
          <w:sz w:val="24"/>
          <w:szCs w:val="24"/>
          <w:lang w:val="uk-UA" w:eastAsia="ru-RU"/>
        </w:rPr>
        <w:t xml:space="preserve">3. </w:t>
      </w:r>
      <w:proofErr w:type="spellStart"/>
      <w:r w:rsidRPr="001C0831">
        <w:rPr>
          <w:rFonts w:eastAsia="Times New Roman"/>
          <w:sz w:val="24"/>
          <w:szCs w:val="24"/>
          <w:lang w:val="uk-UA" w:eastAsia="ru-RU"/>
        </w:rPr>
        <w:t>Васенко</w:t>
      </w:r>
      <w:proofErr w:type="spellEnd"/>
      <w:r w:rsidRPr="001C0831">
        <w:rPr>
          <w:rFonts w:eastAsia="Times New Roman"/>
          <w:sz w:val="24"/>
          <w:szCs w:val="24"/>
          <w:lang w:val="uk-UA" w:eastAsia="ru-RU"/>
        </w:rPr>
        <w:t xml:space="preserve"> О., </w:t>
      </w:r>
      <w:proofErr w:type="spellStart"/>
      <w:r w:rsidRPr="001C0831">
        <w:rPr>
          <w:rFonts w:eastAsia="Times New Roman"/>
          <w:sz w:val="24"/>
          <w:szCs w:val="24"/>
          <w:lang w:val="uk-UA" w:eastAsia="ru-RU"/>
        </w:rPr>
        <w:t>Васенко</w:t>
      </w:r>
      <w:proofErr w:type="spellEnd"/>
      <w:r w:rsidRPr="001C0831">
        <w:rPr>
          <w:rFonts w:eastAsia="Times New Roman"/>
          <w:sz w:val="24"/>
          <w:szCs w:val="24"/>
          <w:lang w:val="uk-UA" w:eastAsia="ru-RU"/>
        </w:rPr>
        <w:t xml:space="preserve"> В. Розвиток обчислювального мислення майбутнього вчителя в контексті об'єктної моделі програмування. </w:t>
      </w:r>
      <w:proofErr w:type="spellStart"/>
      <w:r w:rsidRPr="001C0831">
        <w:rPr>
          <w:rFonts w:eastAsia="Times New Roman"/>
          <w:i/>
          <w:iCs/>
          <w:sz w:val="24"/>
          <w:szCs w:val="24"/>
          <w:lang w:val="uk-UA" w:eastAsia="ru-RU"/>
        </w:rPr>
        <w:t>Humanitarium</w:t>
      </w:r>
      <w:proofErr w:type="spellEnd"/>
      <w:r w:rsidRPr="001C0831">
        <w:rPr>
          <w:rFonts w:eastAsia="Times New Roman"/>
          <w:i/>
          <w:iCs/>
          <w:sz w:val="24"/>
          <w:szCs w:val="24"/>
          <w:lang w:val="uk-UA" w:eastAsia="ru-RU"/>
        </w:rPr>
        <w:t xml:space="preserve"> 45(2): 19-25, </w:t>
      </w:r>
      <w:r w:rsidRPr="001C0831">
        <w:rPr>
          <w:rFonts w:eastAsia="Times New Roman"/>
          <w:sz w:val="24"/>
          <w:szCs w:val="24"/>
          <w:lang w:val="uk-UA" w:eastAsia="ru-RU"/>
        </w:rPr>
        <w:t xml:space="preserve">2020. DOI: </w:t>
      </w:r>
      <w:r>
        <w:fldChar w:fldCharType="begin"/>
      </w:r>
      <w:r>
        <w:instrText>HYPERLINK</w:instrText>
      </w:r>
      <w:r w:rsidRPr="006C4B57">
        <w:rPr>
          <w:lang w:val="uk-UA"/>
        </w:rPr>
        <w:instrText xml:space="preserve"> "</w:instrText>
      </w:r>
      <w:r>
        <w:instrText>https</w:instrText>
      </w:r>
      <w:r w:rsidRPr="006C4B57">
        <w:rPr>
          <w:lang w:val="uk-UA"/>
        </w:rPr>
        <w:instrText>://</w:instrText>
      </w:r>
      <w:r>
        <w:instrText>doi</w:instrText>
      </w:r>
      <w:r w:rsidRPr="006C4B57">
        <w:rPr>
          <w:lang w:val="uk-UA"/>
        </w:rPr>
        <w:instrText>.</w:instrText>
      </w:r>
      <w:r>
        <w:instrText>org</w:instrText>
      </w:r>
      <w:r w:rsidRPr="006C4B57">
        <w:rPr>
          <w:lang w:val="uk-UA"/>
        </w:rPr>
        <w:instrText>/10.31470/2308-5126-2019-45-2-19-26" \</w:instrText>
      </w:r>
      <w:r>
        <w:instrText>t</w:instrText>
      </w:r>
      <w:r w:rsidRPr="006C4B57">
        <w:rPr>
          <w:lang w:val="uk-UA"/>
        </w:rPr>
        <w:instrText xml:space="preserve"> "_</w:instrText>
      </w:r>
      <w:r>
        <w:instrText>blank</w:instrText>
      </w:r>
      <w:r w:rsidRPr="006C4B57">
        <w:rPr>
          <w:lang w:val="uk-UA"/>
        </w:rPr>
        <w:instrText>"</w:instrText>
      </w:r>
      <w:r>
        <w:fldChar w:fldCharType="separate"/>
      </w:r>
      <w:r w:rsidRPr="001C0831">
        <w:rPr>
          <w:rStyle w:val="Hyperlink"/>
          <w:sz w:val="24"/>
          <w:szCs w:val="24"/>
          <w:bdr w:val="none" w:sz="0" w:space="0" w:color="auto" w:frame="1"/>
          <w:shd w:val="clear" w:color="auto" w:fill="FFFFFF"/>
          <w:lang w:val="uk-UA"/>
        </w:rPr>
        <w:t>10.31470/2308-5126-2019-45-2-19-26</w:t>
      </w:r>
      <w:r>
        <w:fldChar w:fldCharType="end"/>
      </w:r>
      <w:r w:rsidRPr="001C0831">
        <w:rPr>
          <w:sz w:val="24"/>
          <w:szCs w:val="24"/>
          <w:lang w:val="uk-UA"/>
        </w:rPr>
        <w:t xml:space="preserve"> </w:t>
      </w:r>
    </w:p>
    <w:p w14:paraId="791F5159" w14:textId="77777777" w:rsidR="00721FF5" w:rsidRPr="001C0831" w:rsidRDefault="00721FF5" w:rsidP="00721FF5">
      <w:pPr>
        <w:rPr>
          <w:rFonts w:eastAsia="Times New Roman"/>
          <w:sz w:val="24"/>
          <w:szCs w:val="24"/>
          <w:lang w:val="uk-UA" w:eastAsia="ru-RU"/>
        </w:rPr>
      </w:pPr>
      <w:r w:rsidRPr="001C0831">
        <w:rPr>
          <w:rFonts w:eastAsia="Times New Roman"/>
          <w:sz w:val="24"/>
          <w:szCs w:val="24"/>
          <w:lang w:val="uk-UA" w:eastAsia="ru-RU"/>
        </w:rPr>
        <w:lastRenderedPageBreak/>
        <w:t xml:space="preserve">4. Методичні рекомендації щодо викладання інформатики у 2024/2025 навчальному році: методичні рекомендації. URL: </w:t>
      </w:r>
      <w:hyperlink r:id="rId6" w:history="1">
        <w:r w:rsidRPr="001C0831">
          <w:rPr>
            <w:rStyle w:val="Hyperlink"/>
            <w:rFonts w:eastAsia="Times New Roman"/>
            <w:sz w:val="24"/>
            <w:szCs w:val="24"/>
            <w:lang w:val="uk-UA" w:eastAsia="ru-RU"/>
          </w:rPr>
          <w:t>https://mon.gov.ua/static-objects/mon/uploads/public/66d/ffe/c4c/66dffec4c92d2958213439.pdf</w:t>
        </w:r>
      </w:hyperlink>
      <w:r w:rsidRPr="001C0831">
        <w:rPr>
          <w:rFonts w:eastAsia="Times New Roman"/>
          <w:sz w:val="24"/>
          <w:szCs w:val="24"/>
          <w:lang w:val="uk-UA" w:eastAsia="ru-RU"/>
        </w:rPr>
        <w:t xml:space="preserve"> (дата звернення 2.11.2025)</w:t>
      </w:r>
    </w:p>
    <w:p w14:paraId="4180CA47" w14:textId="77777777" w:rsidR="00721FF5" w:rsidRPr="001C0831" w:rsidRDefault="00721FF5" w:rsidP="00721FF5">
      <w:pPr>
        <w:rPr>
          <w:rFonts w:eastAsia="Times New Roman"/>
          <w:sz w:val="24"/>
          <w:szCs w:val="24"/>
          <w:lang w:val="uk-UA" w:eastAsia="ru-RU"/>
        </w:rPr>
      </w:pPr>
      <w:r w:rsidRPr="001C0831">
        <w:rPr>
          <w:rFonts w:eastAsia="Times New Roman"/>
          <w:sz w:val="24"/>
          <w:szCs w:val="24"/>
          <w:lang w:val="uk-UA" w:eastAsia="ru-RU"/>
        </w:rPr>
        <w:t xml:space="preserve">5. </w:t>
      </w:r>
      <w:proofErr w:type="spellStart"/>
      <w:r w:rsidRPr="001C0831">
        <w:rPr>
          <w:rFonts w:eastAsia="Times New Roman"/>
          <w:sz w:val="24"/>
          <w:szCs w:val="24"/>
          <w:lang w:val="uk-UA" w:eastAsia="ru-RU"/>
        </w:rPr>
        <w:t>Бідюк</w:t>
      </w:r>
      <w:proofErr w:type="spellEnd"/>
      <w:r w:rsidRPr="001C0831">
        <w:rPr>
          <w:rFonts w:eastAsia="Times New Roman"/>
          <w:sz w:val="24"/>
          <w:szCs w:val="24"/>
          <w:lang w:val="uk-UA" w:eastAsia="ru-RU"/>
        </w:rPr>
        <w:t xml:space="preserve"> Н. М., </w:t>
      </w:r>
      <w:proofErr w:type="spellStart"/>
      <w:r w:rsidRPr="001C0831">
        <w:rPr>
          <w:rFonts w:eastAsia="Times New Roman"/>
          <w:sz w:val="24"/>
          <w:szCs w:val="24"/>
          <w:lang w:val="uk-UA" w:eastAsia="ru-RU"/>
        </w:rPr>
        <w:t>Бідюк</w:t>
      </w:r>
      <w:proofErr w:type="spellEnd"/>
      <w:r w:rsidRPr="001C0831">
        <w:rPr>
          <w:rFonts w:eastAsia="Times New Roman"/>
          <w:sz w:val="24"/>
          <w:szCs w:val="24"/>
          <w:lang w:val="uk-UA" w:eastAsia="ru-RU"/>
        </w:rPr>
        <w:t xml:space="preserve"> Д. Є. Цифрова компетентність педагогічного працівника в сучасному інформаційно-освітньому середовищі. </w:t>
      </w:r>
      <w:r w:rsidRPr="001C0831">
        <w:rPr>
          <w:rFonts w:eastAsia="Times New Roman"/>
          <w:i/>
          <w:iCs/>
          <w:sz w:val="24"/>
          <w:szCs w:val="24"/>
          <w:lang w:val="uk-UA" w:eastAsia="ru-RU"/>
        </w:rPr>
        <w:t>Наукові записки. Серія: Педагогічні науки</w:t>
      </w:r>
      <w:r w:rsidRPr="001C0831">
        <w:rPr>
          <w:rFonts w:eastAsia="Times New Roman"/>
          <w:sz w:val="24"/>
          <w:szCs w:val="24"/>
          <w:lang w:val="uk-UA" w:eastAsia="ru-RU"/>
        </w:rPr>
        <w:t xml:space="preserve">.  2023.  № 1(211).  С. 22–28. DOI: </w:t>
      </w:r>
      <w:hyperlink r:id="rId7" w:history="1">
        <w:r w:rsidRPr="001C0831">
          <w:rPr>
            <w:rStyle w:val="Hyperlink"/>
            <w:rFonts w:eastAsia="Times New Roman"/>
            <w:sz w:val="24"/>
            <w:szCs w:val="24"/>
            <w:lang w:val="uk-UA" w:eastAsia="ru-RU"/>
          </w:rPr>
          <w:t>https://doi.org/10.36550/2415-7988-2023-1-211-22-28</w:t>
        </w:r>
      </w:hyperlink>
      <w:r w:rsidRPr="001C0831">
        <w:rPr>
          <w:rFonts w:eastAsia="Times New Roman"/>
          <w:sz w:val="24"/>
          <w:szCs w:val="24"/>
          <w:lang w:val="uk-UA" w:eastAsia="ru-RU"/>
        </w:rPr>
        <w:t xml:space="preserve"> </w:t>
      </w:r>
    </w:p>
    <w:p w14:paraId="04DCE4E2" w14:textId="77777777" w:rsidR="00721FF5" w:rsidRPr="001C0831" w:rsidRDefault="00721FF5" w:rsidP="00721FF5">
      <w:pPr>
        <w:rPr>
          <w:rFonts w:eastAsia="Times New Roman"/>
          <w:sz w:val="24"/>
          <w:szCs w:val="24"/>
          <w:lang w:val="uk-UA" w:eastAsia="ru-RU"/>
        </w:rPr>
      </w:pPr>
      <w:r w:rsidRPr="001C0831">
        <w:rPr>
          <w:rFonts w:eastAsia="Times New Roman"/>
          <w:sz w:val="24"/>
          <w:szCs w:val="24"/>
          <w:lang w:val="uk-UA" w:eastAsia="ru-RU"/>
        </w:rPr>
        <w:t xml:space="preserve">6. </w:t>
      </w:r>
      <w:r w:rsidRPr="001C0831">
        <w:rPr>
          <w:sz w:val="24"/>
          <w:szCs w:val="24"/>
          <w:lang w:val="uk-UA"/>
        </w:rPr>
        <w:t>Любарська</w:t>
      </w:r>
      <w:r w:rsidRPr="001C0831">
        <w:rPr>
          <w:rFonts w:eastAsia="Times New Roman"/>
          <w:sz w:val="24"/>
          <w:szCs w:val="24"/>
          <w:lang w:val="uk-UA" w:eastAsia="ru-RU"/>
        </w:rPr>
        <w:t xml:space="preserve"> Л.А. Креативне освітнє середовище як чинник успішної підготовки майбутніх учителів трудового навчання. </w:t>
      </w:r>
      <w:proofErr w:type="spellStart"/>
      <w:r w:rsidRPr="001C0831">
        <w:rPr>
          <w:rFonts w:eastAsia="Times New Roman"/>
          <w:i/>
          <w:iCs/>
          <w:sz w:val="24"/>
          <w:szCs w:val="24"/>
          <w:lang w:val="uk-UA" w:eastAsia="ru-RU"/>
        </w:rPr>
        <w:t>Modern</w:t>
      </w:r>
      <w:proofErr w:type="spellEnd"/>
      <w:r w:rsidRPr="001C0831">
        <w:rPr>
          <w:rFonts w:eastAsia="Times New Roman"/>
          <w:i/>
          <w:iCs/>
          <w:sz w:val="24"/>
          <w:szCs w:val="24"/>
          <w:lang w:val="uk-UA" w:eastAsia="ru-RU"/>
        </w:rPr>
        <w:t xml:space="preserve"> </w:t>
      </w:r>
      <w:proofErr w:type="spellStart"/>
      <w:r w:rsidRPr="001C0831">
        <w:rPr>
          <w:rFonts w:eastAsia="Times New Roman"/>
          <w:i/>
          <w:iCs/>
          <w:sz w:val="24"/>
          <w:szCs w:val="24"/>
          <w:lang w:val="uk-UA" w:eastAsia="ru-RU"/>
        </w:rPr>
        <w:t>Information</w:t>
      </w:r>
      <w:proofErr w:type="spellEnd"/>
      <w:r w:rsidRPr="001C0831">
        <w:rPr>
          <w:rFonts w:eastAsia="Times New Roman"/>
          <w:i/>
          <w:iCs/>
          <w:sz w:val="24"/>
          <w:szCs w:val="24"/>
          <w:lang w:val="uk-UA" w:eastAsia="ru-RU"/>
        </w:rPr>
        <w:t xml:space="preserve"> Technologies </w:t>
      </w:r>
      <w:proofErr w:type="spellStart"/>
      <w:r w:rsidRPr="001C0831">
        <w:rPr>
          <w:rFonts w:eastAsia="Times New Roman"/>
          <w:i/>
          <w:iCs/>
          <w:sz w:val="24"/>
          <w:szCs w:val="24"/>
          <w:lang w:val="uk-UA" w:eastAsia="ru-RU"/>
        </w:rPr>
        <w:t>and</w:t>
      </w:r>
      <w:proofErr w:type="spellEnd"/>
      <w:r w:rsidRPr="001C0831">
        <w:rPr>
          <w:rFonts w:eastAsia="Times New Roman"/>
          <w:i/>
          <w:iCs/>
          <w:sz w:val="24"/>
          <w:szCs w:val="24"/>
          <w:lang w:val="uk-UA" w:eastAsia="ru-RU"/>
        </w:rPr>
        <w:t xml:space="preserve"> </w:t>
      </w:r>
      <w:proofErr w:type="spellStart"/>
      <w:r w:rsidRPr="001C0831">
        <w:rPr>
          <w:rFonts w:eastAsia="Times New Roman"/>
          <w:i/>
          <w:iCs/>
          <w:sz w:val="24"/>
          <w:szCs w:val="24"/>
          <w:lang w:val="uk-UA" w:eastAsia="ru-RU"/>
        </w:rPr>
        <w:t>Innovation</w:t>
      </w:r>
      <w:proofErr w:type="spellEnd"/>
      <w:r w:rsidRPr="001C0831">
        <w:rPr>
          <w:rFonts w:eastAsia="Times New Roman"/>
          <w:i/>
          <w:iCs/>
          <w:sz w:val="24"/>
          <w:szCs w:val="24"/>
          <w:lang w:val="uk-UA" w:eastAsia="ru-RU"/>
        </w:rPr>
        <w:t xml:space="preserve"> </w:t>
      </w:r>
      <w:proofErr w:type="spellStart"/>
      <w:r w:rsidRPr="001C0831">
        <w:rPr>
          <w:rFonts w:eastAsia="Times New Roman"/>
          <w:i/>
          <w:iCs/>
          <w:sz w:val="24"/>
          <w:szCs w:val="24"/>
          <w:lang w:val="uk-UA" w:eastAsia="ru-RU"/>
        </w:rPr>
        <w:t>Methodologies</w:t>
      </w:r>
      <w:proofErr w:type="spellEnd"/>
      <w:r w:rsidRPr="001C0831">
        <w:rPr>
          <w:rFonts w:eastAsia="Times New Roman"/>
          <w:i/>
          <w:iCs/>
          <w:sz w:val="24"/>
          <w:szCs w:val="24"/>
          <w:lang w:val="uk-UA" w:eastAsia="ru-RU"/>
        </w:rPr>
        <w:t xml:space="preserve"> </w:t>
      </w:r>
      <w:proofErr w:type="spellStart"/>
      <w:r w:rsidRPr="001C0831">
        <w:rPr>
          <w:rFonts w:eastAsia="Times New Roman"/>
          <w:i/>
          <w:iCs/>
          <w:sz w:val="24"/>
          <w:szCs w:val="24"/>
          <w:lang w:val="uk-UA" w:eastAsia="ru-RU"/>
        </w:rPr>
        <w:t>of</w:t>
      </w:r>
      <w:proofErr w:type="spellEnd"/>
      <w:r w:rsidRPr="001C0831">
        <w:rPr>
          <w:rFonts w:eastAsia="Times New Roman"/>
          <w:i/>
          <w:iCs/>
          <w:sz w:val="24"/>
          <w:szCs w:val="24"/>
          <w:lang w:val="uk-UA" w:eastAsia="ru-RU"/>
        </w:rPr>
        <w:t xml:space="preserve"> </w:t>
      </w:r>
      <w:proofErr w:type="spellStart"/>
      <w:r w:rsidRPr="001C0831">
        <w:rPr>
          <w:rFonts w:eastAsia="Times New Roman"/>
          <w:i/>
          <w:iCs/>
          <w:sz w:val="24"/>
          <w:szCs w:val="24"/>
          <w:lang w:val="uk-UA" w:eastAsia="ru-RU"/>
        </w:rPr>
        <w:t>Education</w:t>
      </w:r>
      <w:proofErr w:type="spellEnd"/>
      <w:r w:rsidRPr="001C0831">
        <w:rPr>
          <w:rFonts w:eastAsia="Times New Roman"/>
          <w:i/>
          <w:iCs/>
          <w:sz w:val="24"/>
          <w:szCs w:val="24"/>
          <w:lang w:val="uk-UA" w:eastAsia="ru-RU"/>
        </w:rPr>
        <w:t xml:space="preserve"> </w:t>
      </w:r>
      <w:proofErr w:type="spellStart"/>
      <w:r w:rsidRPr="001C0831">
        <w:rPr>
          <w:rFonts w:eastAsia="Times New Roman"/>
          <w:i/>
          <w:iCs/>
          <w:sz w:val="24"/>
          <w:szCs w:val="24"/>
          <w:lang w:val="uk-UA" w:eastAsia="ru-RU"/>
        </w:rPr>
        <w:t>in</w:t>
      </w:r>
      <w:proofErr w:type="spellEnd"/>
      <w:r w:rsidRPr="001C0831">
        <w:rPr>
          <w:rFonts w:eastAsia="Times New Roman"/>
          <w:i/>
          <w:iCs/>
          <w:sz w:val="24"/>
          <w:szCs w:val="24"/>
          <w:lang w:val="uk-UA" w:eastAsia="ru-RU"/>
        </w:rPr>
        <w:t xml:space="preserve"> Professional </w:t>
      </w:r>
      <w:proofErr w:type="spellStart"/>
      <w:r w:rsidRPr="001C0831">
        <w:rPr>
          <w:rFonts w:eastAsia="Times New Roman"/>
          <w:i/>
          <w:iCs/>
          <w:sz w:val="24"/>
          <w:szCs w:val="24"/>
          <w:lang w:val="uk-UA" w:eastAsia="ru-RU"/>
        </w:rPr>
        <w:t>Training</w:t>
      </w:r>
      <w:proofErr w:type="spellEnd"/>
      <w:r w:rsidRPr="001C0831">
        <w:rPr>
          <w:rFonts w:eastAsia="Times New Roman"/>
          <w:sz w:val="24"/>
          <w:szCs w:val="24"/>
          <w:lang w:val="uk-UA" w:eastAsia="ru-RU"/>
        </w:rPr>
        <w:t>.  2025. № 71. С. 126–134. DOI:</w:t>
      </w:r>
      <w:hyperlink r:id="rId8" w:tgtFrame="_blank" w:history="1">
        <w:r w:rsidRPr="001C0831">
          <w:rPr>
            <w:rStyle w:val="Hyperlink"/>
            <w:rFonts w:eastAsia="Times New Roman"/>
            <w:sz w:val="24"/>
            <w:szCs w:val="24"/>
            <w:lang w:val="uk-UA" w:eastAsia="ru-RU"/>
          </w:rPr>
          <w:t>10.31652/2412-1142-2024-74-126-134</w:t>
        </w:r>
      </w:hyperlink>
      <w:r w:rsidRPr="001C0831">
        <w:rPr>
          <w:rFonts w:eastAsia="Times New Roman"/>
          <w:sz w:val="24"/>
          <w:szCs w:val="24"/>
          <w:lang w:val="uk-UA" w:eastAsia="ru-RU"/>
        </w:rPr>
        <w:t xml:space="preserve"> </w:t>
      </w:r>
    </w:p>
    <w:p w14:paraId="29455279" w14:textId="568BC11F" w:rsidR="00DE2C81" w:rsidRPr="00721FF5" w:rsidRDefault="00DE2C81" w:rsidP="00DE2C81">
      <w:pPr>
        <w:pStyle w:val="Heading3"/>
        <w:shd w:val="clear" w:color="auto" w:fill="FFFFFF"/>
        <w:spacing w:before="0" w:after="0"/>
        <w:textAlignment w:val="baseline"/>
        <w:rPr>
          <w:lang w:val="en-US"/>
        </w:rPr>
      </w:pPr>
    </w:p>
    <w:p w14:paraId="1337D0B9" w14:textId="78AD6976" w:rsidR="00721FF5" w:rsidRPr="00721FF5" w:rsidRDefault="00721FF5" w:rsidP="00721FF5">
      <w:pPr>
        <w:ind w:firstLine="720"/>
        <w:rPr>
          <w:lang w:val="en-US"/>
        </w:rPr>
      </w:pPr>
    </w:p>
    <w:p w14:paraId="78DD5AF1" w14:textId="77777777" w:rsidR="00A7499B" w:rsidRPr="00A7499B" w:rsidRDefault="00A7499B" w:rsidP="00A7499B">
      <w:pPr>
        <w:spacing w:line="300" w:lineRule="auto"/>
        <w:jc w:val="center"/>
        <w:rPr>
          <w:rFonts w:cs="Times New Roman"/>
          <w:b/>
          <w:bCs/>
          <w:szCs w:val="28"/>
          <w:lang w:val="uk-UA"/>
        </w:rPr>
      </w:pPr>
    </w:p>
    <w:sectPr w:rsidR="00A7499B" w:rsidRPr="00A7499B" w:rsidSect="00A7499B">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82606"/>
    <w:multiLevelType w:val="hybridMultilevel"/>
    <w:tmpl w:val="EE1A16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68671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9B"/>
    <w:rsid w:val="000F7755"/>
    <w:rsid w:val="00114510"/>
    <w:rsid w:val="00395606"/>
    <w:rsid w:val="006710A8"/>
    <w:rsid w:val="006B5929"/>
    <w:rsid w:val="006C4B57"/>
    <w:rsid w:val="00721FF5"/>
    <w:rsid w:val="009B6A8C"/>
    <w:rsid w:val="00A344E0"/>
    <w:rsid w:val="00A7499B"/>
    <w:rsid w:val="00C90B9D"/>
    <w:rsid w:val="00D47763"/>
    <w:rsid w:val="00DE2C81"/>
    <w:rsid w:val="00DF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D7DE"/>
  <w15:chartTrackingRefBased/>
  <w15:docId w15:val="{511D5CA9-580A-4917-8720-A21B8075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99B"/>
    <w:pPr>
      <w:spacing w:after="0" w:line="360" w:lineRule="auto"/>
      <w:ind w:firstLine="709"/>
      <w:contextualSpacing/>
      <w:jc w:val="both"/>
    </w:pPr>
    <w:rPr>
      <w:rFonts w:ascii="Times New Roman" w:hAnsi="Times New Roman"/>
      <w:kern w:val="0"/>
      <w:sz w:val="28"/>
      <w:szCs w:val="22"/>
      <w:lang w:val="ru-RU"/>
      <w14:ligatures w14:val="none"/>
    </w:rPr>
  </w:style>
  <w:style w:type="paragraph" w:styleId="Heading1">
    <w:name w:val="heading 1"/>
    <w:basedOn w:val="Normal"/>
    <w:next w:val="Normal"/>
    <w:link w:val="Heading1Char"/>
    <w:uiPriority w:val="9"/>
    <w:qFormat/>
    <w:rsid w:val="00A74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499B"/>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74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9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9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9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9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4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99B"/>
    <w:rPr>
      <w:rFonts w:eastAsiaTheme="majorEastAsia" w:cstheme="majorBidi"/>
      <w:color w:val="272727" w:themeColor="text1" w:themeTint="D8"/>
    </w:rPr>
  </w:style>
  <w:style w:type="paragraph" w:styleId="Title">
    <w:name w:val="Title"/>
    <w:basedOn w:val="Normal"/>
    <w:next w:val="Normal"/>
    <w:link w:val="TitleChar"/>
    <w:uiPriority w:val="10"/>
    <w:qFormat/>
    <w:rsid w:val="00A7499B"/>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99B"/>
    <w:pPr>
      <w:numPr>
        <w:ilvl w:val="1"/>
      </w:numPr>
      <w:ind w:firstLine="709"/>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74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99B"/>
    <w:pPr>
      <w:spacing w:before="160"/>
      <w:jc w:val="center"/>
    </w:pPr>
    <w:rPr>
      <w:i/>
      <w:iCs/>
      <w:color w:val="404040" w:themeColor="text1" w:themeTint="BF"/>
    </w:rPr>
  </w:style>
  <w:style w:type="character" w:customStyle="1" w:styleId="QuoteChar">
    <w:name w:val="Quote Char"/>
    <w:basedOn w:val="DefaultParagraphFont"/>
    <w:link w:val="Quote"/>
    <w:uiPriority w:val="29"/>
    <w:rsid w:val="00A7499B"/>
    <w:rPr>
      <w:i/>
      <w:iCs/>
      <w:color w:val="404040" w:themeColor="text1" w:themeTint="BF"/>
    </w:rPr>
  </w:style>
  <w:style w:type="paragraph" w:styleId="ListParagraph">
    <w:name w:val="List Paragraph"/>
    <w:basedOn w:val="Normal"/>
    <w:uiPriority w:val="34"/>
    <w:qFormat/>
    <w:rsid w:val="00A7499B"/>
    <w:pPr>
      <w:ind w:left="720"/>
    </w:pPr>
  </w:style>
  <w:style w:type="character" w:styleId="IntenseEmphasis">
    <w:name w:val="Intense Emphasis"/>
    <w:basedOn w:val="DefaultParagraphFont"/>
    <w:uiPriority w:val="21"/>
    <w:qFormat/>
    <w:rsid w:val="00A7499B"/>
    <w:rPr>
      <w:i/>
      <w:iCs/>
      <w:color w:val="0F4761" w:themeColor="accent1" w:themeShade="BF"/>
    </w:rPr>
  </w:style>
  <w:style w:type="paragraph" w:styleId="IntenseQuote">
    <w:name w:val="Intense Quote"/>
    <w:basedOn w:val="Normal"/>
    <w:next w:val="Normal"/>
    <w:link w:val="IntenseQuoteChar"/>
    <w:uiPriority w:val="30"/>
    <w:qFormat/>
    <w:rsid w:val="00A74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99B"/>
    <w:rPr>
      <w:i/>
      <w:iCs/>
      <w:color w:val="0F4761" w:themeColor="accent1" w:themeShade="BF"/>
    </w:rPr>
  </w:style>
  <w:style w:type="character" w:styleId="IntenseReference">
    <w:name w:val="Intense Reference"/>
    <w:basedOn w:val="DefaultParagraphFont"/>
    <w:uiPriority w:val="32"/>
    <w:qFormat/>
    <w:rsid w:val="00A7499B"/>
    <w:rPr>
      <w:b/>
      <w:bCs/>
      <w:smallCaps/>
      <w:color w:val="0F4761" w:themeColor="accent1" w:themeShade="BF"/>
      <w:spacing w:val="5"/>
    </w:rPr>
  </w:style>
  <w:style w:type="character" w:styleId="Hyperlink">
    <w:name w:val="Hyperlink"/>
    <w:uiPriority w:val="99"/>
    <w:unhideWhenUsed/>
    <w:rsid w:val="00721F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652/2412-1142-2024-74-126-134" TargetMode="External"/><Relationship Id="rId3" Type="http://schemas.openxmlformats.org/officeDocument/2006/relationships/settings" Target="settings.xml"/><Relationship Id="rId7" Type="http://schemas.openxmlformats.org/officeDocument/2006/relationships/hyperlink" Target="https://doi.org/10.36550/2415-7988-2023-1-211-22-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static-objects/mon/uploads/public/66d/ffe/c4c/66dffec4c92d2958213439.pdf" TargetMode="External"/><Relationship Id="rId5" Type="http://schemas.openxmlformats.org/officeDocument/2006/relationships/hyperlink" Target="https://doi.org/10.24144/2524-0609.2022.51.157-16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4</Pages>
  <Words>711</Words>
  <Characters>5972</Characters>
  <Application>Microsoft Office Word</Application>
  <DocSecurity>0</DocSecurity>
  <Lines>129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Denys Nahai</dc:creator>
  <cp:keywords/>
  <dc:description/>
  <cp:lastModifiedBy>Denys Nahai</cp:lastModifiedBy>
  <cp:revision>4</cp:revision>
  <dcterms:created xsi:type="dcterms:W3CDTF">2025-11-09T21:12:00Z</dcterms:created>
  <dcterms:modified xsi:type="dcterms:W3CDTF">2025-11-10T21:08:00Z</dcterms:modified>
</cp:coreProperties>
</file>