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01" w:rsidRPr="00112C03" w:rsidRDefault="00E83A01" w:rsidP="005330B3">
      <w:pPr>
        <w:spacing w:after="0" w:line="360" w:lineRule="auto"/>
        <w:jc w:val="center"/>
        <w:rPr>
          <w:rFonts w:cs="Times New Roman"/>
          <w:b/>
          <w:bCs/>
          <w:szCs w:val="28"/>
        </w:rPr>
      </w:pPr>
      <w:r w:rsidRPr="00112C03">
        <w:rPr>
          <w:rFonts w:cs="Times New Roman"/>
          <w:b/>
          <w:bCs/>
          <w:szCs w:val="28"/>
        </w:rPr>
        <w:t>ОСНОВНІ МОДЕЛІ ДЕРЖАВНОГО СТРАХОВОГО НАГЛЯДУ</w:t>
      </w:r>
    </w:p>
    <w:p w:rsidR="004B099C" w:rsidRPr="00E83A01" w:rsidRDefault="004B099C" w:rsidP="00E83A01">
      <w:pPr>
        <w:ind w:left="3261"/>
      </w:pPr>
    </w:p>
    <w:p w:rsidR="00E83A01" w:rsidRPr="00E83A01" w:rsidRDefault="00E83A01" w:rsidP="00E83A01">
      <w:pPr>
        <w:spacing w:after="0"/>
        <w:ind w:left="3261"/>
        <w:jc w:val="both"/>
        <w:rPr>
          <w:szCs w:val="28"/>
        </w:rPr>
      </w:pPr>
      <w:bookmarkStart w:id="0" w:name="_Hlk212809190"/>
      <w:proofErr w:type="spellStart"/>
      <w:r w:rsidRPr="00E83A01">
        <w:rPr>
          <w:szCs w:val="28"/>
        </w:rPr>
        <w:t>Михайлишин</w:t>
      </w:r>
      <w:proofErr w:type="spellEnd"/>
      <w:r w:rsidRPr="00E83A01">
        <w:rPr>
          <w:szCs w:val="28"/>
        </w:rPr>
        <w:t xml:space="preserve"> Максим В</w:t>
      </w:r>
      <w:bookmarkEnd w:id="0"/>
      <w:r w:rsidRPr="00E83A01">
        <w:rPr>
          <w:szCs w:val="28"/>
        </w:rPr>
        <w:t>ікторович,</w:t>
      </w:r>
    </w:p>
    <w:p w:rsidR="00E83A01" w:rsidRPr="00E83A01" w:rsidRDefault="00E83A01" w:rsidP="00E83A01">
      <w:pPr>
        <w:spacing w:after="0"/>
        <w:ind w:left="3261"/>
        <w:jc w:val="both"/>
        <w:rPr>
          <w:szCs w:val="28"/>
        </w:rPr>
      </w:pPr>
      <w:r w:rsidRPr="00E83A01">
        <w:rPr>
          <w:szCs w:val="28"/>
        </w:rPr>
        <w:t xml:space="preserve"> </w:t>
      </w:r>
      <w:r w:rsidR="005330B3">
        <w:rPr>
          <w:szCs w:val="28"/>
        </w:rPr>
        <w:t>магістрант</w:t>
      </w:r>
      <w:r w:rsidRPr="00E83A01">
        <w:rPr>
          <w:szCs w:val="28"/>
        </w:rPr>
        <w:t xml:space="preserve">, </w:t>
      </w:r>
      <w:r w:rsidRPr="00E83A01">
        <w:rPr>
          <w:rFonts w:eastAsia="Times New Roman" w:cs="Times New Roman"/>
          <w:szCs w:val="28"/>
          <w:lang w:eastAsia="uk-UA"/>
        </w:rPr>
        <w:t xml:space="preserve">Львівський національний університет імені  Івана Франка, </w:t>
      </w:r>
      <w:proofErr w:type="spellStart"/>
      <w:r w:rsidRPr="00E83A01">
        <w:rPr>
          <w:rFonts w:eastAsia="Times New Roman" w:cs="Times New Roman"/>
          <w:szCs w:val="28"/>
          <w:lang w:eastAsia="uk-UA"/>
        </w:rPr>
        <w:t>м.Львів</w:t>
      </w:r>
      <w:proofErr w:type="spellEnd"/>
    </w:p>
    <w:p w:rsidR="00E83A01" w:rsidRPr="00E83A01" w:rsidRDefault="00E83A01" w:rsidP="00E83A01">
      <w:pPr>
        <w:spacing w:after="0"/>
        <w:ind w:left="3261"/>
        <w:jc w:val="both"/>
        <w:rPr>
          <w:szCs w:val="28"/>
        </w:rPr>
      </w:pPr>
      <w:r w:rsidRPr="00E83A01">
        <w:rPr>
          <w:szCs w:val="28"/>
        </w:rPr>
        <w:t xml:space="preserve">Приймак Ірина Ігорівна, </w:t>
      </w:r>
    </w:p>
    <w:p w:rsidR="00E83A01" w:rsidRPr="00E83A01" w:rsidRDefault="00E83A01" w:rsidP="00E83A01">
      <w:pPr>
        <w:spacing w:after="0"/>
        <w:ind w:left="3261"/>
        <w:jc w:val="both"/>
        <w:rPr>
          <w:szCs w:val="28"/>
        </w:rPr>
      </w:pPr>
      <w:r w:rsidRPr="00E83A01">
        <w:rPr>
          <w:szCs w:val="28"/>
        </w:rPr>
        <w:t xml:space="preserve">доцент кафедри фінансів, </w:t>
      </w:r>
    </w:p>
    <w:p w:rsidR="00E83A01" w:rsidRPr="00E83A01" w:rsidRDefault="00E83A01" w:rsidP="00E83A01">
      <w:pPr>
        <w:spacing w:after="0"/>
        <w:ind w:left="3261"/>
        <w:jc w:val="both"/>
        <w:rPr>
          <w:szCs w:val="28"/>
        </w:rPr>
      </w:pPr>
      <w:r w:rsidRPr="00E83A01">
        <w:rPr>
          <w:rFonts w:eastAsia="Times New Roman" w:cs="Times New Roman"/>
          <w:szCs w:val="28"/>
          <w:lang w:eastAsia="uk-UA"/>
        </w:rPr>
        <w:t>Львівський національний університет імені  Івана Франка, Львів</w:t>
      </w:r>
    </w:p>
    <w:p w:rsidR="00E83A01" w:rsidRDefault="00E83A01" w:rsidP="009B3FAE"/>
    <w:p w:rsidR="00E83A01" w:rsidRPr="00696864" w:rsidRDefault="009B3FAE" w:rsidP="00E83A01">
      <w:pPr>
        <w:spacing w:after="0"/>
        <w:ind w:firstLine="709"/>
        <w:jc w:val="both"/>
        <w:rPr>
          <w:rFonts w:cs="Times New Roman"/>
          <w:szCs w:val="28"/>
        </w:rPr>
      </w:pPr>
      <w:bookmarkStart w:id="1" w:name="_Hlk209522371"/>
      <w:r w:rsidRPr="009B3FAE">
        <w:rPr>
          <w:rFonts w:cs="Times New Roman"/>
          <w:szCs w:val="28"/>
        </w:rPr>
        <w:t>Одним із ключових аспектів ефективного функціонування страхового ринку є організація системи страхового нагляду, яка у різних країнах формується за різними моделями та відрізняється рівнем централізації повноважень.</w:t>
      </w:r>
      <w:r>
        <w:rPr>
          <w:rFonts w:cs="Times New Roman"/>
          <w:szCs w:val="28"/>
        </w:rPr>
        <w:t xml:space="preserve"> </w:t>
      </w:r>
      <w:r w:rsidR="00E83A01" w:rsidRPr="00696864">
        <w:rPr>
          <w:rFonts w:cs="Times New Roman"/>
          <w:szCs w:val="28"/>
        </w:rPr>
        <w:t>У системі страхового нагляду у світі застосовуються різні моделі організації, що відрізняються рівнем централізації повноважень.</w:t>
      </w:r>
      <w:r>
        <w:rPr>
          <w:rFonts w:cs="Times New Roman"/>
          <w:szCs w:val="28"/>
        </w:rPr>
        <w:t xml:space="preserve"> </w:t>
      </w:r>
    </w:p>
    <w:p w:rsidR="00E83A01" w:rsidRPr="00696864" w:rsidRDefault="00E83A01" w:rsidP="00E83A01">
      <w:pPr>
        <w:spacing w:after="0"/>
        <w:ind w:firstLine="709"/>
        <w:jc w:val="both"/>
        <w:rPr>
          <w:rFonts w:cs="Times New Roman"/>
          <w:szCs w:val="28"/>
        </w:rPr>
      </w:pPr>
      <w:r w:rsidRPr="00696864">
        <w:rPr>
          <w:rFonts w:cs="Times New Roman"/>
          <w:szCs w:val="28"/>
        </w:rPr>
        <w:t>Децентралізована модель страхового нагляду ґрунтується на розподілі регуляторних функцій між центральними та місцевими органами влади.</w:t>
      </w:r>
      <w:bookmarkEnd w:id="1"/>
      <w:r w:rsidRPr="00696864">
        <w:rPr>
          <w:rFonts w:cs="Times New Roman"/>
          <w:szCs w:val="28"/>
        </w:rPr>
        <w:t xml:space="preserve"> Вона дозволяє враховувати специфіку окремих регіонів і локальних страхових ринків, сприяє розвитку конкуренції та забезпечує кращу адаптацію інструментів нагляду до місцевих умов. Така система водночас створює умови для ефективного захисту прав споживачів страхових послуг через координацію між регуляторами. Проте її недоліком є відсутність єдиних стандартів діяльності</w:t>
      </w:r>
      <w:r w:rsidR="009B3FAE">
        <w:rPr>
          <w:rFonts w:cs="Times New Roman"/>
          <w:szCs w:val="28"/>
        </w:rPr>
        <w:t xml:space="preserve"> </w:t>
      </w:r>
      <w:r w:rsidRPr="00696864">
        <w:rPr>
          <w:rFonts w:cs="Times New Roman"/>
          <w:szCs w:val="28"/>
        </w:rPr>
        <w:t>[</w:t>
      </w:r>
      <w:r>
        <w:rPr>
          <w:rFonts w:cs="Times New Roman"/>
          <w:szCs w:val="28"/>
        </w:rPr>
        <w:t>1</w:t>
      </w:r>
      <w:r w:rsidRPr="00696864">
        <w:rPr>
          <w:rFonts w:cs="Times New Roman"/>
          <w:szCs w:val="28"/>
        </w:rPr>
        <w:t xml:space="preserve">, c.288]. </w:t>
      </w:r>
    </w:p>
    <w:p w:rsidR="00E83A01" w:rsidRPr="00696864" w:rsidRDefault="00E83A01" w:rsidP="00E83A01">
      <w:pPr>
        <w:spacing w:after="0"/>
        <w:ind w:firstLine="709"/>
        <w:jc w:val="both"/>
        <w:rPr>
          <w:rFonts w:cs="Times New Roman"/>
          <w:szCs w:val="28"/>
        </w:rPr>
      </w:pPr>
      <w:bookmarkStart w:id="2" w:name="_Hlk209522385"/>
      <w:r w:rsidRPr="00696864">
        <w:rPr>
          <w:rFonts w:cs="Times New Roman"/>
          <w:szCs w:val="28"/>
        </w:rPr>
        <w:t>Кумулятивна (змішана) модель нагляду поєднує державні та приватні механізми. Держава встановлює базові умови страхування та виконує контрольні функції, тоді як приватні страховики можуть пропонувати додаткові продукти</w:t>
      </w:r>
      <w:bookmarkEnd w:id="2"/>
      <w:r w:rsidRPr="00696864">
        <w:rPr>
          <w:rFonts w:cs="Times New Roman"/>
          <w:szCs w:val="28"/>
        </w:rPr>
        <w:t>. Такий підхід дозволяє ширше охопити соціально значущі ризики, проте вимагає чіткої координації між державним і приватним секторами.</w:t>
      </w:r>
    </w:p>
    <w:p w:rsidR="00E83A01" w:rsidRPr="00696864" w:rsidRDefault="00E83A01" w:rsidP="00E83A01">
      <w:pPr>
        <w:spacing w:after="0"/>
        <w:ind w:firstLine="709"/>
        <w:jc w:val="both"/>
        <w:rPr>
          <w:rFonts w:cs="Times New Roman"/>
          <w:szCs w:val="28"/>
        </w:rPr>
      </w:pPr>
      <w:bookmarkStart w:id="3" w:name="_Hlk209522398"/>
      <w:r w:rsidRPr="00696864">
        <w:rPr>
          <w:rFonts w:cs="Times New Roman"/>
          <w:szCs w:val="28"/>
        </w:rPr>
        <w:t xml:space="preserve">Централізована модель (приклад </w:t>
      </w:r>
      <w:r>
        <w:rPr>
          <w:rFonts w:cs="Times New Roman"/>
          <w:szCs w:val="28"/>
        </w:rPr>
        <w:t>-</w:t>
      </w:r>
      <w:r w:rsidRPr="00696864">
        <w:rPr>
          <w:rFonts w:cs="Times New Roman"/>
          <w:szCs w:val="28"/>
        </w:rPr>
        <w:t xml:space="preserve"> </w:t>
      </w:r>
      <w:proofErr w:type="spellStart"/>
      <w:r w:rsidRPr="00696864">
        <w:rPr>
          <w:rFonts w:cs="Times New Roman"/>
          <w:szCs w:val="28"/>
        </w:rPr>
        <w:t>конфуціанська</w:t>
      </w:r>
      <w:proofErr w:type="spellEnd"/>
      <w:r w:rsidRPr="00696864">
        <w:rPr>
          <w:rFonts w:cs="Times New Roman"/>
          <w:szCs w:val="28"/>
        </w:rPr>
        <w:t xml:space="preserve"> модель, що діє в деяких азійських країнах) передбачає домінування держави у сфері страхування. </w:t>
      </w:r>
      <w:bookmarkEnd w:id="3"/>
      <w:r w:rsidRPr="00696864">
        <w:rPr>
          <w:rFonts w:cs="Times New Roman"/>
          <w:szCs w:val="28"/>
        </w:rPr>
        <w:t>Вона ефективна на етапі становлення ринку, оскільки забезпечує контроль за ключовими секторами та гарантує фінансову стабільність. Проте у довгостроковій перспективі надмірна централізація може знижувати конкурентоспроможність ринку, обмежувати інновації та стимулювати сприйняття страхування як додаткового податкового тягаря.</w:t>
      </w:r>
    </w:p>
    <w:p w:rsidR="00E83A01" w:rsidRPr="002838B5" w:rsidRDefault="00E83A01" w:rsidP="00E83A01">
      <w:pPr>
        <w:spacing w:after="0"/>
        <w:ind w:firstLine="709"/>
        <w:jc w:val="both"/>
        <w:rPr>
          <w:rFonts w:cs="Times New Roman"/>
          <w:szCs w:val="28"/>
        </w:rPr>
      </w:pPr>
      <w:bookmarkStart w:id="4" w:name="_Hlk209522417"/>
      <w:r w:rsidRPr="002838B5">
        <w:rPr>
          <w:rFonts w:cs="Times New Roman"/>
          <w:szCs w:val="28"/>
        </w:rPr>
        <w:t xml:space="preserve">На сучасному етапі у вітчизняній та міжнародній практиці розрізняють кілька основних форм нагляду за роботою страхових компаній: ліцензування, </w:t>
      </w:r>
      <w:proofErr w:type="spellStart"/>
      <w:r w:rsidRPr="002838B5">
        <w:rPr>
          <w:rFonts w:cs="Times New Roman"/>
          <w:szCs w:val="28"/>
        </w:rPr>
        <w:t>пруденційний</w:t>
      </w:r>
      <w:proofErr w:type="spellEnd"/>
      <w:r w:rsidRPr="002838B5">
        <w:rPr>
          <w:rFonts w:cs="Times New Roman"/>
          <w:szCs w:val="28"/>
        </w:rPr>
        <w:t xml:space="preserve"> контроль та контроль за веденням бізнесу</w:t>
      </w:r>
      <w:bookmarkEnd w:id="4"/>
      <w:r w:rsidR="009B3FAE">
        <w:rPr>
          <w:rFonts w:cs="Times New Roman"/>
          <w:szCs w:val="28"/>
        </w:rPr>
        <w:t xml:space="preserve">. </w:t>
      </w:r>
      <w:r w:rsidRPr="002838B5">
        <w:rPr>
          <w:rFonts w:cs="Times New Roman"/>
          <w:szCs w:val="28"/>
        </w:rPr>
        <w:t>Ліцензування доцільно віднести до «попереднього» етапу нагляду, адже воно здійснюється ще до фактичного початку діяльності страховика.</w:t>
      </w:r>
    </w:p>
    <w:p w:rsidR="00E83A01" w:rsidRPr="002838B5" w:rsidRDefault="00E83A01" w:rsidP="00E83A01">
      <w:pPr>
        <w:spacing w:after="0"/>
        <w:ind w:firstLine="709"/>
        <w:jc w:val="both"/>
        <w:rPr>
          <w:rFonts w:cs="Times New Roman"/>
          <w:szCs w:val="28"/>
        </w:rPr>
      </w:pPr>
      <w:r w:rsidRPr="002838B5">
        <w:rPr>
          <w:rFonts w:cs="Times New Roman"/>
          <w:szCs w:val="28"/>
        </w:rPr>
        <w:t xml:space="preserve">Щодо </w:t>
      </w:r>
      <w:proofErr w:type="spellStart"/>
      <w:r w:rsidRPr="002838B5">
        <w:rPr>
          <w:rFonts w:cs="Times New Roman"/>
          <w:szCs w:val="28"/>
        </w:rPr>
        <w:t>пруденційного</w:t>
      </w:r>
      <w:proofErr w:type="spellEnd"/>
      <w:r w:rsidRPr="002838B5">
        <w:rPr>
          <w:rFonts w:cs="Times New Roman"/>
          <w:szCs w:val="28"/>
        </w:rPr>
        <w:t xml:space="preserve"> контролю, то варто наголосити, що ані у зарубіжній науковій літературі, ані в правових актах немає єдиного </w:t>
      </w:r>
      <w:r w:rsidRPr="002838B5">
        <w:rPr>
          <w:rFonts w:cs="Times New Roman"/>
          <w:szCs w:val="28"/>
        </w:rPr>
        <w:lastRenderedPageBreak/>
        <w:t xml:space="preserve">трактування цього поняття у сфері страхування. Тому доцільно виокремлювати його у двох аспектах – вузькому та широкому. У вузькому значенні </w:t>
      </w:r>
      <w:proofErr w:type="spellStart"/>
      <w:r w:rsidRPr="002838B5">
        <w:rPr>
          <w:rFonts w:cs="Times New Roman"/>
          <w:szCs w:val="28"/>
        </w:rPr>
        <w:t>пруденційний</w:t>
      </w:r>
      <w:proofErr w:type="spellEnd"/>
      <w:r w:rsidRPr="002838B5">
        <w:rPr>
          <w:rFonts w:cs="Times New Roman"/>
          <w:szCs w:val="28"/>
        </w:rPr>
        <w:t xml:space="preserve"> контроль охоплює виключно фінансові нормативи діяльності страховиків: вимоги до капіталу, рівня платоспроможності, балансу активів і зобов’язань тощо. У той час як австралійське законодавство, навпаки, закріплює широке розуміння цього виду нагляду. Згідно з ним, «</w:t>
      </w:r>
      <w:proofErr w:type="spellStart"/>
      <w:r w:rsidRPr="002838B5">
        <w:rPr>
          <w:rFonts w:cs="Times New Roman"/>
          <w:szCs w:val="28"/>
        </w:rPr>
        <w:t>пруденційні</w:t>
      </w:r>
      <w:proofErr w:type="spellEnd"/>
      <w:r w:rsidRPr="002838B5">
        <w:rPr>
          <w:rFonts w:cs="Times New Roman"/>
          <w:szCs w:val="28"/>
        </w:rPr>
        <w:t xml:space="preserve"> питання» стосуються не лише фінансової стабільності компаній та всієї фінансової системи країни, але й охоплюють професійність страховиків, рівень обережності у прийнятті ризиків та забезпечення довіри до ринку [</w:t>
      </w:r>
      <w:r>
        <w:rPr>
          <w:rFonts w:cs="Times New Roman"/>
          <w:szCs w:val="28"/>
        </w:rPr>
        <w:t>2</w:t>
      </w:r>
      <w:r w:rsidRPr="002838B5">
        <w:rPr>
          <w:rFonts w:cs="Times New Roman"/>
          <w:szCs w:val="28"/>
        </w:rPr>
        <w:t>].</w:t>
      </w:r>
    </w:p>
    <w:p w:rsidR="00E83A01" w:rsidRPr="00696864" w:rsidRDefault="00E83A01" w:rsidP="009B3FAE">
      <w:pPr>
        <w:spacing w:after="0"/>
        <w:ind w:firstLine="709"/>
        <w:jc w:val="both"/>
        <w:rPr>
          <w:rFonts w:cs="Times New Roman"/>
          <w:szCs w:val="28"/>
        </w:rPr>
      </w:pPr>
      <w:r w:rsidRPr="002838B5">
        <w:rPr>
          <w:rFonts w:cs="Times New Roman"/>
          <w:szCs w:val="28"/>
        </w:rPr>
        <w:t xml:space="preserve">У Франції та Італії, де тривалий час діяла централізована модель правового регулювання страхового ринку, акцент поступово змістився саме на </w:t>
      </w:r>
      <w:proofErr w:type="spellStart"/>
      <w:r w:rsidRPr="002838B5">
        <w:rPr>
          <w:rFonts w:cs="Times New Roman"/>
          <w:szCs w:val="28"/>
        </w:rPr>
        <w:t>пруденційний</w:t>
      </w:r>
      <w:proofErr w:type="spellEnd"/>
      <w:r w:rsidRPr="002838B5">
        <w:rPr>
          <w:rFonts w:cs="Times New Roman"/>
          <w:szCs w:val="28"/>
        </w:rPr>
        <w:t xml:space="preserve"> контроль. Такий підхід підкреслює важливість </w:t>
      </w:r>
      <w:proofErr w:type="spellStart"/>
      <w:r w:rsidRPr="002838B5">
        <w:rPr>
          <w:rFonts w:cs="Times New Roman"/>
          <w:szCs w:val="28"/>
        </w:rPr>
        <w:t>ризикоорієнтованого</w:t>
      </w:r>
      <w:proofErr w:type="spellEnd"/>
      <w:r w:rsidRPr="002838B5">
        <w:rPr>
          <w:rFonts w:cs="Times New Roman"/>
          <w:szCs w:val="28"/>
        </w:rPr>
        <w:t xml:space="preserve"> державного нагляду, що передбачає виявлення та зниження загроз у діяльності страхових компаній, а також першочергове забезпечення їхньої платоспроможності</w:t>
      </w:r>
      <w:r w:rsidR="009B3FAE">
        <w:rPr>
          <w:rFonts w:cs="Times New Roman"/>
          <w:szCs w:val="28"/>
        </w:rPr>
        <w:t xml:space="preserve"> </w:t>
      </w:r>
      <w:r w:rsidRPr="002838B5">
        <w:rPr>
          <w:rFonts w:cs="Times New Roman"/>
          <w:szCs w:val="28"/>
        </w:rPr>
        <w:t>[3, с. 137].</w:t>
      </w:r>
      <w:r w:rsidR="009B3FAE">
        <w:rPr>
          <w:rFonts w:cs="Times New Roman"/>
          <w:szCs w:val="28"/>
        </w:rPr>
        <w:t xml:space="preserve"> </w:t>
      </w:r>
      <w:r w:rsidRPr="00696864">
        <w:rPr>
          <w:rFonts w:cs="Times New Roman"/>
          <w:szCs w:val="28"/>
        </w:rPr>
        <w:t xml:space="preserve">Таке впровадження </w:t>
      </w:r>
      <w:proofErr w:type="spellStart"/>
      <w:r w:rsidRPr="00696864">
        <w:rPr>
          <w:rFonts w:cs="Times New Roman"/>
          <w:szCs w:val="28"/>
        </w:rPr>
        <w:t>ризикоорієнтованого</w:t>
      </w:r>
      <w:proofErr w:type="spellEnd"/>
      <w:r w:rsidRPr="00696864">
        <w:rPr>
          <w:rFonts w:cs="Times New Roman"/>
          <w:szCs w:val="28"/>
        </w:rPr>
        <w:t xml:space="preserve"> </w:t>
      </w:r>
      <w:proofErr w:type="spellStart"/>
      <w:r w:rsidRPr="00696864">
        <w:rPr>
          <w:rFonts w:cs="Times New Roman"/>
          <w:szCs w:val="28"/>
        </w:rPr>
        <w:t>пруденційного</w:t>
      </w:r>
      <w:proofErr w:type="spellEnd"/>
      <w:r w:rsidRPr="00696864">
        <w:rPr>
          <w:rFonts w:cs="Times New Roman"/>
          <w:szCs w:val="28"/>
        </w:rPr>
        <w:t xml:space="preserve"> нагляду за фінансовими установами в межах централізованої моделі правового регулювання сфери державного страхування сприяє не тільки реалізації державними органами нормативно-правових, організаційно-контролюючих заходів, спрямованих на захист інтересів споживачів страхових послуг, але й ефективному розвитку страхового ринку в рамках єдиної державної політики загалом. </w:t>
      </w:r>
    </w:p>
    <w:p w:rsidR="00E83A01" w:rsidRPr="00696864" w:rsidRDefault="00E83A01" w:rsidP="00E83A01">
      <w:pPr>
        <w:spacing w:after="0"/>
        <w:ind w:firstLine="709"/>
        <w:jc w:val="both"/>
        <w:rPr>
          <w:rFonts w:cs="Times New Roman"/>
          <w:szCs w:val="28"/>
        </w:rPr>
      </w:pPr>
      <w:r w:rsidRPr="00696864">
        <w:rPr>
          <w:rFonts w:cs="Times New Roman"/>
          <w:szCs w:val="28"/>
        </w:rPr>
        <w:t>Також в ряді країн регулювання страхового сектору здійснюється на основі ризик-орієнтованого підходу, який передбачає системну оцінку, контроль і управління різними видами ризиків. Наприклад, у Норвегії наглядова діяльність базується на аналізі ризиків та охоплює ринкові, кредитні, операційні ризики, а також ризик ліквідності.</w:t>
      </w:r>
    </w:p>
    <w:p w:rsidR="00E83A01" w:rsidRPr="00696864" w:rsidRDefault="00E83A01" w:rsidP="00E83A01">
      <w:pPr>
        <w:spacing w:after="0"/>
        <w:ind w:firstLine="709"/>
        <w:jc w:val="both"/>
        <w:rPr>
          <w:rFonts w:cs="Times New Roman"/>
          <w:szCs w:val="28"/>
        </w:rPr>
      </w:pPr>
      <w:r w:rsidRPr="00696864">
        <w:rPr>
          <w:rFonts w:cs="Times New Roman"/>
          <w:szCs w:val="28"/>
        </w:rPr>
        <w:t xml:space="preserve">В Австрії особливості ризик-орієнтованого нагляду включають послідовну оцінку ризиків з впровадженням ефективних заходів, координацію на національному та міжнародному рівнях, </w:t>
      </w:r>
      <w:proofErr w:type="spellStart"/>
      <w:r w:rsidRPr="00696864">
        <w:rPr>
          <w:rFonts w:cs="Times New Roman"/>
          <w:szCs w:val="28"/>
        </w:rPr>
        <w:t>пруденційний</w:t>
      </w:r>
      <w:proofErr w:type="spellEnd"/>
      <w:r w:rsidRPr="00696864">
        <w:rPr>
          <w:rFonts w:cs="Times New Roman"/>
          <w:szCs w:val="28"/>
        </w:rPr>
        <w:t xml:space="preserve"> нагляд як запоруку ефективності та врахування всіх причинно-наслідкових зв’язків. Департамент фінансового ринку Австрії (</w:t>
      </w:r>
      <w:proofErr w:type="spellStart"/>
      <w:r w:rsidRPr="00696864">
        <w:rPr>
          <w:rFonts w:cs="Times New Roman"/>
          <w:szCs w:val="28"/>
        </w:rPr>
        <w:t>Austrian</w:t>
      </w:r>
      <w:proofErr w:type="spellEnd"/>
      <w:r w:rsidRPr="00696864">
        <w:rPr>
          <w:rFonts w:cs="Times New Roman"/>
          <w:szCs w:val="28"/>
        </w:rPr>
        <w:t xml:space="preserve"> </w:t>
      </w:r>
      <w:proofErr w:type="spellStart"/>
      <w:r w:rsidRPr="00696864">
        <w:rPr>
          <w:rFonts w:cs="Times New Roman"/>
          <w:szCs w:val="28"/>
        </w:rPr>
        <w:t>Financial</w:t>
      </w:r>
      <w:proofErr w:type="spellEnd"/>
      <w:r w:rsidRPr="00696864">
        <w:rPr>
          <w:rFonts w:cs="Times New Roman"/>
          <w:szCs w:val="28"/>
        </w:rPr>
        <w:t xml:space="preserve"> </w:t>
      </w:r>
      <w:proofErr w:type="spellStart"/>
      <w:r w:rsidRPr="00696864">
        <w:rPr>
          <w:rFonts w:cs="Times New Roman"/>
          <w:szCs w:val="28"/>
        </w:rPr>
        <w:t>Market</w:t>
      </w:r>
      <w:proofErr w:type="spellEnd"/>
      <w:r w:rsidRPr="00696864">
        <w:rPr>
          <w:rFonts w:cs="Times New Roman"/>
          <w:szCs w:val="28"/>
        </w:rPr>
        <w:t xml:space="preserve"> </w:t>
      </w:r>
      <w:proofErr w:type="spellStart"/>
      <w:r w:rsidRPr="00696864">
        <w:rPr>
          <w:rFonts w:cs="Times New Roman"/>
          <w:szCs w:val="28"/>
        </w:rPr>
        <w:t>Authority</w:t>
      </w:r>
      <w:proofErr w:type="spellEnd"/>
      <w:r w:rsidRPr="00696864">
        <w:rPr>
          <w:rFonts w:cs="Times New Roman"/>
          <w:szCs w:val="28"/>
        </w:rPr>
        <w:t>, FMA) уповноважений встановлювати обов’язкові стандарти через постанови та адміністративні рішення, застосовувати примусові заходи, такі як відкликання ліцензій або звільнення директорів, а також накладати штрафи на фізичних осіб до 5 млн євро та на юридичних осіб до 10 млн євро або 15% загального чистого обороту, якщо сума перевищує 10 млн євро.</w:t>
      </w:r>
    </w:p>
    <w:p w:rsidR="00E83A01" w:rsidRPr="00696864" w:rsidRDefault="00E83A01" w:rsidP="00E83A01">
      <w:pPr>
        <w:spacing w:after="0"/>
        <w:ind w:firstLine="709"/>
        <w:jc w:val="both"/>
        <w:rPr>
          <w:rFonts w:cs="Times New Roman"/>
          <w:szCs w:val="28"/>
        </w:rPr>
      </w:pPr>
      <w:r w:rsidRPr="00696864">
        <w:rPr>
          <w:rFonts w:cs="Times New Roman"/>
          <w:szCs w:val="28"/>
        </w:rPr>
        <w:t>У Данії Департамент фінансового нагляду (FSA) організовує регулювання на основі суттєвості ризиків. Підвищений ризик може виникати через складність регуляторних вимог, історію порушень або нові правила з певним періодом адаптації. Для сфер з відносно низьким ризиком застосовуються вибіркові перевірки, а у випадку мінімальних ризиків нагляд може здійснюватися лише через аналіз звітності та офіційної інформації.</w:t>
      </w:r>
    </w:p>
    <w:p w:rsidR="00E83A01" w:rsidRPr="00696864" w:rsidRDefault="00E83A01" w:rsidP="00E83A01">
      <w:pPr>
        <w:spacing w:after="0"/>
        <w:ind w:firstLine="709"/>
        <w:jc w:val="both"/>
        <w:rPr>
          <w:rFonts w:cs="Times New Roman"/>
          <w:szCs w:val="28"/>
        </w:rPr>
      </w:pPr>
      <w:r w:rsidRPr="00696864">
        <w:rPr>
          <w:rFonts w:cs="Times New Roman"/>
          <w:szCs w:val="28"/>
        </w:rPr>
        <w:t xml:space="preserve">В Естонії страхове регулювання зосереджене на аналізі ризиків суб’єктів страхового ринку та забезпеченні прозорості, надійності та </w:t>
      </w:r>
      <w:r w:rsidRPr="00696864">
        <w:rPr>
          <w:rFonts w:cs="Times New Roman"/>
          <w:szCs w:val="28"/>
        </w:rPr>
        <w:lastRenderedPageBreak/>
        <w:t>ефективності страхових послуг. Управління фінансового нагляду Естонії (</w:t>
      </w:r>
      <w:proofErr w:type="spellStart"/>
      <w:r w:rsidRPr="00696864">
        <w:rPr>
          <w:rFonts w:cs="Times New Roman"/>
          <w:szCs w:val="28"/>
        </w:rPr>
        <w:t>Estonian</w:t>
      </w:r>
      <w:proofErr w:type="spellEnd"/>
      <w:r w:rsidRPr="00696864">
        <w:rPr>
          <w:rFonts w:cs="Times New Roman"/>
          <w:szCs w:val="28"/>
        </w:rPr>
        <w:t xml:space="preserve"> </w:t>
      </w:r>
      <w:proofErr w:type="spellStart"/>
      <w:r w:rsidRPr="00696864">
        <w:rPr>
          <w:rFonts w:cs="Times New Roman"/>
          <w:szCs w:val="28"/>
        </w:rPr>
        <w:t>Financial</w:t>
      </w:r>
      <w:proofErr w:type="spellEnd"/>
      <w:r w:rsidRPr="00696864">
        <w:rPr>
          <w:rFonts w:cs="Times New Roman"/>
          <w:szCs w:val="28"/>
        </w:rPr>
        <w:t xml:space="preserve"> </w:t>
      </w:r>
      <w:proofErr w:type="spellStart"/>
      <w:r w:rsidRPr="00696864">
        <w:rPr>
          <w:rFonts w:cs="Times New Roman"/>
          <w:szCs w:val="28"/>
        </w:rPr>
        <w:t>Supervision</w:t>
      </w:r>
      <w:proofErr w:type="spellEnd"/>
      <w:r w:rsidRPr="00696864">
        <w:rPr>
          <w:rFonts w:cs="Times New Roman"/>
          <w:szCs w:val="28"/>
        </w:rPr>
        <w:t xml:space="preserve"> </w:t>
      </w:r>
      <w:proofErr w:type="spellStart"/>
      <w:r w:rsidRPr="00696864">
        <w:rPr>
          <w:rFonts w:cs="Times New Roman"/>
          <w:szCs w:val="28"/>
        </w:rPr>
        <w:t>Authority</w:t>
      </w:r>
      <w:proofErr w:type="spellEnd"/>
      <w:r w:rsidRPr="00696864">
        <w:rPr>
          <w:rFonts w:cs="Times New Roman"/>
          <w:szCs w:val="28"/>
        </w:rPr>
        <w:t xml:space="preserve">, EFSA) ставить за мету підтримку стабільності страхової системи, підвищення ефективності ринку через зменшення системних ризиків та запобігання зловживанням. З 2015 року EFSA також виконує функції органу врегулювання криз разом із </w:t>
      </w:r>
      <w:proofErr w:type="spellStart"/>
      <w:r w:rsidRPr="00696864">
        <w:rPr>
          <w:rFonts w:cs="Times New Roman"/>
          <w:szCs w:val="28"/>
        </w:rPr>
        <w:t>Eesti</w:t>
      </w:r>
      <w:proofErr w:type="spellEnd"/>
      <w:r w:rsidRPr="00696864">
        <w:rPr>
          <w:rFonts w:cs="Times New Roman"/>
          <w:szCs w:val="28"/>
        </w:rPr>
        <w:t xml:space="preserve"> </w:t>
      </w:r>
      <w:proofErr w:type="spellStart"/>
      <w:r w:rsidRPr="00696864">
        <w:rPr>
          <w:rFonts w:cs="Times New Roman"/>
          <w:szCs w:val="28"/>
        </w:rPr>
        <w:t>Pank</w:t>
      </w:r>
      <w:proofErr w:type="spellEnd"/>
      <w:r w:rsidRPr="00696864">
        <w:rPr>
          <w:rFonts w:cs="Times New Roman"/>
          <w:szCs w:val="28"/>
        </w:rPr>
        <w:t xml:space="preserve"> у рамках Європейської ради системних ризиків (ESRB) [23, c.75]. </w:t>
      </w:r>
    </w:p>
    <w:p w:rsidR="00E83A01" w:rsidRPr="00696864" w:rsidRDefault="00E83A01" w:rsidP="00E83A01">
      <w:pPr>
        <w:spacing w:after="0"/>
        <w:ind w:firstLine="709"/>
        <w:jc w:val="both"/>
        <w:rPr>
          <w:rFonts w:cs="Times New Roman"/>
          <w:szCs w:val="28"/>
        </w:rPr>
      </w:pPr>
      <w:r w:rsidRPr="00696864">
        <w:rPr>
          <w:rFonts w:cs="Times New Roman"/>
          <w:szCs w:val="28"/>
        </w:rPr>
        <w:t xml:space="preserve">В Ірландії нагляд за страховим сектором здійснюється на основі національного законодавства та європейських директив. </w:t>
      </w:r>
      <w:proofErr w:type="spellStart"/>
      <w:r w:rsidRPr="00696864">
        <w:rPr>
          <w:rFonts w:cs="Times New Roman"/>
          <w:szCs w:val="28"/>
        </w:rPr>
        <w:t>ентральний</w:t>
      </w:r>
      <w:proofErr w:type="spellEnd"/>
      <w:r w:rsidRPr="00696864">
        <w:rPr>
          <w:rFonts w:cs="Times New Roman"/>
          <w:szCs w:val="28"/>
        </w:rPr>
        <w:t xml:space="preserve"> банк має чітко визначений мандат забезпечувати фінансову стабільність як на національному, так і на європейському рівні шляхом удосконалення </w:t>
      </w:r>
      <w:proofErr w:type="spellStart"/>
      <w:r w:rsidRPr="00696864">
        <w:rPr>
          <w:rFonts w:cs="Times New Roman"/>
          <w:szCs w:val="28"/>
        </w:rPr>
        <w:t>макропруденційної</w:t>
      </w:r>
      <w:proofErr w:type="spellEnd"/>
      <w:r w:rsidRPr="00696864">
        <w:rPr>
          <w:rFonts w:cs="Times New Roman"/>
          <w:szCs w:val="28"/>
        </w:rPr>
        <w:t xml:space="preserve"> політики, розробки системи індикаторів для оцінки системних ризиків, створення </w:t>
      </w:r>
      <w:proofErr w:type="spellStart"/>
      <w:r w:rsidRPr="00696864">
        <w:rPr>
          <w:rFonts w:cs="Times New Roman"/>
          <w:szCs w:val="28"/>
        </w:rPr>
        <w:t>макропруденційних</w:t>
      </w:r>
      <w:proofErr w:type="spellEnd"/>
      <w:r w:rsidRPr="00696864">
        <w:rPr>
          <w:rFonts w:cs="Times New Roman"/>
          <w:szCs w:val="28"/>
        </w:rPr>
        <w:t xml:space="preserve"> інструментів для мінімізації нових ризиків, а також проведення аналітичних досліджень для оцінки ефективності цих заходів. Наглядові процеси інтегрують оцінку ризиків та контроль за страховиками у рамках єдиного наглядового механізму, включно з моніторингом регуляторної звітності.</w:t>
      </w:r>
    </w:p>
    <w:p w:rsidR="00E83A01" w:rsidRDefault="00E83A01" w:rsidP="00E83A01">
      <w:pPr>
        <w:spacing w:after="0"/>
        <w:ind w:firstLine="709"/>
        <w:jc w:val="both"/>
        <w:rPr>
          <w:rFonts w:cs="Times New Roman"/>
          <w:szCs w:val="28"/>
        </w:rPr>
      </w:pPr>
      <w:r w:rsidRPr="005A531D">
        <w:rPr>
          <w:rFonts w:cs="Times New Roman"/>
          <w:szCs w:val="28"/>
        </w:rPr>
        <w:t>В Україні регулювання та нагляд за страховими компаніями, подібно до банківського сектору, здійснюється за ризик-орієнтованим підходом, який передбачає оцінку діяльності компаній залежно від рівня їхніх ризиків. Значну увагу приділено формуванню належної практики роботи страховиків і забезпеченню добросовісної поведінки щодо страхувальників. Національний банк України запроваджує механізми контролю ринкової поведінки та відповідні інструменти нагляду, спрямовані на ефективний захист прав клієнтів. Регулятор бере на себе провідну роль у розвитку стабільного та надійного страхового сектору, популяризуючи належну страхову практику та підкреслюючи її важливість і переваги як на мікро-, так і на макрорівні.</w:t>
      </w:r>
    </w:p>
    <w:p w:rsidR="00E83A01" w:rsidRPr="00696864" w:rsidRDefault="00E83A01" w:rsidP="00E83A01">
      <w:pPr>
        <w:spacing w:after="0"/>
        <w:ind w:firstLine="709"/>
        <w:jc w:val="both"/>
        <w:rPr>
          <w:rFonts w:cs="Times New Roman"/>
          <w:szCs w:val="28"/>
        </w:rPr>
      </w:pPr>
      <w:r w:rsidRPr="00696864">
        <w:rPr>
          <w:rFonts w:cs="Times New Roman"/>
          <w:szCs w:val="28"/>
        </w:rPr>
        <w:t xml:space="preserve">Отже, держави‑учасниці ЄС успішно поєднали підходи державного регулювання і саморегулювання страхового ринку, залишивши простір для конкурентоспроможності страховиків при укладанні страхових договорів та зменшивши державне втручання в їхню діяльність.  </w:t>
      </w:r>
    </w:p>
    <w:p w:rsidR="00E83A01" w:rsidRPr="009B3FAE" w:rsidRDefault="00E83A01" w:rsidP="009B3FAE">
      <w:pPr>
        <w:tabs>
          <w:tab w:val="left" w:pos="993"/>
        </w:tabs>
        <w:spacing w:after="0"/>
        <w:ind w:firstLine="709"/>
        <w:jc w:val="center"/>
        <w:rPr>
          <w:rFonts w:cs="Times New Roman"/>
          <w:b/>
          <w:bCs/>
          <w:szCs w:val="28"/>
        </w:rPr>
      </w:pPr>
      <w:r w:rsidRPr="009B3FAE">
        <w:rPr>
          <w:rFonts w:cs="Times New Roman"/>
          <w:b/>
          <w:bCs/>
          <w:szCs w:val="28"/>
        </w:rPr>
        <w:t>Література</w:t>
      </w:r>
    </w:p>
    <w:p w:rsidR="00E83A01" w:rsidRPr="00E83A01" w:rsidRDefault="00E83A01" w:rsidP="009B3FAE">
      <w:pPr>
        <w:pStyle w:val="aa"/>
        <w:numPr>
          <w:ilvl w:val="0"/>
          <w:numId w:val="1"/>
        </w:numPr>
        <w:tabs>
          <w:tab w:val="left" w:pos="993"/>
        </w:tabs>
        <w:spacing w:after="0"/>
        <w:ind w:left="0" w:firstLine="709"/>
        <w:jc w:val="both"/>
        <w:rPr>
          <w:rFonts w:cs="Times New Roman"/>
          <w:szCs w:val="28"/>
        </w:rPr>
      </w:pPr>
      <w:proofErr w:type="spellStart"/>
      <w:r w:rsidRPr="00E83A01">
        <w:rPr>
          <w:rFonts w:cs="Times New Roman"/>
          <w:szCs w:val="28"/>
        </w:rPr>
        <w:t>Федорюк</w:t>
      </w:r>
      <w:proofErr w:type="spellEnd"/>
      <w:r w:rsidRPr="00E83A01">
        <w:rPr>
          <w:rFonts w:cs="Times New Roman"/>
          <w:szCs w:val="28"/>
        </w:rPr>
        <w:t xml:space="preserve"> Л.В. Моделі правового регулювання сфери державного страхування: порівняльно-правовий аналіз. Юридичний науковий електронний журнал. 2024. №12. С.286-289</w:t>
      </w:r>
    </w:p>
    <w:p w:rsidR="00E83A01" w:rsidRPr="00696864" w:rsidRDefault="00E83A01" w:rsidP="009B3FAE">
      <w:pPr>
        <w:pStyle w:val="aa"/>
        <w:numPr>
          <w:ilvl w:val="0"/>
          <w:numId w:val="1"/>
        </w:numPr>
        <w:tabs>
          <w:tab w:val="left" w:pos="993"/>
        </w:tabs>
        <w:spacing w:after="0"/>
        <w:ind w:left="0" w:firstLine="709"/>
        <w:jc w:val="both"/>
        <w:rPr>
          <w:color w:val="000000" w:themeColor="text1"/>
          <w:szCs w:val="28"/>
        </w:rPr>
      </w:pPr>
      <w:bookmarkStart w:id="5" w:name="_Hlk209520875"/>
      <w:r w:rsidRPr="00696864">
        <w:rPr>
          <w:color w:val="000000" w:themeColor="text1"/>
          <w:szCs w:val="28"/>
        </w:rPr>
        <w:t xml:space="preserve">Юхименко В.М. </w:t>
      </w:r>
      <w:bookmarkEnd w:id="5"/>
      <w:r w:rsidRPr="00696864">
        <w:rPr>
          <w:color w:val="000000" w:themeColor="text1"/>
          <w:szCs w:val="28"/>
        </w:rPr>
        <w:t xml:space="preserve">Страховий ринок України в контексті впровадження вимог SOLVENCY II. </w:t>
      </w:r>
      <w:r w:rsidRPr="00696864">
        <w:rPr>
          <w:i/>
          <w:iCs/>
          <w:color w:val="000000" w:themeColor="text1"/>
          <w:szCs w:val="28"/>
        </w:rPr>
        <w:t>Науковий вісник Ужгородського національного університету. Серія: Міжнародні економічні відносини та світове господарство.</w:t>
      </w:r>
      <w:r w:rsidRPr="00696864">
        <w:rPr>
          <w:color w:val="000000" w:themeColor="text1"/>
          <w:szCs w:val="28"/>
        </w:rPr>
        <w:t xml:space="preserve"> 2017. Вип. 12. Ч. 2. С. 190–193. </w:t>
      </w:r>
    </w:p>
    <w:p w:rsidR="00E83A01" w:rsidRPr="00696864" w:rsidRDefault="00E83A01" w:rsidP="009B3FAE">
      <w:pPr>
        <w:pStyle w:val="aa"/>
        <w:numPr>
          <w:ilvl w:val="0"/>
          <w:numId w:val="1"/>
        </w:numPr>
        <w:tabs>
          <w:tab w:val="left" w:pos="993"/>
        </w:tabs>
        <w:spacing w:after="0"/>
        <w:ind w:left="0" w:firstLine="709"/>
        <w:jc w:val="both"/>
        <w:rPr>
          <w:color w:val="000000" w:themeColor="text1"/>
          <w:szCs w:val="28"/>
        </w:rPr>
      </w:pPr>
      <w:bookmarkStart w:id="6" w:name="_Hlk209520839"/>
      <w:r w:rsidRPr="00696864">
        <w:rPr>
          <w:color w:val="000000" w:themeColor="text1"/>
          <w:szCs w:val="28"/>
        </w:rPr>
        <w:t xml:space="preserve">Морозова Л., Тимощук О. </w:t>
      </w:r>
      <w:bookmarkEnd w:id="6"/>
      <w:r w:rsidRPr="00696864">
        <w:rPr>
          <w:color w:val="000000" w:themeColor="text1"/>
          <w:szCs w:val="28"/>
        </w:rPr>
        <w:t xml:space="preserve">Розвиток державного регулювання страхової діяльності в Україні. </w:t>
      </w:r>
      <w:r w:rsidRPr="00696864">
        <w:rPr>
          <w:i/>
          <w:iCs/>
          <w:color w:val="000000" w:themeColor="text1"/>
          <w:szCs w:val="28"/>
        </w:rPr>
        <w:t>Проблеми і перспективи економіки та управління</w:t>
      </w:r>
      <w:r w:rsidRPr="00696864">
        <w:rPr>
          <w:color w:val="000000" w:themeColor="text1"/>
          <w:szCs w:val="28"/>
        </w:rPr>
        <w:t>. 2021. № 2(26). С. 134–140</w:t>
      </w:r>
    </w:p>
    <w:p w:rsidR="00E83A01" w:rsidRPr="009B3FAE" w:rsidRDefault="00E83A01" w:rsidP="009B3FAE">
      <w:pPr>
        <w:pStyle w:val="aa"/>
        <w:numPr>
          <w:ilvl w:val="0"/>
          <w:numId w:val="1"/>
        </w:numPr>
        <w:tabs>
          <w:tab w:val="left" w:pos="993"/>
        </w:tabs>
        <w:spacing w:after="0"/>
        <w:ind w:left="0" w:firstLine="709"/>
        <w:jc w:val="both"/>
        <w:rPr>
          <w:color w:val="000000" w:themeColor="text1"/>
          <w:szCs w:val="28"/>
        </w:rPr>
      </w:pPr>
      <w:r w:rsidRPr="00696864">
        <w:rPr>
          <w:color w:val="000000" w:themeColor="text1"/>
          <w:szCs w:val="28"/>
        </w:rPr>
        <w:t>Войтович Л. Європейський досвід державного регулювання страхової системи та можливості його впровадження в Україні. </w:t>
      </w:r>
      <w:r w:rsidRPr="00696864">
        <w:rPr>
          <w:i/>
          <w:iCs/>
          <w:color w:val="000000" w:themeColor="text1"/>
          <w:szCs w:val="28"/>
        </w:rPr>
        <w:t>Вчені записки Університету «КРОК»</w:t>
      </w:r>
      <w:r w:rsidRPr="00696864">
        <w:rPr>
          <w:color w:val="000000" w:themeColor="text1"/>
          <w:szCs w:val="28"/>
        </w:rPr>
        <w:t>. 2021. № 3(63). С. 73–79.</w:t>
      </w:r>
    </w:p>
    <w:sectPr w:rsidR="00E83A01" w:rsidRPr="009B3FAE" w:rsidSect="002F6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77C5F"/>
    <w:multiLevelType w:val="hybridMultilevel"/>
    <w:tmpl w:val="336873C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5B064B5C"/>
    <w:multiLevelType w:val="hybridMultilevel"/>
    <w:tmpl w:val="0F6E2B68"/>
    <w:lvl w:ilvl="0" w:tplc="27CC2F18">
      <w:start w:val="1"/>
      <w:numFmt w:val="decimal"/>
      <w:lvlText w:val="%1."/>
      <w:lvlJc w:val="left"/>
      <w:pPr>
        <w:ind w:left="1081" w:hanging="37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F70BC"/>
    <w:rsid w:val="002F6466"/>
    <w:rsid w:val="004B099C"/>
    <w:rsid w:val="005330B3"/>
    <w:rsid w:val="006F70BC"/>
    <w:rsid w:val="009B3FAE"/>
    <w:rsid w:val="00C87E6A"/>
    <w:rsid w:val="00C9098A"/>
    <w:rsid w:val="00D81860"/>
    <w:rsid w:val="00E83A01"/>
    <w:rsid w:val="00EE3B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ind w:left="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A01"/>
    <w:pPr>
      <w:spacing w:line="240" w:lineRule="auto"/>
      <w:ind w:left="0"/>
    </w:pPr>
    <w:rPr>
      <w:rFonts w:ascii="Times New Roman" w:hAnsi="Times New Roman"/>
      <w:kern w:val="2"/>
      <w:sz w:val="28"/>
    </w:rPr>
  </w:style>
  <w:style w:type="paragraph" w:styleId="1">
    <w:name w:val="heading 1"/>
    <w:basedOn w:val="a"/>
    <w:next w:val="a"/>
    <w:link w:val="10"/>
    <w:uiPriority w:val="9"/>
    <w:qFormat/>
    <w:rsid w:val="00C9098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098A"/>
    <w:pPr>
      <w:keepNext/>
      <w:spacing w:before="240" w:after="60"/>
      <w:outlineLvl w:val="1"/>
    </w:pPr>
    <w:rPr>
      <w:rFonts w:asciiTheme="majorHAnsi" w:eastAsiaTheme="majorEastAsia" w:hAnsiTheme="majorHAnsi"/>
      <w:b/>
      <w:bCs/>
      <w:i/>
      <w:iCs/>
    </w:rPr>
  </w:style>
  <w:style w:type="paragraph" w:styleId="3">
    <w:name w:val="heading 3"/>
    <w:basedOn w:val="a"/>
    <w:next w:val="a"/>
    <w:link w:val="30"/>
    <w:uiPriority w:val="9"/>
    <w:semiHidden/>
    <w:unhideWhenUsed/>
    <w:qFormat/>
    <w:rsid w:val="00C9098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098A"/>
    <w:pPr>
      <w:keepNext/>
      <w:spacing w:before="240" w:after="60"/>
      <w:outlineLvl w:val="3"/>
    </w:pPr>
    <w:rPr>
      <w:b/>
      <w:bCs/>
    </w:rPr>
  </w:style>
  <w:style w:type="paragraph" w:styleId="5">
    <w:name w:val="heading 5"/>
    <w:basedOn w:val="a"/>
    <w:next w:val="a"/>
    <w:link w:val="50"/>
    <w:uiPriority w:val="9"/>
    <w:semiHidden/>
    <w:unhideWhenUsed/>
    <w:qFormat/>
    <w:rsid w:val="00C9098A"/>
    <w:pPr>
      <w:spacing w:before="240" w:after="60"/>
      <w:outlineLvl w:val="4"/>
    </w:pPr>
    <w:rPr>
      <w:b/>
      <w:bCs/>
      <w:i/>
      <w:iCs/>
      <w:sz w:val="26"/>
      <w:szCs w:val="26"/>
    </w:rPr>
  </w:style>
  <w:style w:type="paragraph" w:styleId="6">
    <w:name w:val="heading 6"/>
    <w:basedOn w:val="a"/>
    <w:next w:val="a"/>
    <w:link w:val="60"/>
    <w:uiPriority w:val="9"/>
    <w:semiHidden/>
    <w:unhideWhenUsed/>
    <w:qFormat/>
    <w:rsid w:val="00C9098A"/>
    <w:pPr>
      <w:spacing w:before="240" w:after="60"/>
      <w:outlineLvl w:val="5"/>
    </w:pPr>
    <w:rPr>
      <w:b/>
      <w:bCs/>
    </w:rPr>
  </w:style>
  <w:style w:type="paragraph" w:styleId="7">
    <w:name w:val="heading 7"/>
    <w:basedOn w:val="a"/>
    <w:next w:val="a"/>
    <w:link w:val="70"/>
    <w:uiPriority w:val="9"/>
    <w:semiHidden/>
    <w:unhideWhenUsed/>
    <w:qFormat/>
    <w:rsid w:val="00C9098A"/>
    <w:pPr>
      <w:spacing w:before="240" w:after="60"/>
      <w:outlineLvl w:val="6"/>
    </w:pPr>
  </w:style>
  <w:style w:type="paragraph" w:styleId="8">
    <w:name w:val="heading 8"/>
    <w:basedOn w:val="a"/>
    <w:next w:val="a"/>
    <w:link w:val="80"/>
    <w:uiPriority w:val="9"/>
    <w:semiHidden/>
    <w:unhideWhenUsed/>
    <w:qFormat/>
    <w:rsid w:val="00C9098A"/>
    <w:pPr>
      <w:spacing w:before="240" w:after="60"/>
      <w:outlineLvl w:val="7"/>
    </w:pPr>
    <w:rPr>
      <w:i/>
      <w:iCs/>
    </w:rPr>
  </w:style>
  <w:style w:type="paragraph" w:styleId="9">
    <w:name w:val="heading 9"/>
    <w:basedOn w:val="a"/>
    <w:next w:val="a"/>
    <w:link w:val="90"/>
    <w:uiPriority w:val="9"/>
    <w:semiHidden/>
    <w:unhideWhenUsed/>
    <w:qFormat/>
    <w:rsid w:val="00C9098A"/>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98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C9098A"/>
    <w:rPr>
      <w:rFonts w:asciiTheme="majorHAnsi" w:eastAsiaTheme="majorEastAsia" w:hAnsiTheme="majorHAnsi"/>
      <w:b/>
      <w:bCs/>
      <w:i/>
      <w:iCs/>
    </w:rPr>
  </w:style>
  <w:style w:type="character" w:customStyle="1" w:styleId="30">
    <w:name w:val="Заголовок 3 Знак"/>
    <w:basedOn w:val="a0"/>
    <w:link w:val="3"/>
    <w:uiPriority w:val="9"/>
    <w:semiHidden/>
    <w:rsid w:val="00C9098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9098A"/>
    <w:rPr>
      <w:b/>
      <w:bCs/>
    </w:rPr>
  </w:style>
  <w:style w:type="character" w:customStyle="1" w:styleId="50">
    <w:name w:val="Заголовок 5 Знак"/>
    <w:basedOn w:val="a0"/>
    <w:link w:val="5"/>
    <w:uiPriority w:val="9"/>
    <w:semiHidden/>
    <w:rsid w:val="00C9098A"/>
    <w:rPr>
      <w:b/>
      <w:bCs/>
      <w:i/>
      <w:iCs/>
      <w:sz w:val="26"/>
      <w:szCs w:val="26"/>
    </w:rPr>
  </w:style>
  <w:style w:type="character" w:customStyle="1" w:styleId="60">
    <w:name w:val="Заголовок 6 Знак"/>
    <w:basedOn w:val="a0"/>
    <w:link w:val="6"/>
    <w:uiPriority w:val="9"/>
    <w:semiHidden/>
    <w:rsid w:val="00C9098A"/>
    <w:rPr>
      <w:b/>
      <w:bCs/>
      <w:sz w:val="22"/>
      <w:szCs w:val="22"/>
    </w:rPr>
  </w:style>
  <w:style w:type="character" w:customStyle="1" w:styleId="70">
    <w:name w:val="Заголовок 7 Знак"/>
    <w:basedOn w:val="a0"/>
    <w:link w:val="7"/>
    <w:uiPriority w:val="9"/>
    <w:semiHidden/>
    <w:rsid w:val="00C9098A"/>
  </w:style>
  <w:style w:type="character" w:customStyle="1" w:styleId="80">
    <w:name w:val="Заголовок 8 Знак"/>
    <w:basedOn w:val="a0"/>
    <w:link w:val="8"/>
    <w:uiPriority w:val="9"/>
    <w:semiHidden/>
    <w:rsid w:val="00C9098A"/>
    <w:rPr>
      <w:i/>
      <w:iCs/>
    </w:rPr>
  </w:style>
  <w:style w:type="character" w:customStyle="1" w:styleId="90">
    <w:name w:val="Заголовок 9 Знак"/>
    <w:basedOn w:val="a0"/>
    <w:link w:val="9"/>
    <w:uiPriority w:val="9"/>
    <w:semiHidden/>
    <w:rsid w:val="00C9098A"/>
    <w:rPr>
      <w:rFonts w:asciiTheme="majorHAnsi" w:eastAsiaTheme="majorEastAsia" w:hAnsiTheme="majorHAnsi"/>
      <w:sz w:val="22"/>
      <w:szCs w:val="22"/>
    </w:rPr>
  </w:style>
  <w:style w:type="paragraph" w:styleId="a3">
    <w:name w:val="Title"/>
    <w:basedOn w:val="a"/>
    <w:next w:val="a"/>
    <w:link w:val="a4"/>
    <w:uiPriority w:val="10"/>
    <w:qFormat/>
    <w:rsid w:val="00C9098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C9098A"/>
    <w:rPr>
      <w:rFonts w:asciiTheme="majorHAnsi" w:eastAsiaTheme="majorEastAsia" w:hAnsiTheme="majorHAnsi"/>
      <w:b/>
      <w:bCs/>
      <w:kern w:val="28"/>
      <w:sz w:val="32"/>
      <w:szCs w:val="32"/>
    </w:rPr>
  </w:style>
  <w:style w:type="paragraph" w:styleId="a5">
    <w:name w:val="Subtitle"/>
    <w:basedOn w:val="a"/>
    <w:next w:val="a"/>
    <w:link w:val="a6"/>
    <w:uiPriority w:val="11"/>
    <w:qFormat/>
    <w:rsid w:val="00C9098A"/>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C9098A"/>
    <w:rPr>
      <w:rFonts w:asciiTheme="majorHAnsi" w:eastAsiaTheme="majorEastAsia" w:hAnsiTheme="majorHAnsi"/>
    </w:rPr>
  </w:style>
  <w:style w:type="character" w:styleId="a7">
    <w:name w:val="Strong"/>
    <w:basedOn w:val="a0"/>
    <w:uiPriority w:val="22"/>
    <w:qFormat/>
    <w:rsid w:val="00C9098A"/>
    <w:rPr>
      <w:b/>
      <w:bCs/>
    </w:rPr>
  </w:style>
  <w:style w:type="character" w:styleId="a8">
    <w:name w:val="Emphasis"/>
    <w:basedOn w:val="a0"/>
    <w:uiPriority w:val="20"/>
    <w:qFormat/>
    <w:rsid w:val="00C9098A"/>
    <w:rPr>
      <w:rFonts w:asciiTheme="minorHAnsi" w:hAnsiTheme="minorHAnsi"/>
      <w:b/>
      <w:i/>
      <w:iCs/>
    </w:rPr>
  </w:style>
  <w:style w:type="paragraph" w:styleId="a9">
    <w:name w:val="No Spacing"/>
    <w:basedOn w:val="a"/>
    <w:uiPriority w:val="1"/>
    <w:qFormat/>
    <w:rsid w:val="00C9098A"/>
    <w:rPr>
      <w:szCs w:val="32"/>
    </w:rPr>
  </w:style>
  <w:style w:type="paragraph" w:styleId="aa">
    <w:name w:val="List Paragraph"/>
    <w:basedOn w:val="a"/>
    <w:link w:val="ab"/>
    <w:uiPriority w:val="34"/>
    <w:qFormat/>
    <w:rsid w:val="00C9098A"/>
    <w:pPr>
      <w:ind w:left="720"/>
      <w:contextualSpacing/>
    </w:pPr>
  </w:style>
  <w:style w:type="paragraph" w:styleId="ac">
    <w:name w:val="Quote"/>
    <w:basedOn w:val="a"/>
    <w:next w:val="a"/>
    <w:link w:val="ad"/>
    <w:uiPriority w:val="29"/>
    <w:qFormat/>
    <w:rsid w:val="00C9098A"/>
    <w:rPr>
      <w:i/>
    </w:rPr>
  </w:style>
  <w:style w:type="character" w:customStyle="1" w:styleId="ad">
    <w:name w:val="Цитація Знак"/>
    <w:basedOn w:val="a0"/>
    <w:link w:val="ac"/>
    <w:uiPriority w:val="29"/>
    <w:rsid w:val="00C9098A"/>
    <w:rPr>
      <w:i/>
    </w:rPr>
  </w:style>
  <w:style w:type="paragraph" w:styleId="ae">
    <w:name w:val="Intense Quote"/>
    <w:basedOn w:val="a"/>
    <w:next w:val="a"/>
    <w:link w:val="af"/>
    <w:uiPriority w:val="30"/>
    <w:qFormat/>
    <w:rsid w:val="00C9098A"/>
    <w:pPr>
      <w:ind w:left="720" w:right="720"/>
    </w:pPr>
    <w:rPr>
      <w:b/>
      <w:i/>
    </w:rPr>
  </w:style>
  <w:style w:type="character" w:customStyle="1" w:styleId="af">
    <w:name w:val="Насичена цитата Знак"/>
    <w:basedOn w:val="a0"/>
    <w:link w:val="ae"/>
    <w:uiPriority w:val="30"/>
    <w:rsid w:val="00C9098A"/>
    <w:rPr>
      <w:b/>
      <w:i/>
      <w:szCs w:val="22"/>
    </w:rPr>
  </w:style>
  <w:style w:type="character" w:styleId="af0">
    <w:name w:val="Subtle Emphasis"/>
    <w:uiPriority w:val="19"/>
    <w:qFormat/>
    <w:rsid w:val="00C9098A"/>
    <w:rPr>
      <w:i/>
      <w:color w:val="5A5A5A" w:themeColor="text1" w:themeTint="A5"/>
    </w:rPr>
  </w:style>
  <w:style w:type="character" w:styleId="af1">
    <w:name w:val="Intense Emphasis"/>
    <w:basedOn w:val="a0"/>
    <w:uiPriority w:val="21"/>
    <w:qFormat/>
    <w:rsid w:val="00C9098A"/>
    <w:rPr>
      <w:b/>
      <w:i/>
      <w:sz w:val="24"/>
      <w:szCs w:val="24"/>
      <w:u w:val="single"/>
    </w:rPr>
  </w:style>
  <w:style w:type="character" w:styleId="af2">
    <w:name w:val="Subtle Reference"/>
    <w:basedOn w:val="a0"/>
    <w:uiPriority w:val="31"/>
    <w:qFormat/>
    <w:rsid w:val="00C9098A"/>
    <w:rPr>
      <w:sz w:val="24"/>
      <w:szCs w:val="24"/>
      <w:u w:val="single"/>
    </w:rPr>
  </w:style>
  <w:style w:type="character" w:styleId="af3">
    <w:name w:val="Intense Reference"/>
    <w:basedOn w:val="a0"/>
    <w:uiPriority w:val="32"/>
    <w:qFormat/>
    <w:rsid w:val="00C9098A"/>
    <w:rPr>
      <w:b/>
      <w:sz w:val="24"/>
      <w:u w:val="single"/>
    </w:rPr>
  </w:style>
  <w:style w:type="character" w:styleId="af4">
    <w:name w:val="Book Title"/>
    <w:basedOn w:val="a0"/>
    <w:uiPriority w:val="33"/>
    <w:qFormat/>
    <w:rsid w:val="00C9098A"/>
    <w:rPr>
      <w:rFonts w:asciiTheme="majorHAnsi" w:eastAsiaTheme="majorEastAsia" w:hAnsiTheme="majorHAnsi"/>
      <w:b/>
      <w:i/>
      <w:sz w:val="24"/>
      <w:szCs w:val="24"/>
    </w:rPr>
  </w:style>
  <w:style w:type="paragraph" w:styleId="af5">
    <w:name w:val="TOC Heading"/>
    <w:basedOn w:val="1"/>
    <w:next w:val="a"/>
    <w:uiPriority w:val="39"/>
    <w:semiHidden/>
    <w:unhideWhenUsed/>
    <w:qFormat/>
    <w:rsid w:val="00C9098A"/>
    <w:pPr>
      <w:outlineLvl w:val="9"/>
    </w:pPr>
  </w:style>
  <w:style w:type="table" w:styleId="af6">
    <w:name w:val="Table Grid"/>
    <w:basedOn w:val="a1"/>
    <w:uiPriority w:val="39"/>
    <w:rsid w:val="00E83A01"/>
    <w:pPr>
      <w:spacing w:after="0" w:line="240" w:lineRule="auto"/>
      <w:ind w:left="0"/>
    </w:pPr>
    <w:rPr>
      <w:kern w:val="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у Знак"/>
    <w:link w:val="aa"/>
    <w:uiPriority w:val="34"/>
    <w:locked/>
    <w:rsid w:val="00E83A01"/>
    <w:rPr>
      <w:rFonts w:ascii="Times New Roman" w:hAnsi="Times New Roman"/>
      <w:kern w:val="2"/>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Відтінки сірого">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Настроювані 1">
      <a:majorFont>
        <a:latin typeface="Times New Roman"/>
        <a:ea typeface=""/>
        <a:cs typeface="Times New Roman"/>
      </a:majorFont>
      <a:minorFont>
        <a:latin typeface="Times New Roman"/>
        <a:ea typeface=""/>
        <a:cs typeface="Times New Roma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5244</Words>
  <Characters>2990</Characters>
  <Application>Microsoft Office Word</Application>
  <DocSecurity>0</DocSecurity>
  <Lines>24</Lines>
  <Paragraphs>16</Paragraphs>
  <ScaleCrop>false</ScaleCrop>
  <Company>SPecialiST RePack</Company>
  <LinksUpToDate>false</LinksUpToDate>
  <CharactersWithSpaces>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sOFT</dc:creator>
  <cp:lastModifiedBy>User</cp:lastModifiedBy>
  <cp:revision>2</cp:revision>
  <dcterms:created xsi:type="dcterms:W3CDTF">2025-11-02T20:19:00Z</dcterms:created>
  <dcterms:modified xsi:type="dcterms:W3CDTF">2025-11-02T20:19:00Z</dcterms:modified>
</cp:coreProperties>
</file>