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764B" w14:textId="11FD77AA" w:rsidR="00310813" w:rsidRDefault="00BF4E7B" w:rsidP="008668C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Мукан Андрій Романович, аспірант кафедри фінансів</w:t>
      </w:r>
    </w:p>
    <w:p w14:paraId="2F231914" w14:textId="0B00287A" w:rsidR="00BF4E7B" w:rsidRPr="00C25D3C" w:rsidRDefault="00455C69" w:rsidP="008668CA">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rPr>
        <w:t xml:space="preserve">Національний університет </w:t>
      </w:r>
      <w:r w:rsidR="008C4DB2">
        <w:rPr>
          <w:rFonts w:ascii="Times New Roman" w:hAnsi="Times New Roman" w:cs="Times New Roman"/>
          <w:sz w:val="28"/>
          <w:szCs w:val="28"/>
        </w:rPr>
        <w:t xml:space="preserve">«Львівська </w:t>
      </w:r>
      <w:r w:rsidR="008C4DB2" w:rsidRPr="00C25D3C">
        <w:rPr>
          <w:rFonts w:ascii="Times New Roman" w:hAnsi="Times New Roman" w:cs="Times New Roman"/>
          <w:sz w:val="28"/>
          <w:szCs w:val="28"/>
          <w:lang w:val="en-US"/>
        </w:rPr>
        <w:t>політехніка», Львів</w:t>
      </w:r>
    </w:p>
    <w:p w14:paraId="0502292D" w14:textId="1935C5B2" w:rsidR="00C25D3C" w:rsidRPr="00C25D3C" w:rsidRDefault="00262D81" w:rsidP="008668CA">
      <w:pPr>
        <w:widowControl w:val="0"/>
        <w:spacing w:after="0" w:line="36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ORCID</w:t>
      </w:r>
      <w:r w:rsidR="00C25D3C" w:rsidRPr="00C25D3C">
        <w:rPr>
          <w:rFonts w:ascii="Times New Roman" w:hAnsi="Times New Roman" w:cs="Times New Roman"/>
          <w:sz w:val="28"/>
          <w:szCs w:val="28"/>
          <w:lang w:val="en-US"/>
        </w:rPr>
        <w:t xml:space="preserve">: </w:t>
      </w:r>
      <w:hyperlink r:id="rId5" w:history="1">
        <w:r w:rsidR="00573B69" w:rsidRPr="009D0BFA">
          <w:rPr>
            <w:rStyle w:val="Hyperlink"/>
            <w:rFonts w:ascii="Times New Roman" w:hAnsi="Times New Roman" w:cs="Times New Roman"/>
            <w:sz w:val="28"/>
            <w:szCs w:val="28"/>
            <w:lang w:val="en-US"/>
          </w:rPr>
          <w:t>https://orcid.org/0009-0001-2955-4109</w:t>
        </w:r>
      </w:hyperlink>
      <w:r w:rsidR="00573B69">
        <w:rPr>
          <w:rFonts w:ascii="Times New Roman" w:hAnsi="Times New Roman" w:cs="Times New Roman"/>
          <w:sz w:val="28"/>
          <w:szCs w:val="28"/>
          <w:lang w:val="en-US"/>
        </w:rPr>
        <w:t xml:space="preserve"> </w:t>
      </w:r>
    </w:p>
    <w:p w14:paraId="34B8772A" w14:textId="3EF24A3C" w:rsidR="00262D81" w:rsidRPr="00262D81" w:rsidRDefault="00262D81" w:rsidP="008668CA">
      <w:pPr>
        <w:spacing w:after="0" w:line="360" w:lineRule="auto"/>
        <w:jc w:val="right"/>
        <w:rPr>
          <w:rFonts w:ascii="Times New Roman" w:hAnsi="Times New Roman" w:cs="Times New Roman"/>
          <w:sz w:val="28"/>
          <w:szCs w:val="28"/>
          <w:lang w:val="en-US"/>
        </w:rPr>
      </w:pPr>
    </w:p>
    <w:p w14:paraId="7E4B7BAA" w14:textId="5352F2E0" w:rsidR="00E81887" w:rsidRPr="009B2399" w:rsidRDefault="00E81887" w:rsidP="009B2399">
      <w:pPr>
        <w:spacing w:after="0" w:line="360" w:lineRule="auto"/>
        <w:jc w:val="center"/>
        <w:rPr>
          <w:rFonts w:ascii="Times New Roman" w:hAnsi="Times New Roman" w:cs="Times New Roman"/>
          <w:b/>
          <w:bCs/>
          <w:sz w:val="28"/>
          <w:szCs w:val="28"/>
        </w:rPr>
      </w:pPr>
      <w:r w:rsidRPr="008668CA">
        <w:rPr>
          <w:rFonts w:ascii="Times New Roman" w:hAnsi="Times New Roman" w:cs="Times New Roman"/>
          <w:b/>
          <w:bCs/>
          <w:sz w:val="28"/>
          <w:szCs w:val="28"/>
        </w:rPr>
        <w:t>Офшоринг як головний фактор ціноутворення в процесі діяльності ТНК</w:t>
      </w:r>
    </w:p>
    <w:p w14:paraId="3D6899AD" w14:textId="77777777" w:rsidR="002B72A2" w:rsidRDefault="00F52DDD"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У сучасному світі бізнес стає все більш глобальним. ТНК активно розширюють свої операції на міжнародні ринки.  В умовах зростаючої конкуренції ТНК шукають способи зниження витрат для збереження конкурентоспроможності. Офшоринг може суттєво вплинути на ціноутворення, податкову політику,  технологійний прогрес, що робить його важливим аспектом стратегічного планування.</w:t>
      </w:r>
    </w:p>
    <w:p w14:paraId="2D666762" w14:textId="00885F33" w:rsidR="002B72A2" w:rsidRPr="00D814EA" w:rsidRDefault="002B72A2" w:rsidP="008668CA">
      <w:pPr>
        <w:spacing w:after="0" w:line="360" w:lineRule="auto"/>
        <w:ind w:firstLine="709"/>
        <w:jc w:val="both"/>
        <w:rPr>
          <w:rFonts w:ascii="Times New Roman" w:hAnsi="Times New Roman" w:cs="Times New Roman"/>
          <w:sz w:val="28"/>
          <w:szCs w:val="28"/>
        </w:rPr>
      </w:pPr>
      <w:r w:rsidRPr="00D814EA">
        <w:rPr>
          <w:rFonts w:ascii="Times New Roman" w:hAnsi="Times New Roman" w:cs="Times New Roman"/>
          <w:sz w:val="28"/>
          <w:szCs w:val="28"/>
        </w:rPr>
        <w:t xml:space="preserve">Останніми роками було проведено низку досліджень, присвячених офшорингу та його впливу </w:t>
      </w:r>
      <w:r w:rsidR="00C57C86" w:rsidRPr="00C57C86">
        <w:rPr>
          <w:rFonts w:ascii="Times New Roman" w:hAnsi="Times New Roman" w:cs="Times New Roman"/>
          <w:sz w:val="28"/>
          <w:szCs w:val="28"/>
        </w:rPr>
        <w:t xml:space="preserve">на </w:t>
      </w:r>
      <w:r w:rsidRPr="00D814EA">
        <w:rPr>
          <w:rFonts w:ascii="Times New Roman" w:hAnsi="Times New Roman" w:cs="Times New Roman"/>
          <w:sz w:val="28"/>
          <w:szCs w:val="28"/>
        </w:rPr>
        <w:t>ТНК. Столярчук Я. М., Ковальчук К. Ф., Ковальчук С. Ф.</w:t>
      </w:r>
      <w:r w:rsidRPr="00C57C86">
        <w:rPr>
          <w:rFonts w:ascii="Times New Roman" w:hAnsi="Times New Roman" w:cs="Times New Roman"/>
          <w:sz w:val="28"/>
          <w:szCs w:val="28"/>
        </w:rPr>
        <w:t xml:space="preserve"> у своїй роботі </w:t>
      </w:r>
      <w:r w:rsidRPr="00D814EA">
        <w:rPr>
          <w:rFonts w:ascii="Times New Roman" w:hAnsi="Times New Roman" w:cs="Times New Roman"/>
          <w:sz w:val="28"/>
          <w:szCs w:val="28"/>
        </w:rPr>
        <w:t>"Імперативи трансформації глобального бізнес-офшорингу"</w:t>
      </w:r>
      <w:r w:rsidR="00176BD8" w:rsidRPr="00176BD8">
        <w:rPr>
          <w:rFonts w:ascii="Helvetica" w:hAnsi="Helvetica"/>
          <w:color w:val="333333"/>
          <w:sz w:val="21"/>
          <w:szCs w:val="21"/>
          <w:shd w:val="clear" w:color="auto" w:fill="FFFFFF"/>
        </w:rPr>
        <w:t xml:space="preserve"> </w:t>
      </w:r>
      <w:r w:rsidR="00176BD8" w:rsidRPr="00176BD8">
        <w:rPr>
          <w:rFonts w:ascii="Times New Roman" w:hAnsi="Times New Roman" w:cs="Times New Roman"/>
          <w:sz w:val="28"/>
          <w:szCs w:val="28"/>
        </w:rPr>
        <w:t>[1]</w:t>
      </w:r>
      <w:r w:rsidRPr="00D814EA">
        <w:rPr>
          <w:rFonts w:ascii="Times New Roman" w:hAnsi="Times New Roman" w:cs="Times New Roman"/>
          <w:sz w:val="28"/>
          <w:szCs w:val="28"/>
        </w:rPr>
        <w:t xml:space="preserve"> розглядаються глобальні імперативи бізнес-офшорингу та механізми їх впливу на офшорні операції суб’єктів господарювання різної національної належності. </w:t>
      </w:r>
      <w:r w:rsidRPr="00C57C86">
        <w:rPr>
          <w:rFonts w:ascii="Times New Roman" w:hAnsi="Times New Roman" w:cs="Times New Roman"/>
          <w:sz w:val="28"/>
          <w:szCs w:val="28"/>
        </w:rPr>
        <w:t xml:space="preserve"> </w:t>
      </w:r>
      <w:r w:rsidRPr="00D814EA">
        <w:rPr>
          <w:rFonts w:ascii="Times New Roman" w:hAnsi="Times New Roman" w:cs="Times New Roman"/>
          <w:sz w:val="28"/>
          <w:szCs w:val="28"/>
        </w:rPr>
        <w:t>Нікітіна Т. А.</w:t>
      </w:r>
      <w:r w:rsidRPr="00C57C86">
        <w:rPr>
          <w:rFonts w:ascii="Times New Roman" w:hAnsi="Times New Roman" w:cs="Times New Roman"/>
          <w:sz w:val="28"/>
          <w:szCs w:val="28"/>
        </w:rPr>
        <w:t xml:space="preserve"> У роботі </w:t>
      </w:r>
      <w:r w:rsidRPr="00D814EA">
        <w:rPr>
          <w:rFonts w:ascii="Times New Roman" w:hAnsi="Times New Roman" w:cs="Times New Roman"/>
          <w:sz w:val="28"/>
          <w:szCs w:val="28"/>
        </w:rPr>
        <w:t>"Офшорні компанії в міжнародному бізнесі"</w:t>
      </w:r>
      <w:r w:rsidRPr="00C57C86">
        <w:rPr>
          <w:rFonts w:ascii="Times New Roman" w:hAnsi="Times New Roman" w:cs="Times New Roman"/>
          <w:sz w:val="28"/>
          <w:szCs w:val="28"/>
        </w:rPr>
        <w:t xml:space="preserve"> </w:t>
      </w:r>
      <w:r w:rsidR="00176BD8" w:rsidRPr="00176BD8">
        <w:rPr>
          <w:rFonts w:ascii="Times New Roman" w:hAnsi="Times New Roman" w:cs="Times New Roman"/>
          <w:sz w:val="28"/>
          <w:szCs w:val="28"/>
        </w:rPr>
        <w:t>[</w:t>
      </w:r>
      <w:r w:rsidR="00176BD8">
        <w:rPr>
          <w:rFonts w:ascii="Times New Roman" w:hAnsi="Times New Roman" w:cs="Times New Roman"/>
          <w:sz w:val="28"/>
          <w:szCs w:val="28"/>
        </w:rPr>
        <w:t>2</w:t>
      </w:r>
      <w:r w:rsidR="00176BD8" w:rsidRPr="00176BD8">
        <w:rPr>
          <w:rFonts w:ascii="Times New Roman" w:hAnsi="Times New Roman" w:cs="Times New Roman"/>
          <w:sz w:val="28"/>
          <w:szCs w:val="28"/>
        </w:rPr>
        <w:t>]</w:t>
      </w:r>
      <w:r w:rsidR="00176BD8">
        <w:rPr>
          <w:rFonts w:ascii="Times New Roman" w:hAnsi="Times New Roman" w:cs="Times New Roman"/>
          <w:sz w:val="28"/>
          <w:szCs w:val="28"/>
        </w:rPr>
        <w:t xml:space="preserve"> </w:t>
      </w:r>
      <w:r w:rsidRPr="00C57C86">
        <w:rPr>
          <w:rFonts w:ascii="Times New Roman" w:hAnsi="Times New Roman" w:cs="Times New Roman"/>
          <w:sz w:val="28"/>
          <w:szCs w:val="28"/>
        </w:rPr>
        <w:t>досл</w:t>
      </w:r>
      <w:r w:rsidR="00176BD8">
        <w:rPr>
          <w:rFonts w:ascii="Times New Roman" w:hAnsi="Times New Roman" w:cs="Times New Roman"/>
          <w:sz w:val="28"/>
          <w:szCs w:val="28"/>
        </w:rPr>
        <w:t>і</w:t>
      </w:r>
      <w:r w:rsidRPr="00C57C86">
        <w:rPr>
          <w:rFonts w:ascii="Times New Roman" w:hAnsi="Times New Roman" w:cs="Times New Roman"/>
          <w:sz w:val="28"/>
          <w:szCs w:val="28"/>
        </w:rPr>
        <w:t xml:space="preserve">джує </w:t>
      </w:r>
      <w:r w:rsidRPr="00D814EA">
        <w:rPr>
          <w:rFonts w:ascii="Times New Roman" w:hAnsi="Times New Roman" w:cs="Times New Roman"/>
          <w:sz w:val="28"/>
          <w:szCs w:val="28"/>
        </w:rPr>
        <w:t>діяльності офшорних компаній, яке розкриває суть і теоретичні засади офшорних компаній, еволюцію офшорів та визначає фактори та критерії успішного розвитку офшорних організацій. Алексеєвська Г. С.розгляда</w:t>
      </w:r>
      <w:r w:rsidRPr="00C57C86">
        <w:rPr>
          <w:rFonts w:ascii="Times New Roman" w:hAnsi="Times New Roman" w:cs="Times New Roman"/>
          <w:sz w:val="28"/>
          <w:szCs w:val="28"/>
        </w:rPr>
        <w:t>є</w:t>
      </w:r>
      <w:r w:rsidRPr="00D814EA">
        <w:rPr>
          <w:rFonts w:ascii="Times New Roman" w:hAnsi="Times New Roman" w:cs="Times New Roman"/>
          <w:sz w:val="28"/>
          <w:szCs w:val="28"/>
        </w:rPr>
        <w:t xml:space="preserve"> сучасні теорії ТНК, включаючи аспекти офшорингу та його впливу на діяльність корпорацій у глобальному середовищі</w:t>
      </w:r>
      <w:r w:rsidR="00176BD8">
        <w:rPr>
          <w:rFonts w:ascii="Times New Roman" w:hAnsi="Times New Roman" w:cs="Times New Roman"/>
          <w:sz w:val="28"/>
          <w:szCs w:val="28"/>
        </w:rPr>
        <w:t xml:space="preserve"> </w:t>
      </w:r>
      <w:r w:rsidR="00176BD8" w:rsidRPr="00176BD8">
        <w:rPr>
          <w:rFonts w:ascii="Times New Roman" w:hAnsi="Times New Roman" w:cs="Times New Roman"/>
          <w:sz w:val="28"/>
          <w:szCs w:val="28"/>
        </w:rPr>
        <w:t>[</w:t>
      </w:r>
      <w:r w:rsidR="00176BD8">
        <w:rPr>
          <w:rFonts w:ascii="Times New Roman" w:hAnsi="Times New Roman" w:cs="Times New Roman"/>
          <w:sz w:val="28"/>
          <w:szCs w:val="28"/>
        </w:rPr>
        <w:t>3</w:t>
      </w:r>
      <w:r w:rsidR="00176BD8" w:rsidRPr="00176BD8">
        <w:rPr>
          <w:rFonts w:ascii="Times New Roman" w:hAnsi="Times New Roman" w:cs="Times New Roman"/>
          <w:sz w:val="28"/>
          <w:szCs w:val="28"/>
        </w:rPr>
        <w:t>]</w:t>
      </w:r>
      <w:r w:rsidRPr="00D814EA">
        <w:rPr>
          <w:rFonts w:ascii="Times New Roman" w:hAnsi="Times New Roman" w:cs="Times New Roman"/>
          <w:sz w:val="28"/>
          <w:szCs w:val="28"/>
        </w:rPr>
        <w:t>. Ці дослідження надають глибокий аналіз сучасних тенденцій офшорингу та його впливу на діяльність ТНК у глобальній економіці.</w:t>
      </w:r>
    </w:p>
    <w:p w14:paraId="7B14673F" w14:textId="30D3C691" w:rsidR="008668CA" w:rsidRDefault="007C074C" w:rsidP="00655ED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 xml:space="preserve">Офшоринг суттєво впливає на ціноутворення у діяльності ТНК через низку економічних, податкових та фінансових механізмів. </w:t>
      </w:r>
      <w:r w:rsidR="006A43D1" w:rsidRPr="006F108E">
        <w:rPr>
          <w:rFonts w:ascii="Times New Roman" w:hAnsi="Times New Roman" w:cs="Times New Roman"/>
          <w:sz w:val="28"/>
          <w:szCs w:val="28"/>
        </w:rPr>
        <w:t>В таблиці 1 наведені о</w:t>
      </w:r>
      <w:r w:rsidRPr="006F108E">
        <w:rPr>
          <w:rFonts w:ascii="Times New Roman" w:hAnsi="Times New Roman" w:cs="Times New Roman"/>
          <w:sz w:val="28"/>
          <w:szCs w:val="28"/>
        </w:rPr>
        <w:t xml:space="preserve">сновні способи </w:t>
      </w:r>
      <w:r w:rsidR="006A43D1" w:rsidRPr="006F108E">
        <w:rPr>
          <w:rFonts w:ascii="Times New Roman" w:hAnsi="Times New Roman" w:cs="Times New Roman"/>
          <w:sz w:val="28"/>
          <w:szCs w:val="28"/>
        </w:rPr>
        <w:t xml:space="preserve"> такого </w:t>
      </w:r>
      <w:r w:rsidRPr="006F108E">
        <w:rPr>
          <w:rFonts w:ascii="Times New Roman" w:hAnsi="Times New Roman" w:cs="Times New Roman"/>
          <w:sz w:val="28"/>
          <w:szCs w:val="28"/>
        </w:rPr>
        <w:t>впливу</w:t>
      </w:r>
      <w:r w:rsidR="006A43D1" w:rsidRPr="006F108E">
        <w:rPr>
          <w:rFonts w:ascii="Times New Roman" w:hAnsi="Times New Roman" w:cs="Times New Roman"/>
          <w:sz w:val="28"/>
          <w:szCs w:val="28"/>
        </w:rPr>
        <w:t>.</w:t>
      </w:r>
    </w:p>
    <w:p w14:paraId="71212F6C" w14:textId="77777777" w:rsidR="00655EDA" w:rsidRDefault="00655EDA" w:rsidP="00655EDA">
      <w:pPr>
        <w:spacing w:after="0" w:line="360" w:lineRule="auto"/>
        <w:ind w:firstLine="709"/>
        <w:jc w:val="both"/>
        <w:rPr>
          <w:rFonts w:ascii="Times New Roman" w:hAnsi="Times New Roman" w:cs="Times New Roman"/>
          <w:sz w:val="28"/>
          <w:szCs w:val="28"/>
        </w:rPr>
      </w:pPr>
    </w:p>
    <w:p w14:paraId="2A92B58B" w14:textId="77777777" w:rsidR="00655EDA" w:rsidRDefault="00655EDA" w:rsidP="00655EDA">
      <w:pPr>
        <w:spacing w:after="0" w:line="360" w:lineRule="auto"/>
        <w:ind w:firstLine="709"/>
        <w:jc w:val="both"/>
        <w:rPr>
          <w:rFonts w:ascii="Times New Roman" w:hAnsi="Times New Roman" w:cs="Times New Roman"/>
          <w:sz w:val="28"/>
          <w:szCs w:val="28"/>
        </w:rPr>
      </w:pPr>
    </w:p>
    <w:p w14:paraId="3C153DC5" w14:textId="77777777" w:rsidR="00655EDA" w:rsidRPr="00655EDA" w:rsidRDefault="00655EDA" w:rsidP="00655EDA">
      <w:pPr>
        <w:spacing w:after="0" w:line="360" w:lineRule="auto"/>
        <w:ind w:firstLine="709"/>
        <w:jc w:val="both"/>
        <w:rPr>
          <w:rFonts w:ascii="Times New Roman" w:hAnsi="Times New Roman" w:cs="Times New Roman"/>
          <w:sz w:val="28"/>
          <w:szCs w:val="28"/>
        </w:rPr>
      </w:pPr>
    </w:p>
    <w:p w14:paraId="2BD63EB2" w14:textId="41083235" w:rsidR="006A43D1" w:rsidRPr="006F108E" w:rsidRDefault="006A43D1" w:rsidP="008668CA">
      <w:pPr>
        <w:spacing w:after="0" w:line="360" w:lineRule="auto"/>
        <w:jc w:val="right"/>
        <w:rPr>
          <w:rFonts w:ascii="Times New Roman" w:hAnsi="Times New Roman" w:cs="Times New Roman"/>
          <w:sz w:val="28"/>
          <w:szCs w:val="28"/>
        </w:rPr>
      </w:pPr>
      <w:r w:rsidRPr="006F108E">
        <w:rPr>
          <w:rFonts w:ascii="Times New Roman" w:hAnsi="Times New Roman" w:cs="Times New Roman"/>
          <w:sz w:val="28"/>
          <w:szCs w:val="28"/>
        </w:rPr>
        <w:lastRenderedPageBreak/>
        <w:t>Таблиця 1</w:t>
      </w:r>
    </w:p>
    <w:p w14:paraId="7816A125" w14:textId="65230E36" w:rsidR="00103805" w:rsidRPr="008668CA" w:rsidRDefault="00103805" w:rsidP="008668CA">
      <w:pPr>
        <w:spacing w:after="0" w:line="360" w:lineRule="auto"/>
        <w:jc w:val="center"/>
        <w:rPr>
          <w:rFonts w:ascii="Times New Roman" w:hAnsi="Times New Roman" w:cs="Times New Roman"/>
          <w:sz w:val="28"/>
          <w:szCs w:val="28"/>
          <w:lang w:val="en-US"/>
        </w:rPr>
      </w:pPr>
      <w:r w:rsidRPr="006F108E">
        <w:rPr>
          <w:rFonts w:ascii="Times New Roman" w:hAnsi="Times New Roman" w:cs="Times New Roman"/>
          <w:sz w:val="28"/>
          <w:szCs w:val="28"/>
        </w:rPr>
        <w:t>Механізми впливу офшорингу на ціноутворення в діяльності ТНК</w:t>
      </w:r>
    </w:p>
    <w:tbl>
      <w:tblPr>
        <w:tblStyle w:val="TableGrid"/>
        <w:tblW w:w="0" w:type="auto"/>
        <w:tblLook w:val="04A0" w:firstRow="1" w:lastRow="0" w:firstColumn="1" w:lastColumn="0" w:noHBand="0" w:noVBand="1"/>
      </w:tblPr>
      <w:tblGrid>
        <w:gridCol w:w="2518"/>
        <w:gridCol w:w="7336"/>
      </w:tblGrid>
      <w:tr w:rsidR="00110B1B" w14:paraId="5B05F116" w14:textId="77777777" w:rsidTr="003263DB">
        <w:tc>
          <w:tcPr>
            <w:tcW w:w="2518" w:type="dxa"/>
          </w:tcPr>
          <w:p w14:paraId="0F7BE372" w14:textId="61DEF77D" w:rsidR="00110B1B" w:rsidRPr="006F108E" w:rsidRDefault="00110B1B" w:rsidP="008301D5">
            <w:pPr>
              <w:jc w:val="center"/>
              <w:rPr>
                <w:rFonts w:ascii="Times New Roman" w:hAnsi="Times New Roman" w:cs="Times New Roman"/>
                <w:sz w:val="24"/>
                <w:szCs w:val="24"/>
              </w:rPr>
            </w:pPr>
            <w:r w:rsidRPr="006F108E">
              <w:rPr>
                <w:rFonts w:ascii="Times New Roman" w:hAnsi="Times New Roman" w:cs="Times New Roman"/>
                <w:sz w:val="24"/>
                <w:szCs w:val="24"/>
              </w:rPr>
              <w:t>Механізми</w:t>
            </w:r>
            <w:r w:rsidR="00E1120C" w:rsidRPr="006F108E">
              <w:rPr>
                <w:rFonts w:ascii="Times New Roman" w:hAnsi="Times New Roman" w:cs="Times New Roman"/>
                <w:sz w:val="24"/>
                <w:szCs w:val="24"/>
              </w:rPr>
              <w:t xml:space="preserve"> </w:t>
            </w:r>
          </w:p>
        </w:tc>
        <w:tc>
          <w:tcPr>
            <w:tcW w:w="7337" w:type="dxa"/>
          </w:tcPr>
          <w:p w14:paraId="1ED135B4" w14:textId="6EF5FD81" w:rsidR="00110B1B" w:rsidRPr="006F108E" w:rsidRDefault="00492888" w:rsidP="008301D5">
            <w:pPr>
              <w:jc w:val="center"/>
              <w:rPr>
                <w:rFonts w:ascii="Times New Roman" w:hAnsi="Times New Roman" w:cs="Times New Roman"/>
                <w:sz w:val="24"/>
                <w:szCs w:val="24"/>
              </w:rPr>
            </w:pPr>
            <w:r w:rsidRPr="006F108E">
              <w:rPr>
                <w:rFonts w:ascii="Times New Roman" w:hAnsi="Times New Roman" w:cs="Times New Roman"/>
                <w:sz w:val="24"/>
                <w:szCs w:val="24"/>
              </w:rPr>
              <w:t>Характеристика</w:t>
            </w:r>
          </w:p>
        </w:tc>
      </w:tr>
      <w:tr w:rsidR="00110B1B" w14:paraId="42EBC9A8" w14:textId="77777777" w:rsidTr="003263DB">
        <w:tc>
          <w:tcPr>
            <w:tcW w:w="2518" w:type="dxa"/>
          </w:tcPr>
          <w:p w14:paraId="0DFEC9C3" w14:textId="5CC3ECCD" w:rsidR="00110B1B" w:rsidRPr="006F108E" w:rsidRDefault="00492888" w:rsidP="008301D5">
            <w:pPr>
              <w:rPr>
                <w:rFonts w:ascii="Times New Roman" w:hAnsi="Times New Roman" w:cs="Times New Roman"/>
                <w:sz w:val="24"/>
                <w:szCs w:val="24"/>
              </w:rPr>
            </w:pPr>
            <w:r w:rsidRPr="006F108E">
              <w:rPr>
                <w:rFonts w:ascii="Times New Roman" w:hAnsi="Times New Roman" w:cs="Times New Roman"/>
                <w:sz w:val="24"/>
                <w:szCs w:val="24"/>
              </w:rPr>
              <w:t>Зниження виробничих витрат</w:t>
            </w:r>
          </w:p>
        </w:tc>
        <w:tc>
          <w:tcPr>
            <w:tcW w:w="7337" w:type="dxa"/>
          </w:tcPr>
          <w:p w14:paraId="028EFF7B" w14:textId="6FF9053A" w:rsidR="00110B1B" w:rsidRPr="006F108E" w:rsidRDefault="00492888" w:rsidP="008668CA">
            <w:pPr>
              <w:spacing w:line="259" w:lineRule="auto"/>
              <w:jc w:val="both"/>
              <w:rPr>
                <w:rFonts w:ascii="Times New Roman" w:hAnsi="Times New Roman" w:cs="Times New Roman"/>
                <w:sz w:val="24"/>
                <w:szCs w:val="24"/>
                <w:lang w:val="en-US"/>
              </w:rPr>
            </w:pPr>
            <w:r w:rsidRPr="006F108E">
              <w:rPr>
                <w:rFonts w:ascii="Times New Roman" w:hAnsi="Times New Roman" w:cs="Times New Roman"/>
                <w:sz w:val="24"/>
                <w:szCs w:val="24"/>
              </w:rPr>
              <w:t>ТНК переносять виробничі потужності або певні бізнес-процеси (наприклад, виробництво, IT-аутсорсинг, обслуговування клієнтів) у країни з дешевшою робочою силою, нижчими податками та менш жорсткими регуляціями. Це дає можливість</w:t>
            </w:r>
            <w:r w:rsidR="003263DB" w:rsidRPr="006F108E">
              <w:rPr>
                <w:rFonts w:ascii="Times New Roman" w:hAnsi="Times New Roman" w:cs="Times New Roman"/>
                <w:sz w:val="24"/>
                <w:szCs w:val="24"/>
              </w:rPr>
              <w:t xml:space="preserve"> з</w:t>
            </w:r>
            <w:r w:rsidRPr="006F108E">
              <w:rPr>
                <w:rFonts w:ascii="Times New Roman" w:hAnsi="Times New Roman" w:cs="Times New Roman"/>
                <w:sz w:val="24"/>
                <w:szCs w:val="24"/>
              </w:rPr>
              <w:t>меншити собівартість продукції та послуг</w:t>
            </w:r>
            <w:r w:rsidR="00473B3B" w:rsidRPr="006F108E">
              <w:rPr>
                <w:rFonts w:ascii="Times New Roman" w:hAnsi="Times New Roman" w:cs="Times New Roman"/>
                <w:sz w:val="24"/>
                <w:szCs w:val="24"/>
              </w:rPr>
              <w:t>; п</w:t>
            </w:r>
            <w:r w:rsidRPr="006F108E">
              <w:rPr>
                <w:rFonts w:ascii="Times New Roman" w:hAnsi="Times New Roman" w:cs="Times New Roman"/>
                <w:sz w:val="24"/>
                <w:szCs w:val="24"/>
              </w:rPr>
              <w:t>ропонувати нижчі ціни на глобальному ринку або отримувати більші прибутки при збереженні рівня цін.</w:t>
            </w:r>
          </w:p>
        </w:tc>
      </w:tr>
      <w:tr w:rsidR="00110B1B" w14:paraId="0CF061DE" w14:textId="77777777" w:rsidTr="003263DB">
        <w:tc>
          <w:tcPr>
            <w:tcW w:w="2518" w:type="dxa"/>
          </w:tcPr>
          <w:p w14:paraId="6AA3FFCF" w14:textId="3781FAD3" w:rsidR="00110B1B" w:rsidRPr="006F108E" w:rsidRDefault="00492888" w:rsidP="008301D5">
            <w:pPr>
              <w:rPr>
                <w:rFonts w:ascii="Times New Roman" w:hAnsi="Times New Roman" w:cs="Times New Roman"/>
                <w:sz w:val="24"/>
                <w:szCs w:val="24"/>
              </w:rPr>
            </w:pPr>
            <w:r w:rsidRPr="006F108E">
              <w:rPr>
                <w:rFonts w:ascii="Times New Roman" w:hAnsi="Times New Roman" w:cs="Times New Roman"/>
                <w:sz w:val="24"/>
                <w:szCs w:val="24"/>
              </w:rPr>
              <w:t>Використання трансферного ціноутворення</w:t>
            </w:r>
          </w:p>
        </w:tc>
        <w:tc>
          <w:tcPr>
            <w:tcW w:w="7337" w:type="dxa"/>
          </w:tcPr>
          <w:p w14:paraId="30998782" w14:textId="079777EC" w:rsidR="00110B1B" w:rsidRPr="006F108E" w:rsidRDefault="00492888"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ТНК застосовують трансферне ціноутворення — штучне встановлення внутрішньокорпоративних цін між підрозділами компанії в різних країнах. Це дозволяє</w:t>
            </w:r>
            <w:r w:rsidR="00C10ED4" w:rsidRPr="006F108E">
              <w:rPr>
                <w:rFonts w:ascii="Times New Roman" w:hAnsi="Times New Roman" w:cs="Times New Roman"/>
                <w:sz w:val="24"/>
                <w:szCs w:val="24"/>
              </w:rPr>
              <w:t xml:space="preserve"> п</w:t>
            </w:r>
            <w:r w:rsidRPr="006F108E">
              <w:rPr>
                <w:rFonts w:ascii="Times New Roman" w:hAnsi="Times New Roman" w:cs="Times New Roman"/>
                <w:sz w:val="24"/>
                <w:szCs w:val="24"/>
              </w:rPr>
              <w:t>ереміщувати прибуток у юрисдикції з низькими податками, встановлюючи завищені ціни на сировину або інші активи, що продаються між підрозділами</w:t>
            </w:r>
            <w:r w:rsidR="00C10ED4" w:rsidRPr="006F108E">
              <w:rPr>
                <w:rFonts w:ascii="Times New Roman" w:hAnsi="Times New Roman" w:cs="Times New Roman"/>
                <w:sz w:val="24"/>
                <w:szCs w:val="24"/>
              </w:rPr>
              <w:t xml:space="preserve">; </w:t>
            </w:r>
            <w:r w:rsidR="005A345A">
              <w:rPr>
                <w:rFonts w:ascii="Times New Roman" w:hAnsi="Times New Roman" w:cs="Times New Roman"/>
                <w:sz w:val="24"/>
                <w:szCs w:val="24"/>
              </w:rPr>
              <w:t>о</w:t>
            </w:r>
            <w:r w:rsidRPr="006F108E">
              <w:rPr>
                <w:rFonts w:ascii="Times New Roman" w:hAnsi="Times New Roman" w:cs="Times New Roman"/>
                <w:sz w:val="24"/>
                <w:szCs w:val="24"/>
              </w:rPr>
              <w:t>птимізувати податкові зобов’язання та знижувати кінцеву ціну продукції.</w:t>
            </w:r>
          </w:p>
        </w:tc>
      </w:tr>
      <w:tr w:rsidR="00110B1B" w14:paraId="2B16E8E0" w14:textId="77777777" w:rsidTr="003263DB">
        <w:tc>
          <w:tcPr>
            <w:tcW w:w="2518" w:type="dxa"/>
          </w:tcPr>
          <w:p w14:paraId="7CE73ABE" w14:textId="6345DD6A" w:rsidR="00110B1B" w:rsidRPr="006F108E" w:rsidRDefault="00492888" w:rsidP="008301D5">
            <w:pPr>
              <w:spacing w:line="259" w:lineRule="auto"/>
              <w:rPr>
                <w:rFonts w:ascii="Times New Roman" w:hAnsi="Times New Roman" w:cs="Times New Roman"/>
                <w:sz w:val="24"/>
                <w:szCs w:val="24"/>
              </w:rPr>
            </w:pPr>
            <w:r w:rsidRPr="006F108E">
              <w:rPr>
                <w:rFonts w:ascii="Times New Roman" w:hAnsi="Times New Roman" w:cs="Times New Roman"/>
                <w:sz w:val="24"/>
                <w:szCs w:val="24"/>
              </w:rPr>
              <w:t>Податкове планування та зниження фіскального навантаження</w:t>
            </w:r>
          </w:p>
        </w:tc>
        <w:tc>
          <w:tcPr>
            <w:tcW w:w="7337" w:type="dxa"/>
          </w:tcPr>
          <w:p w14:paraId="4DC57499" w14:textId="6A6BCCE8" w:rsidR="00110B1B" w:rsidRPr="006F108E" w:rsidRDefault="00492888"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Офшорні зони пропонують пільгові податкові режими, які дозволяють ТНК</w:t>
            </w:r>
            <w:r w:rsidR="00C10ED4" w:rsidRPr="006F108E">
              <w:rPr>
                <w:rFonts w:ascii="Times New Roman" w:hAnsi="Times New Roman" w:cs="Times New Roman"/>
                <w:sz w:val="24"/>
                <w:szCs w:val="24"/>
              </w:rPr>
              <w:t xml:space="preserve"> р</w:t>
            </w:r>
            <w:r w:rsidRPr="006F108E">
              <w:rPr>
                <w:rFonts w:ascii="Times New Roman" w:hAnsi="Times New Roman" w:cs="Times New Roman"/>
                <w:sz w:val="24"/>
                <w:szCs w:val="24"/>
              </w:rPr>
              <w:t>еєструвати компанії у країнах з мінімальним оподаткуванням</w:t>
            </w:r>
            <w:r w:rsidR="00C10ED4" w:rsidRPr="006F108E">
              <w:rPr>
                <w:rFonts w:ascii="Times New Roman" w:hAnsi="Times New Roman" w:cs="Times New Roman"/>
                <w:sz w:val="24"/>
                <w:szCs w:val="24"/>
              </w:rPr>
              <w:t>; з</w:t>
            </w:r>
            <w:r w:rsidRPr="006F108E">
              <w:rPr>
                <w:rFonts w:ascii="Times New Roman" w:hAnsi="Times New Roman" w:cs="Times New Roman"/>
                <w:sz w:val="24"/>
                <w:szCs w:val="24"/>
              </w:rPr>
              <w:t>меншувати податкові витрати, що впливає на кінцеву вартість продукції</w:t>
            </w:r>
            <w:r w:rsidR="00C10ED4" w:rsidRPr="006F108E">
              <w:rPr>
                <w:rFonts w:ascii="Times New Roman" w:hAnsi="Times New Roman" w:cs="Times New Roman"/>
                <w:sz w:val="24"/>
                <w:szCs w:val="24"/>
              </w:rPr>
              <w:t>; в</w:t>
            </w:r>
            <w:r w:rsidRPr="006F108E">
              <w:rPr>
                <w:rFonts w:ascii="Times New Roman" w:hAnsi="Times New Roman" w:cs="Times New Roman"/>
                <w:sz w:val="24"/>
                <w:szCs w:val="24"/>
              </w:rPr>
              <w:t>икористовувати механізми податкової мінімізації, такі як "податкові гавані"</w:t>
            </w:r>
            <w:r w:rsidR="00C10ED4" w:rsidRPr="006F108E">
              <w:rPr>
                <w:rFonts w:ascii="Times New Roman" w:hAnsi="Times New Roman" w:cs="Times New Roman"/>
                <w:sz w:val="24"/>
                <w:szCs w:val="24"/>
              </w:rPr>
              <w:t>.</w:t>
            </w:r>
          </w:p>
        </w:tc>
      </w:tr>
      <w:tr w:rsidR="00110B1B" w14:paraId="3F6D8DD1" w14:textId="77777777" w:rsidTr="003263DB">
        <w:tc>
          <w:tcPr>
            <w:tcW w:w="2518" w:type="dxa"/>
          </w:tcPr>
          <w:p w14:paraId="28F0A44E" w14:textId="5F8CFEC2" w:rsidR="00110B1B" w:rsidRPr="006F108E" w:rsidRDefault="00B82FAC" w:rsidP="008301D5">
            <w:pPr>
              <w:rPr>
                <w:rFonts w:ascii="Times New Roman" w:hAnsi="Times New Roman" w:cs="Times New Roman"/>
                <w:sz w:val="24"/>
                <w:szCs w:val="24"/>
              </w:rPr>
            </w:pPr>
            <w:r w:rsidRPr="006F108E">
              <w:rPr>
                <w:rFonts w:ascii="Times New Roman" w:hAnsi="Times New Roman" w:cs="Times New Roman"/>
                <w:sz w:val="24"/>
                <w:szCs w:val="24"/>
              </w:rPr>
              <w:t xml:space="preserve">Доступ до нових ринків </w:t>
            </w:r>
          </w:p>
        </w:tc>
        <w:tc>
          <w:tcPr>
            <w:tcW w:w="7337" w:type="dxa"/>
          </w:tcPr>
          <w:p w14:paraId="32DC1064" w14:textId="57014AD8" w:rsidR="00110B1B" w:rsidRPr="006F108E" w:rsidRDefault="00C7467F" w:rsidP="008668CA">
            <w:pPr>
              <w:spacing w:line="259" w:lineRule="auto"/>
              <w:jc w:val="both"/>
              <w:rPr>
                <w:rFonts w:ascii="Times New Roman" w:hAnsi="Times New Roman" w:cs="Times New Roman"/>
                <w:sz w:val="24"/>
                <w:szCs w:val="24"/>
                <w:lang w:val="en-US"/>
              </w:rPr>
            </w:pPr>
            <w:r w:rsidRPr="006F108E">
              <w:rPr>
                <w:rFonts w:ascii="Times New Roman" w:hAnsi="Times New Roman" w:cs="Times New Roman"/>
                <w:sz w:val="24"/>
                <w:szCs w:val="24"/>
              </w:rPr>
              <w:t>Вихід на нові ринки через офшоринг може дозволити ТНК розширити свою клієнтську базу. Це може призвести до збільшення обсягу продажів, що в свою чергу може знизити ціни через ефект масштабу.</w:t>
            </w:r>
          </w:p>
        </w:tc>
      </w:tr>
      <w:tr w:rsidR="00110B1B" w14:paraId="06B2408B" w14:textId="77777777" w:rsidTr="003263DB">
        <w:tc>
          <w:tcPr>
            <w:tcW w:w="2518" w:type="dxa"/>
          </w:tcPr>
          <w:p w14:paraId="68E65B52" w14:textId="379EDCBE" w:rsidR="00110B1B" w:rsidRPr="006F108E" w:rsidRDefault="00492888" w:rsidP="008301D5">
            <w:pPr>
              <w:rPr>
                <w:rFonts w:ascii="Times New Roman" w:hAnsi="Times New Roman" w:cs="Times New Roman"/>
                <w:sz w:val="24"/>
                <w:szCs w:val="24"/>
              </w:rPr>
            </w:pPr>
            <w:r w:rsidRPr="006F108E">
              <w:rPr>
                <w:rFonts w:ascii="Times New Roman" w:hAnsi="Times New Roman" w:cs="Times New Roman"/>
                <w:sz w:val="24"/>
                <w:szCs w:val="24"/>
              </w:rPr>
              <w:t>Гнучкість у стратегічному ціноутворенні</w:t>
            </w:r>
          </w:p>
        </w:tc>
        <w:tc>
          <w:tcPr>
            <w:tcW w:w="7337" w:type="dxa"/>
          </w:tcPr>
          <w:p w14:paraId="684A552B" w14:textId="570CDDF1" w:rsidR="00110B1B" w:rsidRPr="006F108E" w:rsidRDefault="00492888" w:rsidP="008668CA">
            <w:pPr>
              <w:spacing w:line="259" w:lineRule="auto"/>
              <w:jc w:val="both"/>
              <w:rPr>
                <w:rFonts w:ascii="Times New Roman" w:hAnsi="Times New Roman" w:cs="Times New Roman"/>
                <w:sz w:val="24"/>
                <w:szCs w:val="24"/>
                <w:lang w:val="en-US"/>
              </w:rPr>
            </w:pPr>
            <w:r w:rsidRPr="006F108E">
              <w:rPr>
                <w:rFonts w:ascii="Times New Roman" w:hAnsi="Times New Roman" w:cs="Times New Roman"/>
                <w:sz w:val="24"/>
                <w:szCs w:val="24"/>
              </w:rPr>
              <w:t>Офшоринг дозволяє ТНК адаптувати ціни залежно від регіону, конкурентного середовища та податкових ризиків. Наприклад:</w:t>
            </w:r>
            <w:r w:rsidR="00F347A5" w:rsidRPr="006F108E">
              <w:rPr>
                <w:rFonts w:ascii="Times New Roman" w:hAnsi="Times New Roman" w:cs="Times New Roman"/>
                <w:sz w:val="24"/>
                <w:szCs w:val="24"/>
              </w:rPr>
              <w:t xml:space="preserve"> в</w:t>
            </w:r>
            <w:r w:rsidRPr="006F108E">
              <w:rPr>
                <w:rFonts w:ascii="Times New Roman" w:hAnsi="Times New Roman" w:cs="Times New Roman"/>
                <w:sz w:val="24"/>
                <w:szCs w:val="24"/>
              </w:rPr>
              <w:t>становлення нижчих цін у країнах із високою конкуренцією</w:t>
            </w:r>
            <w:r w:rsidR="00F347A5" w:rsidRPr="006F108E">
              <w:rPr>
                <w:rFonts w:ascii="Times New Roman" w:hAnsi="Times New Roman" w:cs="Times New Roman"/>
                <w:sz w:val="24"/>
                <w:szCs w:val="24"/>
              </w:rPr>
              <w:t>; в</w:t>
            </w:r>
            <w:r w:rsidRPr="006F108E">
              <w:rPr>
                <w:rFonts w:ascii="Times New Roman" w:hAnsi="Times New Roman" w:cs="Times New Roman"/>
                <w:sz w:val="24"/>
                <w:szCs w:val="24"/>
              </w:rPr>
              <w:t>икористання демпінгових стратегій у нових ринках для витіснення місцевих гравців.</w:t>
            </w:r>
          </w:p>
        </w:tc>
      </w:tr>
    </w:tbl>
    <w:p w14:paraId="0947CC1A" w14:textId="0B35F6DE" w:rsidR="00110B1B" w:rsidRPr="00243245" w:rsidRDefault="00CF787E" w:rsidP="008668C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91920" w:rsidRPr="00CF787E">
        <w:rPr>
          <w:rFonts w:ascii="Times New Roman" w:hAnsi="Times New Roman" w:cs="Times New Roman"/>
          <w:sz w:val="28"/>
          <w:szCs w:val="28"/>
        </w:rPr>
        <w:t>Сформовано</w:t>
      </w:r>
      <w:r>
        <w:rPr>
          <w:rFonts w:ascii="Times New Roman" w:hAnsi="Times New Roman" w:cs="Times New Roman"/>
          <w:sz w:val="28"/>
          <w:szCs w:val="28"/>
          <w:lang w:val="en-US"/>
        </w:rPr>
        <w:t xml:space="preserve"> </w:t>
      </w:r>
      <w:r>
        <w:rPr>
          <w:rFonts w:ascii="Times New Roman" w:hAnsi="Times New Roman" w:cs="Times New Roman"/>
          <w:sz w:val="28"/>
          <w:szCs w:val="28"/>
        </w:rPr>
        <w:t>автором</w:t>
      </w:r>
      <w:r w:rsidR="00391920" w:rsidRPr="00CF787E">
        <w:rPr>
          <w:rFonts w:ascii="Times New Roman" w:hAnsi="Times New Roman" w:cs="Times New Roman"/>
          <w:sz w:val="28"/>
          <w:szCs w:val="28"/>
        </w:rPr>
        <w:t xml:space="preserve"> на основі [</w:t>
      </w:r>
      <w:r w:rsidRPr="00CF787E">
        <w:rPr>
          <w:rFonts w:ascii="Times New Roman" w:hAnsi="Times New Roman" w:cs="Times New Roman"/>
          <w:sz w:val="28"/>
          <w:szCs w:val="28"/>
        </w:rPr>
        <w:t>4,5,6]</w:t>
      </w:r>
    </w:p>
    <w:p w14:paraId="116DE955" w14:textId="07CF387B" w:rsidR="002C3682" w:rsidRPr="006F108E" w:rsidRDefault="006F108E"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О</w:t>
      </w:r>
      <w:r w:rsidR="005F78EF" w:rsidRPr="006F108E">
        <w:rPr>
          <w:rFonts w:ascii="Times New Roman" w:hAnsi="Times New Roman" w:cs="Times New Roman"/>
          <w:sz w:val="28"/>
          <w:szCs w:val="28"/>
        </w:rPr>
        <w:t>фшоринг є важливим інструментом для ТНК, який може суттєво вплинути на їхню стратегію ціноутворення, дозволяючи знижувати витрати і підвищувати конкурентоспроможність.</w:t>
      </w:r>
    </w:p>
    <w:p w14:paraId="7D1EF7E3" w14:textId="58E2F24D" w:rsidR="002C3682" w:rsidRPr="00B05237" w:rsidRDefault="00DC69B8"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 xml:space="preserve">Пропоную </w:t>
      </w:r>
      <w:r w:rsidR="001748C4" w:rsidRPr="006F108E">
        <w:rPr>
          <w:rFonts w:ascii="Times New Roman" w:hAnsi="Times New Roman" w:cs="Times New Roman"/>
          <w:sz w:val="28"/>
          <w:szCs w:val="28"/>
        </w:rPr>
        <w:t xml:space="preserve">більш детально розібратись, як </w:t>
      </w:r>
      <w:r w:rsidR="00177E19" w:rsidRPr="006F108E">
        <w:rPr>
          <w:rFonts w:ascii="Times New Roman" w:hAnsi="Times New Roman" w:cs="Times New Roman"/>
          <w:sz w:val="28"/>
          <w:szCs w:val="28"/>
        </w:rPr>
        <w:t xml:space="preserve">за допомогою офшорингу </w:t>
      </w:r>
      <w:r w:rsidR="0048026A" w:rsidRPr="006F108E">
        <w:rPr>
          <w:rFonts w:ascii="Times New Roman" w:hAnsi="Times New Roman" w:cs="Times New Roman"/>
          <w:sz w:val="28"/>
          <w:szCs w:val="28"/>
        </w:rPr>
        <w:t>ТНК</w:t>
      </w:r>
      <w:r w:rsidR="00177E19" w:rsidRPr="006F108E">
        <w:rPr>
          <w:rFonts w:ascii="Times New Roman" w:hAnsi="Times New Roman" w:cs="Times New Roman"/>
          <w:sz w:val="28"/>
          <w:szCs w:val="28"/>
        </w:rPr>
        <w:t xml:space="preserve"> </w:t>
      </w:r>
      <w:r w:rsidR="00F71170" w:rsidRPr="006F108E">
        <w:rPr>
          <w:rFonts w:ascii="Times New Roman" w:hAnsi="Times New Roman" w:cs="Times New Roman"/>
          <w:sz w:val="28"/>
          <w:szCs w:val="28"/>
        </w:rPr>
        <w:t>можуть впливати на витрати виробництва</w:t>
      </w:r>
      <w:r w:rsidR="001A0788" w:rsidRPr="006F108E">
        <w:rPr>
          <w:rFonts w:ascii="Times New Roman" w:hAnsi="Times New Roman" w:cs="Times New Roman"/>
          <w:sz w:val="28"/>
          <w:szCs w:val="28"/>
        </w:rPr>
        <w:t>. Офшоринг дозволяє ТНК перенести виробництво або послуги в країни з нижчими зарплатами</w:t>
      </w:r>
      <w:r w:rsidR="00120831" w:rsidRPr="006F108E">
        <w:rPr>
          <w:rFonts w:ascii="Times New Roman" w:hAnsi="Times New Roman" w:cs="Times New Roman"/>
          <w:sz w:val="28"/>
          <w:szCs w:val="28"/>
        </w:rPr>
        <w:t>, нижчими накладними витратами, такі як оренда приміщень, комунальні послуги та адміністративні витрати, завдяки використанню ресурсів в країнах з нижчими витратами на ведення бізнесу.</w:t>
      </w:r>
      <w:r w:rsidR="00980DCB" w:rsidRPr="006F108E">
        <w:rPr>
          <w:rFonts w:ascii="Times New Roman" w:hAnsi="Times New Roman" w:cs="Times New Roman"/>
          <w:sz w:val="28"/>
          <w:szCs w:val="28"/>
        </w:rPr>
        <w:t xml:space="preserve"> </w:t>
      </w:r>
      <w:r w:rsidR="00570079" w:rsidRPr="006F108E">
        <w:rPr>
          <w:rFonts w:ascii="Times New Roman" w:hAnsi="Times New Roman" w:cs="Times New Roman"/>
          <w:sz w:val="28"/>
          <w:szCs w:val="28"/>
        </w:rPr>
        <w:t xml:space="preserve"> Країни з низьким рівнем доходів (наприклад, Індія, Китай, В'єтнам, Філіппіни) пропонують дешевшу робочу силу порівняно </w:t>
      </w:r>
      <w:r w:rsidR="00570079" w:rsidRPr="006F108E">
        <w:rPr>
          <w:rFonts w:ascii="Times New Roman" w:hAnsi="Times New Roman" w:cs="Times New Roman"/>
          <w:sz w:val="28"/>
          <w:szCs w:val="28"/>
        </w:rPr>
        <w:lastRenderedPageBreak/>
        <w:t xml:space="preserve">з розвиненими державами. Для прикладу, </w:t>
      </w:r>
      <w:r w:rsidR="00570079" w:rsidRPr="00B05237">
        <w:rPr>
          <w:rFonts w:ascii="Times New Roman" w:hAnsi="Times New Roman" w:cs="Times New Roman"/>
          <w:sz w:val="28"/>
          <w:szCs w:val="28"/>
        </w:rPr>
        <w:t>Apple виробляє техніку через китайського підрядника Foxconn, оскільки собівартість виробництва в Китаї значно нижча, ніж у США.</w:t>
      </w:r>
      <w:r w:rsidR="007E347D" w:rsidRPr="00B05237">
        <w:rPr>
          <w:rFonts w:ascii="Times New Roman" w:hAnsi="Times New Roman" w:cs="Times New Roman"/>
          <w:sz w:val="28"/>
          <w:szCs w:val="28"/>
        </w:rPr>
        <w:t xml:space="preserve"> Також, нафтогазові компанії реєструють дочірні компанії в офшорних зонах для доступу до дешевшої переробки та транспортування</w:t>
      </w:r>
      <w:r w:rsidR="00243245">
        <w:rPr>
          <w:rFonts w:ascii="Times New Roman" w:hAnsi="Times New Roman" w:cs="Times New Roman"/>
          <w:sz w:val="28"/>
          <w:szCs w:val="28"/>
          <w:lang w:val="en-US"/>
        </w:rPr>
        <w:t xml:space="preserve"> </w:t>
      </w:r>
      <w:r w:rsidR="00243245" w:rsidRPr="00CF787E">
        <w:rPr>
          <w:rFonts w:ascii="Times New Roman" w:hAnsi="Times New Roman" w:cs="Times New Roman"/>
          <w:sz w:val="28"/>
          <w:szCs w:val="28"/>
        </w:rPr>
        <w:t>[</w:t>
      </w:r>
      <w:r w:rsidR="00243245">
        <w:rPr>
          <w:rFonts w:ascii="Times New Roman" w:hAnsi="Times New Roman" w:cs="Times New Roman"/>
          <w:sz w:val="28"/>
          <w:szCs w:val="28"/>
          <w:lang w:val="en-US"/>
        </w:rPr>
        <w:t>12</w:t>
      </w:r>
      <w:r w:rsidR="00243245" w:rsidRPr="00CF787E">
        <w:rPr>
          <w:rFonts w:ascii="Times New Roman" w:hAnsi="Times New Roman" w:cs="Times New Roman"/>
          <w:sz w:val="28"/>
          <w:szCs w:val="28"/>
        </w:rPr>
        <w:t>]</w:t>
      </w:r>
      <w:r w:rsidR="007E347D" w:rsidRPr="00B05237">
        <w:rPr>
          <w:rFonts w:ascii="Times New Roman" w:hAnsi="Times New Roman" w:cs="Times New Roman"/>
          <w:sz w:val="28"/>
          <w:szCs w:val="28"/>
        </w:rPr>
        <w:t>.</w:t>
      </w:r>
    </w:p>
    <w:p w14:paraId="3BE88C2F" w14:textId="0046A3B3" w:rsidR="002C3682" w:rsidRPr="00D202AA" w:rsidRDefault="005F51EF"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 xml:space="preserve">Для зменшення податкового навантаження ТНК користуються офшорними </w:t>
      </w:r>
      <w:r w:rsidR="005F0EF4" w:rsidRPr="006F108E">
        <w:rPr>
          <w:rFonts w:ascii="Times New Roman" w:hAnsi="Times New Roman" w:cs="Times New Roman"/>
          <w:sz w:val="28"/>
          <w:szCs w:val="28"/>
        </w:rPr>
        <w:t>юрисдикціями, які</w:t>
      </w:r>
      <w:r w:rsidRPr="006F108E">
        <w:rPr>
          <w:rFonts w:ascii="Times New Roman" w:hAnsi="Times New Roman" w:cs="Times New Roman"/>
          <w:sz w:val="28"/>
          <w:szCs w:val="28"/>
        </w:rPr>
        <w:t xml:space="preserve"> пропонують пільгові податкові режими (низькі корпоративні податки або їх повна відсутність).</w:t>
      </w:r>
      <w:r w:rsidR="005F0EF4" w:rsidRPr="006F108E">
        <w:rPr>
          <w:rFonts w:ascii="Times New Roman" w:hAnsi="Times New Roman" w:cs="Times New Roman"/>
          <w:sz w:val="28"/>
          <w:szCs w:val="28"/>
        </w:rPr>
        <w:t xml:space="preserve"> ТНК</w:t>
      </w:r>
      <w:r w:rsidRPr="006F108E">
        <w:rPr>
          <w:rFonts w:ascii="Times New Roman" w:hAnsi="Times New Roman" w:cs="Times New Roman"/>
          <w:sz w:val="28"/>
          <w:szCs w:val="28"/>
        </w:rPr>
        <w:t xml:space="preserve"> можуть реєструвати бізнес у таких країнах і сплачувати мінімальні податки, що безпосередньо знижує витрати.</w:t>
      </w:r>
      <w:r w:rsidR="00C57682" w:rsidRPr="006F108E">
        <w:rPr>
          <w:rFonts w:ascii="Times New Roman" w:hAnsi="Times New Roman" w:cs="Times New Roman"/>
          <w:sz w:val="28"/>
          <w:szCs w:val="28"/>
        </w:rPr>
        <w:t xml:space="preserve"> Для прикладу, </w:t>
      </w:r>
      <w:r w:rsidRPr="006F108E">
        <w:rPr>
          <w:rFonts w:ascii="Times New Roman" w:hAnsi="Times New Roman" w:cs="Times New Roman"/>
          <w:sz w:val="28"/>
          <w:szCs w:val="28"/>
        </w:rPr>
        <w:t xml:space="preserve"> </w:t>
      </w:r>
      <w:r w:rsidRPr="00D202AA">
        <w:rPr>
          <w:rFonts w:ascii="Times New Roman" w:hAnsi="Times New Roman" w:cs="Times New Roman"/>
          <w:sz w:val="28"/>
          <w:szCs w:val="28"/>
        </w:rPr>
        <w:t>Google (Alphabet)</w:t>
      </w:r>
      <w:r w:rsidRPr="006F108E">
        <w:rPr>
          <w:rFonts w:ascii="Times New Roman" w:hAnsi="Times New Roman" w:cs="Times New Roman"/>
          <w:sz w:val="28"/>
          <w:szCs w:val="28"/>
        </w:rPr>
        <w:t xml:space="preserve"> використовувала офшорні схеми, такі як "Double Irish with a Dutch Sandwich", для мінімізації податків</w:t>
      </w:r>
      <w:r w:rsidR="00243245">
        <w:rPr>
          <w:rFonts w:ascii="Times New Roman" w:hAnsi="Times New Roman" w:cs="Times New Roman"/>
          <w:sz w:val="28"/>
          <w:szCs w:val="28"/>
          <w:lang w:val="en-US"/>
        </w:rPr>
        <w:t xml:space="preserve"> </w:t>
      </w:r>
      <w:r w:rsidR="00243245" w:rsidRPr="00CF787E">
        <w:rPr>
          <w:rFonts w:ascii="Times New Roman" w:hAnsi="Times New Roman" w:cs="Times New Roman"/>
          <w:sz w:val="28"/>
          <w:szCs w:val="28"/>
        </w:rPr>
        <w:t>[</w:t>
      </w:r>
      <w:r w:rsidR="00243245">
        <w:rPr>
          <w:rFonts w:ascii="Times New Roman" w:hAnsi="Times New Roman" w:cs="Times New Roman"/>
          <w:sz w:val="28"/>
          <w:szCs w:val="28"/>
          <w:lang w:val="en-US"/>
        </w:rPr>
        <w:t>11</w:t>
      </w:r>
      <w:r w:rsidR="00243245" w:rsidRPr="00CF787E">
        <w:rPr>
          <w:rFonts w:ascii="Times New Roman" w:hAnsi="Times New Roman" w:cs="Times New Roman"/>
          <w:sz w:val="28"/>
          <w:szCs w:val="28"/>
        </w:rPr>
        <w:t>]</w:t>
      </w:r>
      <w:r w:rsidRPr="006F108E">
        <w:rPr>
          <w:rFonts w:ascii="Times New Roman" w:hAnsi="Times New Roman" w:cs="Times New Roman"/>
          <w:sz w:val="28"/>
          <w:szCs w:val="28"/>
        </w:rPr>
        <w:t>.</w:t>
      </w:r>
      <w:r w:rsidR="002C3682" w:rsidRPr="006F108E">
        <w:rPr>
          <w:rFonts w:ascii="Times New Roman" w:hAnsi="Times New Roman" w:cs="Times New Roman"/>
          <w:sz w:val="28"/>
          <w:szCs w:val="28"/>
        </w:rPr>
        <w:t xml:space="preserve"> </w:t>
      </w:r>
      <w:r w:rsidR="00B4296D" w:rsidRPr="006F108E">
        <w:rPr>
          <w:rFonts w:ascii="Times New Roman" w:hAnsi="Times New Roman" w:cs="Times New Roman"/>
          <w:sz w:val="28"/>
          <w:szCs w:val="28"/>
        </w:rPr>
        <w:t xml:space="preserve">Інколи, ТНК можуть стикнутись із суворим </w:t>
      </w:r>
      <w:r w:rsidR="00B4296D" w:rsidRPr="00D202AA">
        <w:rPr>
          <w:rFonts w:ascii="Times New Roman" w:hAnsi="Times New Roman" w:cs="Times New Roman"/>
          <w:sz w:val="28"/>
          <w:szCs w:val="28"/>
        </w:rPr>
        <w:t>регулюванням та екологічними стандартами. У багатьох країнах, де практикується офшоринг, екологічні вимоги та стандарти безпеки праці є менш жорсткими, що знижує витрати на дотримання нормативів. Так, текстильна промисловість Бангладешу має значно нижчі витрати завдяки слабким екологічним регуляціям.</w:t>
      </w:r>
      <w:r w:rsidR="002C3682" w:rsidRPr="00D202AA">
        <w:rPr>
          <w:rFonts w:ascii="Times New Roman" w:hAnsi="Times New Roman" w:cs="Times New Roman"/>
          <w:sz w:val="28"/>
          <w:szCs w:val="28"/>
        </w:rPr>
        <w:t xml:space="preserve"> </w:t>
      </w:r>
      <w:r w:rsidR="00515FF2" w:rsidRPr="00D202AA">
        <w:rPr>
          <w:rFonts w:ascii="Times New Roman" w:hAnsi="Times New Roman" w:cs="Times New Roman"/>
          <w:sz w:val="28"/>
          <w:szCs w:val="28"/>
        </w:rPr>
        <w:t>Таким чином офшоринг дає можливість ТНК суттєво знизити витрати виробництва, використовуючи дешеву робочу силу, податкові пільги, оптимізовану логістику та доступ до дешевих матеріалів. Це сприяє зростанню їх прибутків та конкурентоспроможності на глобальному ринку.</w:t>
      </w:r>
    </w:p>
    <w:p w14:paraId="1ADAD531" w14:textId="2B3B0230" w:rsidR="006F4C62" w:rsidRPr="006F108E" w:rsidRDefault="00E008C1"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Приклади компаній, які використовують офшоринг для зниження цін на продукці</w:t>
      </w:r>
      <w:r w:rsidR="00431DC3" w:rsidRPr="006F108E">
        <w:rPr>
          <w:rFonts w:ascii="Times New Roman" w:hAnsi="Times New Roman" w:cs="Times New Roman"/>
          <w:sz w:val="28"/>
          <w:szCs w:val="28"/>
        </w:rPr>
        <w:t>ю наведено в таблиці 2</w:t>
      </w:r>
    </w:p>
    <w:p w14:paraId="30A1F57F" w14:textId="3CF06A16" w:rsidR="00431DC3" w:rsidRDefault="00431DC3" w:rsidP="008668CA">
      <w:pPr>
        <w:spacing w:after="0" w:line="360" w:lineRule="auto"/>
        <w:jc w:val="right"/>
        <w:rPr>
          <w:rFonts w:ascii="Times New Roman" w:hAnsi="Times New Roman" w:cs="Times New Roman"/>
          <w:sz w:val="28"/>
          <w:szCs w:val="28"/>
        </w:rPr>
      </w:pPr>
      <w:r w:rsidRPr="006F108E">
        <w:rPr>
          <w:rFonts w:ascii="Times New Roman" w:hAnsi="Times New Roman" w:cs="Times New Roman"/>
          <w:sz w:val="28"/>
          <w:szCs w:val="28"/>
        </w:rPr>
        <w:t>Таблиця 2</w:t>
      </w:r>
    </w:p>
    <w:p w14:paraId="204A8D09" w14:textId="700628CE" w:rsidR="006C25EB" w:rsidRPr="00A97304" w:rsidRDefault="00A97304" w:rsidP="008668C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Приклади використання офршорингу ТНК та їх ефект</w:t>
      </w:r>
    </w:p>
    <w:tbl>
      <w:tblPr>
        <w:tblStyle w:val="TableGrid"/>
        <w:tblW w:w="0" w:type="auto"/>
        <w:tblLook w:val="04A0" w:firstRow="1" w:lastRow="0" w:firstColumn="1" w:lastColumn="0" w:noHBand="0" w:noVBand="1"/>
      </w:tblPr>
      <w:tblGrid>
        <w:gridCol w:w="1296"/>
        <w:gridCol w:w="8558"/>
      </w:tblGrid>
      <w:tr w:rsidR="00431DC3" w14:paraId="66FE28C2" w14:textId="77777777" w:rsidTr="005F6A94">
        <w:tc>
          <w:tcPr>
            <w:tcW w:w="1296" w:type="dxa"/>
          </w:tcPr>
          <w:p w14:paraId="4DE000E0" w14:textId="2B23262D" w:rsidR="00431DC3" w:rsidRPr="006F108E" w:rsidRDefault="00431DC3" w:rsidP="008301D5">
            <w:pPr>
              <w:jc w:val="center"/>
              <w:rPr>
                <w:rFonts w:ascii="Times New Roman" w:hAnsi="Times New Roman" w:cs="Times New Roman"/>
                <w:sz w:val="24"/>
                <w:szCs w:val="24"/>
              </w:rPr>
            </w:pPr>
            <w:r w:rsidRPr="006F108E">
              <w:rPr>
                <w:rFonts w:ascii="Times New Roman" w:hAnsi="Times New Roman" w:cs="Times New Roman"/>
                <w:sz w:val="24"/>
                <w:szCs w:val="24"/>
              </w:rPr>
              <w:t>ТНК</w:t>
            </w:r>
          </w:p>
        </w:tc>
        <w:tc>
          <w:tcPr>
            <w:tcW w:w="8558" w:type="dxa"/>
          </w:tcPr>
          <w:p w14:paraId="258E812C" w14:textId="2466D40F" w:rsidR="00431DC3" w:rsidRPr="006F108E" w:rsidRDefault="00431DC3" w:rsidP="008301D5">
            <w:pPr>
              <w:jc w:val="center"/>
              <w:rPr>
                <w:rFonts w:ascii="Times New Roman" w:hAnsi="Times New Roman" w:cs="Times New Roman"/>
                <w:sz w:val="24"/>
                <w:szCs w:val="24"/>
              </w:rPr>
            </w:pPr>
            <w:r w:rsidRPr="006F108E">
              <w:rPr>
                <w:rFonts w:ascii="Times New Roman" w:hAnsi="Times New Roman" w:cs="Times New Roman"/>
                <w:sz w:val="24"/>
                <w:szCs w:val="24"/>
              </w:rPr>
              <w:t>Приклади використання офшорингу</w:t>
            </w:r>
          </w:p>
        </w:tc>
      </w:tr>
      <w:tr w:rsidR="00431DC3" w14:paraId="6C5E2E82" w14:textId="77777777" w:rsidTr="005F6A94">
        <w:tc>
          <w:tcPr>
            <w:tcW w:w="1296" w:type="dxa"/>
          </w:tcPr>
          <w:p w14:paraId="3F6E8806" w14:textId="37980FEE" w:rsidR="00431DC3" w:rsidRPr="006F108E" w:rsidRDefault="00431DC3" w:rsidP="008301D5">
            <w:pPr>
              <w:rPr>
                <w:rFonts w:ascii="Times New Roman" w:hAnsi="Times New Roman" w:cs="Times New Roman"/>
                <w:sz w:val="24"/>
                <w:szCs w:val="24"/>
              </w:rPr>
            </w:pPr>
            <w:r w:rsidRPr="006F108E">
              <w:rPr>
                <w:rFonts w:ascii="Times New Roman" w:hAnsi="Times New Roman" w:cs="Times New Roman"/>
                <w:sz w:val="24"/>
                <w:szCs w:val="24"/>
              </w:rPr>
              <w:t>Apple Inc.</w:t>
            </w:r>
          </w:p>
        </w:tc>
        <w:tc>
          <w:tcPr>
            <w:tcW w:w="8558" w:type="dxa"/>
          </w:tcPr>
          <w:p w14:paraId="4F5A3A3C" w14:textId="77777777" w:rsidR="0092656D" w:rsidRPr="006F108E" w:rsidRDefault="0092656D"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Як використовує офшоринг?</w:t>
            </w:r>
          </w:p>
          <w:p w14:paraId="621ACA34" w14:textId="41E5708A" w:rsidR="0092656D" w:rsidRPr="006F108E" w:rsidRDefault="0092656D"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Apple передає виробництво iPhone, MacBook та інших пристроїв китайському підряднику Foxconn, що дозволяє знизити витрати на робочу силу.</w:t>
            </w:r>
            <w:r w:rsidR="00A97304">
              <w:rPr>
                <w:rFonts w:ascii="Times New Roman" w:hAnsi="Times New Roman" w:cs="Times New Roman"/>
                <w:sz w:val="24"/>
                <w:szCs w:val="24"/>
              </w:rPr>
              <w:t>м</w:t>
            </w:r>
            <w:r w:rsidRPr="006F108E">
              <w:rPr>
                <w:rFonts w:ascii="Times New Roman" w:hAnsi="Times New Roman" w:cs="Times New Roman"/>
                <w:sz w:val="24"/>
                <w:szCs w:val="24"/>
              </w:rPr>
              <w:t>Компанія реєструє прибутки в Ірландії, де корпоративний податок нижчий, ніж у США.</w:t>
            </w:r>
          </w:p>
          <w:p w14:paraId="38CC290C" w14:textId="77777777" w:rsidR="0092656D" w:rsidRPr="006F108E" w:rsidRDefault="0092656D"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Ефект:</w:t>
            </w:r>
          </w:p>
          <w:p w14:paraId="573376B7" w14:textId="37F1B89B" w:rsidR="00431DC3" w:rsidRPr="00A97304" w:rsidRDefault="0092656D"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Вартість виробництва iPhone у Китаї є набагато нижчою, ніж у США, що дозволяє компанії утримувати конкурентоспроможні ціни при високій маржі прибутку.</w:t>
            </w:r>
            <w:r w:rsidR="00A97304">
              <w:rPr>
                <w:rFonts w:ascii="Times New Roman" w:hAnsi="Times New Roman" w:cs="Times New Roman"/>
                <w:sz w:val="24"/>
                <w:szCs w:val="24"/>
              </w:rPr>
              <w:t xml:space="preserve"> </w:t>
            </w:r>
            <w:r w:rsidRPr="006F108E">
              <w:rPr>
                <w:rFonts w:ascii="Times New Roman" w:hAnsi="Times New Roman" w:cs="Times New Roman"/>
                <w:sz w:val="24"/>
                <w:szCs w:val="24"/>
              </w:rPr>
              <w:t xml:space="preserve">Оптимізація податкового навантаження через офшорні схеми сприяє </w:t>
            </w:r>
            <w:r w:rsidRPr="006F108E">
              <w:rPr>
                <w:rFonts w:ascii="Times New Roman" w:hAnsi="Times New Roman" w:cs="Times New Roman"/>
                <w:sz w:val="24"/>
                <w:szCs w:val="24"/>
              </w:rPr>
              <w:lastRenderedPageBreak/>
              <w:t>зниженню кінцевої вартості продукції.</w:t>
            </w:r>
          </w:p>
        </w:tc>
      </w:tr>
      <w:tr w:rsidR="00431DC3" w14:paraId="088A5C99" w14:textId="77777777" w:rsidTr="005F6A94">
        <w:tc>
          <w:tcPr>
            <w:tcW w:w="1296" w:type="dxa"/>
          </w:tcPr>
          <w:p w14:paraId="742B1DDF" w14:textId="121712BF" w:rsidR="00431DC3" w:rsidRPr="006F108E" w:rsidRDefault="00431DC3" w:rsidP="008301D5">
            <w:pPr>
              <w:rPr>
                <w:rFonts w:ascii="Times New Roman" w:hAnsi="Times New Roman" w:cs="Times New Roman"/>
                <w:sz w:val="24"/>
                <w:szCs w:val="24"/>
              </w:rPr>
            </w:pPr>
            <w:r w:rsidRPr="006F108E">
              <w:rPr>
                <w:rFonts w:ascii="Times New Roman" w:hAnsi="Times New Roman" w:cs="Times New Roman"/>
                <w:sz w:val="24"/>
                <w:szCs w:val="24"/>
              </w:rPr>
              <w:lastRenderedPageBreak/>
              <w:t>Nike, Inc.</w:t>
            </w:r>
          </w:p>
        </w:tc>
        <w:tc>
          <w:tcPr>
            <w:tcW w:w="8558" w:type="dxa"/>
          </w:tcPr>
          <w:p w14:paraId="001D780B" w14:textId="77777777" w:rsidR="00C61765" w:rsidRPr="006F108E"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Як використовує офшоринг?</w:t>
            </w:r>
          </w:p>
          <w:p w14:paraId="70D385CD" w14:textId="19EAE5D8" w:rsidR="00C61765" w:rsidRPr="006F108E"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Виробництво спортивного взуття та одягу передано в країни з низькими зарплатами, такі як В’єтнам, Китай, Індонезія, Індія.</w:t>
            </w:r>
            <w:r w:rsidR="00A97304">
              <w:rPr>
                <w:rFonts w:ascii="Times New Roman" w:hAnsi="Times New Roman" w:cs="Times New Roman"/>
                <w:sz w:val="24"/>
                <w:szCs w:val="24"/>
              </w:rPr>
              <w:t xml:space="preserve"> </w:t>
            </w:r>
            <w:r w:rsidRPr="006F108E">
              <w:rPr>
                <w:rFonts w:ascii="Times New Roman" w:hAnsi="Times New Roman" w:cs="Times New Roman"/>
                <w:sz w:val="24"/>
                <w:szCs w:val="24"/>
              </w:rPr>
              <w:t>Використання контрактного виробництва зменшує витрати на підтримку власних фабрик.</w:t>
            </w:r>
          </w:p>
          <w:p w14:paraId="7DC0FC9F" w14:textId="77777777" w:rsidR="00C61765" w:rsidRPr="006F108E"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Ефект:</w:t>
            </w:r>
          </w:p>
          <w:p w14:paraId="3525DC8A" w14:textId="7787C447" w:rsidR="00431DC3" w:rsidRPr="00A97304"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Завдяки низьким виробничим витратам Nike може пропонувати якісне спортивне взуття за прийнятними цінами.</w:t>
            </w:r>
            <w:r w:rsidR="00A97304">
              <w:rPr>
                <w:rFonts w:ascii="Times New Roman" w:hAnsi="Times New Roman" w:cs="Times New Roman"/>
                <w:sz w:val="24"/>
                <w:szCs w:val="24"/>
              </w:rPr>
              <w:t xml:space="preserve"> </w:t>
            </w:r>
            <w:r w:rsidRPr="006F108E">
              <w:rPr>
                <w:rFonts w:ascii="Times New Roman" w:hAnsi="Times New Roman" w:cs="Times New Roman"/>
                <w:sz w:val="24"/>
                <w:szCs w:val="24"/>
              </w:rPr>
              <w:t>Компанія реєструє частину прибутків у країнах з низьким оподаткуванням, що дає можливість зменшувати витрати.</w:t>
            </w:r>
          </w:p>
        </w:tc>
      </w:tr>
      <w:tr w:rsidR="00431DC3" w14:paraId="68B54833" w14:textId="77777777" w:rsidTr="005F6A94">
        <w:tc>
          <w:tcPr>
            <w:tcW w:w="1296" w:type="dxa"/>
          </w:tcPr>
          <w:p w14:paraId="3F0F117B" w14:textId="345D898A" w:rsidR="00431DC3" w:rsidRPr="006F108E" w:rsidRDefault="00431DC3" w:rsidP="008301D5">
            <w:pPr>
              <w:spacing w:line="259" w:lineRule="auto"/>
              <w:rPr>
                <w:rFonts w:ascii="Times New Roman" w:hAnsi="Times New Roman" w:cs="Times New Roman"/>
                <w:sz w:val="24"/>
                <w:szCs w:val="24"/>
              </w:rPr>
            </w:pPr>
            <w:r w:rsidRPr="006F108E">
              <w:rPr>
                <w:rFonts w:ascii="Times New Roman" w:hAnsi="Times New Roman" w:cs="Times New Roman"/>
                <w:sz w:val="24"/>
                <w:szCs w:val="24"/>
              </w:rPr>
              <w:t>Samsung Electronics</w:t>
            </w:r>
          </w:p>
        </w:tc>
        <w:tc>
          <w:tcPr>
            <w:tcW w:w="8558" w:type="dxa"/>
          </w:tcPr>
          <w:p w14:paraId="11F689F0" w14:textId="77777777" w:rsidR="00C61765" w:rsidRPr="006F108E"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Як використовує офшоринг?</w:t>
            </w:r>
          </w:p>
          <w:p w14:paraId="0809127B" w14:textId="5196361B" w:rsidR="00C61765" w:rsidRPr="006F108E"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Основне виробництво смартфонів та електроніки передане у В’єтнам, Китай, Індію.</w:t>
            </w:r>
            <w:r w:rsidR="00A97304">
              <w:rPr>
                <w:rFonts w:ascii="Times New Roman" w:hAnsi="Times New Roman" w:cs="Times New Roman"/>
                <w:sz w:val="24"/>
                <w:szCs w:val="24"/>
              </w:rPr>
              <w:t xml:space="preserve"> </w:t>
            </w:r>
            <w:r w:rsidRPr="006F108E">
              <w:rPr>
                <w:rFonts w:ascii="Times New Roman" w:hAnsi="Times New Roman" w:cs="Times New Roman"/>
                <w:sz w:val="24"/>
                <w:szCs w:val="24"/>
              </w:rPr>
              <w:t>Дослідницькі центри розміщені у країнах з дешевшими спеціалістами (Індія, Україна, Польща).</w:t>
            </w:r>
          </w:p>
          <w:p w14:paraId="5F169E4C" w14:textId="77777777" w:rsidR="00C61765" w:rsidRPr="006F108E"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Ефект:</w:t>
            </w:r>
          </w:p>
          <w:p w14:paraId="401E627E" w14:textId="3D6FC197" w:rsidR="00431DC3" w:rsidRPr="00903824" w:rsidRDefault="00C61765"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Завдяки дешевшому виробництву Samsung може конкурувати з Apple та іншими брендами, пропонуючи доступніші смартфони та гаджети.</w:t>
            </w:r>
            <w:r w:rsidR="00903824">
              <w:rPr>
                <w:rFonts w:ascii="Times New Roman" w:hAnsi="Times New Roman" w:cs="Times New Roman"/>
                <w:sz w:val="24"/>
                <w:szCs w:val="24"/>
              </w:rPr>
              <w:t xml:space="preserve"> </w:t>
            </w:r>
            <w:r w:rsidRPr="006F108E">
              <w:rPr>
                <w:rFonts w:ascii="Times New Roman" w:hAnsi="Times New Roman" w:cs="Times New Roman"/>
                <w:sz w:val="24"/>
                <w:szCs w:val="24"/>
              </w:rPr>
              <w:t>Офшорні податкові схеми допомагають зменшити витрати на корпоративне управління.</w:t>
            </w:r>
          </w:p>
        </w:tc>
      </w:tr>
      <w:tr w:rsidR="00431DC3" w14:paraId="297AC7D3" w14:textId="77777777" w:rsidTr="005F6A94">
        <w:tc>
          <w:tcPr>
            <w:tcW w:w="1296" w:type="dxa"/>
          </w:tcPr>
          <w:p w14:paraId="0D9FB0DC" w14:textId="2E06ABD8" w:rsidR="00431DC3" w:rsidRPr="006F108E" w:rsidRDefault="00A77EEF" w:rsidP="008301D5">
            <w:pPr>
              <w:rPr>
                <w:rFonts w:ascii="Times New Roman" w:hAnsi="Times New Roman" w:cs="Times New Roman"/>
                <w:sz w:val="24"/>
                <w:szCs w:val="24"/>
                <w:lang w:val="en-US"/>
              </w:rPr>
            </w:pPr>
            <w:r w:rsidRPr="006F108E">
              <w:rPr>
                <w:rFonts w:ascii="Times New Roman" w:hAnsi="Times New Roman" w:cs="Times New Roman"/>
                <w:sz w:val="24"/>
                <w:szCs w:val="24"/>
              </w:rPr>
              <w:t>Amazon</w:t>
            </w:r>
          </w:p>
        </w:tc>
        <w:tc>
          <w:tcPr>
            <w:tcW w:w="8558" w:type="dxa"/>
          </w:tcPr>
          <w:p w14:paraId="0812AA63" w14:textId="77777777" w:rsidR="00A77EEF" w:rsidRPr="006F108E" w:rsidRDefault="00A77EEF"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Як використовує офшоринг?</w:t>
            </w:r>
          </w:p>
          <w:p w14:paraId="7D3C6FA0" w14:textId="7F3335AE" w:rsidR="00A77EEF" w:rsidRPr="006F108E" w:rsidRDefault="00A77EEF"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Використовує офшорні центри підтримки клієнтів та розробки ПЗ в Індії, Філіппінах та Коста-Риці.</w:t>
            </w:r>
            <w:r w:rsidR="00903824">
              <w:rPr>
                <w:rFonts w:ascii="Times New Roman" w:hAnsi="Times New Roman" w:cs="Times New Roman"/>
                <w:sz w:val="24"/>
                <w:szCs w:val="24"/>
              </w:rPr>
              <w:t xml:space="preserve"> </w:t>
            </w:r>
            <w:r w:rsidRPr="006F108E">
              <w:rPr>
                <w:rFonts w:ascii="Times New Roman" w:hAnsi="Times New Roman" w:cs="Times New Roman"/>
                <w:sz w:val="24"/>
                <w:szCs w:val="24"/>
              </w:rPr>
              <w:t>Частина прибутку реєструється в Люксембурзі, де податкова ставка нижча.</w:t>
            </w:r>
          </w:p>
          <w:p w14:paraId="1293550C" w14:textId="77777777" w:rsidR="00A77EEF" w:rsidRPr="006F108E" w:rsidRDefault="00A77EEF"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Ефект:</w:t>
            </w:r>
          </w:p>
          <w:p w14:paraId="39327404" w14:textId="77777777" w:rsidR="00A77EEF" w:rsidRPr="006F108E" w:rsidRDefault="00A77EEF"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Завдяки дешевшому аутсорсингу Amazon може пропонувати низькі ціни на свої товари та швидке обслуговування.</w:t>
            </w:r>
          </w:p>
          <w:p w14:paraId="2AA57B5F" w14:textId="0659053D" w:rsidR="00431DC3" w:rsidRPr="006F108E" w:rsidRDefault="00A77EEF" w:rsidP="008668CA">
            <w:pPr>
              <w:spacing w:line="259" w:lineRule="auto"/>
              <w:jc w:val="both"/>
              <w:rPr>
                <w:rFonts w:ascii="Times New Roman" w:hAnsi="Times New Roman" w:cs="Times New Roman"/>
                <w:sz w:val="24"/>
                <w:szCs w:val="24"/>
                <w:lang w:val="en-US"/>
              </w:rPr>
            </w:pPr>
            <w:r w:rsidRPr="006F108E">
              <w:rPr>
                <w:rFonts w:ascii="Times New Roman" w:hAnsi="Times New Roman" w:cs="Times New Roman"/>
                <w:sz w:val="24"/>
                <w:szCs w:val="24"/>
              </w:rPr>
              <w:t>Офшорні стратегії дозволяють знизити витрати на операційне обслуговування.</w:t>
            </w:r>
          </w:p>
        </w:tc>
      </w:tr>
      <w:tr w:rsidR="00B2620E" w14:paraId="05F2665B" w14:textId="77777777" w:rsidTr="005F6A94">
        <w:tc>
          <w:tcPr>
            <w:tcW w:w="1296" w:type="dxa"/>
          </w:tcPr>
          <w:p w14:paraId="6650BB19" w14:textId="473462CC" w:rsidR="00B2620E" w:rsidRPr="006F108E" w:rsidRDefault="00B2620E" w:rsidP="008301D5">
            <w:pPr>
              <w:rPr>
                <w:rFonts w:ascii="Times New Roman" w:hAnsi="Times New Roman" w:cs="Times New Roman"/>
                <w:sz w:val="24"/>
                <w:szCs w:val="24"/>
              </w:rPr>
            </w:pPr>
            <w:r w:rsidRPr="006F108E">
              <w:rPr>
                <w:rFonts w:ascii="Times New Roman" w:hAnsi="Times New Roman" w:cs="Times New Roman"/>
                <w:sz w:val="24"/>
                <w:szCs w:val="24"/>
              </w:rPr>
              <w:t>Tesla</w:t>
            </w:r>
          </w:p>
        </w:tc>
        <w:tc>
          <w:tcPr>
            <w:tcW w:w="8558" w:type="dxa"/>
          </w:tcPr>
          <w:p w14:paraId="16B5A0FD" w14:textId="77777777" w:rsidR="00B2620E" w:rsidRPr="006F108E" w:rsidRDefault="00B2620E"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Як використовує офшоринг?</w:t>
            </w:r>
          </w:p>
          <w:p w14:paraId="50EDD417" w14:textId="77777777" w:rsidR="00B2620E" w:rsidRPr="006F108E" w:rsidRDefault="00B2620E"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Відкрила гігафабрику в Китаї (Gigafactory Shanghai), що зменшує виробничі витрати через доступ до дешевшої робочої сили та місцевих постачальників.</w:t>
            </w:r>
          </w:p>
          <w:p w14:paraId="4EEE4973" w14:textId="77777777" w:rsidR="00B2620E" w:rsidRPr="006F108E" w:rsidRDefault="00B2620E"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Експортує автомобілі з Китаю в інші країни, оскільки вартість виробництва в Китаї значно нижча, ніж у США.</w:t>
            </w:r>
          </w:p>
          <w:p w14:paraId="2684AB7A" w14:textId="77777777" w:rsidR="00B2620E" w:rsidRPr="006F108E" w:rsidRDefault="00B2620E"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Ефект:</w:t>
            </w:r>
          </w:p>
          <w:p w14:paraId="5DC5BD0C" w14:textId="0EBDAA57" w:rsidR="00B2620E" w:rsidRPr="00B12BD9" w:rsidRDefault="00B2620E" w:rsidP="008668CA">
            <w:pPr>
              <w:spacing w:line="259" w:lineRule="auto"/>
              <w:jc w:val="both"/>
              <w:rPr>
                <w:rFonts w:ascii="Times New Roman" w:hAnsi="Times New Roman" w:cs="Times New Roman"/>
                <w:sz w:val="24"/>
                <w:szCs w:val="24"/>
              </w:rPr>
            </w:pPr>
            <w:r w:rsidRPr="006F108E">
              <w:rPr>
                <w:rFonts w:ascii="Times New Roman" w:hAnsi="Times New Roman" w:cs="Times New Roman"/>
                <w:sz w:val="24"/>
                <w:szCs w:val="24"/>
              </w:rPr>
              <w:t>Tesla Model 3, вироблений у Китаї, коштує дешевше, ніж аналогічний автомобіль, виготовлений у США.</w:t>
            </w:r>
            <w:r w:rsidR="00B12BD9">
              <w:rPr>
                <w:rFonts w:ascii="Times New Roman" w:hAnsi="Times New Roman" w:cs="Times New Roman"/>
                <w:sz w:val="24"/>
                <w:szCs w:val="24"/>
              </w:rPr>
              <w:t xml:space="preserve"> </w:t>
            </w:r>
            <w:r w:rsidRPr="006F108E">
              <w:rPr>
                <w:rFonts w:ascii="Times New Roman" w:hAnsi="Times New Roman" w:cs="Times New Roman"/>
                <w:sz w:val="24"/>
                <w:szCs w:val="24"/>
              </w:rPr>
              <w:t>Компанія може швидше масштабувати виробництво та знижувати ціни на електромобілі.</w:t>
            </w:r>
          </w:p>
        </w:tc>
      </w:tr>
    </w:tbl>
    <w:p w14:paraId="2E27F465" w14:textId="2DA5608E" w:rsidR="00A44A9B" w:rsidRPr="00D17A34" w:rsidRDefault="00D17A34" w:rsidP="008668C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F787E">
        <w:rPr>
          <w:rFonts w:ascii="Times New Roman" w:hAnsi="Times New Roman" w:cs="Times New Roman"/>
          <w:sz w:val="28"/>
          <w:szCs w:val="28"/>
        </w:rPr>
        <w:t>Сформовано</w:t>
      </w:r>
      <w:r>
        <w:rPr>
          <w:rFonts w:ascii="Times New Roman" w:hAnsi="Times New Roman" w:cs="Times New Roman"/>
          <w:sz w:val="28"/>
          <w:szCs w:val="28"/>
          <w:lang w:val="en-US"/>
        </w:rPr>
        <w:t xml:space="preserve"> </w:t>
      </w:r>
      <w:r>
        <w:rPr>
          <w:rFonts w:ascii="Times New Roman" w:hAnsi="Times New Roman" w:cs="Times New Roman"/>
          <w:sz w:val="28"/>
          <w:szCs w:val="28"/>
        </w:rPr>
        <w:t>автором</w:t>
      </w:r>
      <w:r w:rsidRPr="00CF787E">
        <w:rPr>
          <w:rFonts w:ascii="Times New Roman" w:hAnsi="Times New Roman" w:cs="Times New Roman"/>
          <w:sz w:val="28"/>
          <w:szCs w:val="28"/>
        </w:rPr>
        <w:t xml:space="preserve"> на основі [</w:t>
      </w:r>
      <w:r>
        <w:rPr>
          <w:rFonts w:ascii="Times New Roman" w:hAnsi="Times New Roman" w:cs="Times New Roman"/>
          <w:sz w:val="28"/>
          <w:szCs w:val="28"/>
          <w:lang w:val="en-US"/>
        </w:rPr>
        <w:t>8</w:t>
      </w:r>
      <w:r w:rsidRPr="00CF787E">
        <w:rPr>
          <w:rFonts w:ascii="Times New Roman" w:hAnsi="Times New Roman" w:cs="Times New Roman"/>
          <w:sz w:val="28"/>
          <w:szCs w:val="28"/>
        </w:rPr>
        <w:t>,</w:t>
      </w:r>
      <w:r>
        <w:rPr>
          <w:rFonts w:ascii="Times New Roman" w:hAnsi="Times New Roman" w:cs="Times New Roman"/>
          <w:sz w:val="28"/>
          <w:szCs w:val="28"/>
          <w:lang w:val="en-US"/>
        </w:rPr>
        <w:t>9</w:t>
      </w:r>
      <w:r w:rsidRPr="00CF787E">
        <w:rPr>
          <w:rFonts w:ascii="Times New Roman" w:hAnsi="Times New Roman" w:cs="Times New Roman"/>
          <w:sz w:val="28"/>
          <w:szCs w:val="28"/>
        </w:rPr>
        <w:t>,</w:t>
      </w:r>
      <w:r>
        <w:rPr>
          <w:rFonts w:ascii="Times New Roman" w:hAnsi="Times New Roman" w:cs="Times New Roman"/>
          <w:sz w:val="28"/>
          <w:szCs w:val="28"/>
          <w:lang w:val="en-US"/>
        </w:rPr>
        <w:t>10</w:t>
      </w:r>
      <w:r w:rsidRPr="00CF787E">
        <w:rPr>
          <w:rFonts w:ascii="Times New Roman" w:hAnsi="Times New Roman" w:cs="Times New Roman"/>
          <w:sz w:val="28"/>
          <w:szCs w:val="28"/>
        </w:rPr>
        <w:t>]</w:t>
      </w:r>
    </w:p>
    <w:p w14:paraId="5DC6742B" w14:textId="77777777" w:rsidR="00A44A9B" w:rsidRDefault="007936CD"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Офшоринг дає змогу ТНК суттєво скорочувати витрати через</w:t>
      </w:r>
      <w:r w:rsidR="00A44A9B">
        <w:rPr>
          <w:rFonts w:ascii="Times New Roman" w:hAnsi="Times New Roman" w:cs="Times New Roman"/>
          <w:sz w:val="28"/>
          <w:szCs w:val="28"/>
        </w:rPr>
        <w:t xml:space="preserve">: </w:t>
      </w:r>
    </w:p>
    <w:p w14:paraId="2ADDF6A7" w14:textId="77777777" w:rsidR="00A44A9B" w:rsidRPr="00A44A9B" w:rsidRDefault="007936CD" w:rsidP="008668CA">
      <w:pPr>
        <w:pStyle w:val="ListParagraph"/>
        <w:numPr>
          <w:ilvl w:val="0"/>
          <w:numId w:val="26"/>
        </w:numPr>
        <w:spacing w:after="0" w:line="360" w:lineRule="auto"/>
        <w:jc w:val="both"/>
        <w:rPr>
          <w:rFonts w:ascii="Times New Roman" w:hAnsi="Times New Roman" w:cs="Times New Roman"/>
          <w:sz w:val="28"/>
          <w:szCs w:val="28"/>
        </w:rPr>
      </w:pPr>
      <w:r w:rsidRPr="00A44A9B">
        <w:rPr>
          <w:rFonts w:ascii="Times New Roman" w:hAnsi="Times New Roman" w:cs="Times New Roman"/>
          <w:sz w:val="28"/>
          <w:szCs w:val="28"/>
        </w:rPr>
        <w:t>Дешевшу робочу силу (Apple, Nike, Samsung</w:t>
      </w:r>
      <w:r w:rsidR="00A44A9B" w:rsidRPr="00A44A9B">
        <w:rPr>
          <w:rFonts w:ascii="Times New Roman" w:hAnsi="Times New Roman" w:cs="Times New Roman"/>
          <w:sz w:val="28"/>
          <w:szCs w:val="28"/>
        </w:rPr>
        <w:t>)</w:t>
      </w:r>
    </w:p>
    <w:p w14:paraId="2B38F370" w14:textId="77777777" w:rsidR="00A44A9B" w:rsidRPr="00A44A9B" w:rsidRDefault="007936CD" w:rsidP="008668CA">
      <w:pPr>
        <w:pStyle w:val="ListParagraph"/>
        <w:numPr>
          <w:ilvl w:val="0"/>
          <w:numId w:val="26"/>
        </w:numPr>
        <w:spacing w:after="0" w:line="360" w:lineRule="auto"/>
        <w:jc w:val="both"/>
        <w:rPr>
          <w:rFonts w:ascii="Times New Roman" w:hAnsi="Times New Roman" w:cs="Times New Roman"/>
          <w:sz w:val="28"/>
          <w:szCs w:val="28"/>
        </w:rPr>
      </w:pPr>
      <w:r w:rsidRPr="00A44A9B">
        <w:rPr>
          <w:rFonts w:ascii="Times New Roman" w:hAnsi="Times New Roman" w:cs="Times New Roman"/>
          <w:sz w:val="28"/>
          <w:szCs w:val="28"/>
        </w:rPr>
        <w:t>Оптимізацію податків (Amazon, Apple)</w:t>
      </w:r>
    </w:p>
    <w:p w14:paraId="66BAC050" w14:textId="77777777" w:rsidR="00A44A9B" w:rsidRPr="00A44A9B" w:rsidRDefault="007936CD" w:rsidP="008668CA">
      <w:pPr>
        <w:pStyle w:val="ListParagraph"/>
        <w:numPr>
          <w:ilvl w:val="0"/>
          <w:numId w:val="26"/>
        </w:numPr>
        <w:spacing w:after="0" w:line="360" w:lineRule="auto"/>
        <w:jc w:val="both"/>
        <w:rPr>
          <w:rFonts w:ascii="Times New Roman" w:hAnsi="Times New Roman" w:cs="Times New Roman"/>
          <w:sz w:val="28"/>
          <w:szCs w:val="28"/>
        </w:rPr>
      </w:pPr>
      <w:r w:rsidRPr="00A44A9B">
        <w:rPr>
          <w:rFonts w:ascii="Times New Roman" w:hAnsi="Times New Roman" w:cs="Times New Roman"/>
          <w:sz w:val="28"/>
          <w:szCs w:val="28"/>
        </w:rPr>
        <w:t>Доступ до дешевших матеріалів та компонентів (Tesla, Samsung)</w:t>
      </w:r>
    </w:p>
    <w:p w14:paraId="6CC41D4B" w14:textId="77777777" w:rsidR="00A44A9B" w:rsidRPr="00A44A9B" w:rsidRDefault="007936CD" w:rsidP="008668CA">
      <w:pPr>
        <w:pStyle w:val="ListParagraph"/>
        <w:numPr>
          <w:ilvl w:val="0"/>
          <w:numId w:val="26"/>
        </w:numPr>
        <w:spacing w:after="0" w:line="360" w:lineRule="auto"/>
        <w:jc w:val="both"/>
        <w:rPr>
          <w:rFonts w:ascii="Times New Roman" w:hAnsi="Times New Roman" w:cs="Times New Roman"/>
          <w:sz w:val="28"/>
          <w:szCs w:val="28"/>
        </w:rPr>
      </w:pPr>
      <w:r w:rsidRPr="00A44A9B">
        <w:rPr>
          <w:rFonts w:ascii="Times New Roman" w:hAnsi="Times New Roman" w:cs="Times New Roman"/>
          <w:sz w:val="28"/>
          <w:szCs w:val="28"/>
        </w:rPr>
        <w:t>Аутсорсинг сервісних послуг (Amazon)</w:t>
      </w:r>
      <w:r w:rsidR="002C3682" w:rsidRPr="00A44A9B">
        <w:rPr>
          <w:rFonts w:ascii="Times New Roman" w:hAnsi="Times New Roman" w:cs="Times New Roman"/>
          <w:sz w:val="28"/>
          <w:szCs w:val="28"/>
        </w:rPr>
        <w:t xml:space="preserve">. </w:t>
      </w:r>
    </w:p>
    <w:p w14:paraId="52D20D29" w14:textId="2570A058" w:rsidR="002C3682" w:rsidRPr="006F108E" w:rsidRDefault="007936CD"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Ці компанії використовують офшорні схеми не лише для зниження витрат, а й для того, щоб зробити свої товари доступнішими для кінцевого споживача.</w:t>
      </w:r>
    </w:p>
    <w:p w14:paraId="6B23790A" w14:textId="77777777" w:rsidR="002C3682" w:rsidRPr="006F108E" w:rsidRDefault="00A6648B"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lastRenderedPageBreak/>
        <w:t>Перенесення виробництва або послуг у країни з нижчою вартістю робочої сили дозволяє ТНК суттєво зменшити витрати. За деякими оцінками, економія на витратах праці може становити від 30% до 70%, залежно від галузі та конкретної країни.</w:t>
      </w:r>
    </w:p>
    <w:p w14:paraId="3D9FE685" w14:textId="77777777" w:rsidR="002C3682" w:rsidRPr="006F108E" w:rsidRDefault="00E50AE2"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Використання офшорних юрисдикцій з низькими податковими ставками або спеціальними податковими режимами дозволяє ТНК зменшити податкові зобов'язання. За даними досліджень, деякі компанії знижують ефективну податкову ставку до рівня нижче 10% завдяки офшорним схемам.</w:t>
      </w:r>
    </w:p>
    <w:p w14:paraId="5919F3BB" w14:textId="5DE2BDD7" w:rsidR="002C3682" w:rsidRPr="006F108E" w:rsidRDefault="00E50AE2"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Офшоринг виробничих процесів у країни з дешевшими ресурсами та менш жорсткими регуляціями може призвести до значної економії. Наприклад, виробництво електроніки в країнах Південно-Східної Азії дозволяє знизити собівартість продукції на 20-50%</w:t>
      </w:r>
      <w:r w:rsidR="005F6A94">
        <w:rPr>
          <w:rFonts w:ascii="Times New Roman" w:hAnsi="Times New Roman" w:cs="Times New Roman"/>
          <w:sz w:val="28"/>
          <w:szCs w:val="28"/>
          <w:lang w:val="en-US"/>
        </w:rPr>
        <w:t xml:space="preserve"> </w:t>
      </w:r>
      <w:r w:rsidR="005F6A94" w:rsidRPr="00CF787E">
        <w:rPr>
          <w:rFonts w:ascii="Times New Roman" w:hAnsi="Times New Roman" w:cs="Times New Roman"/>
          <w:sz w:val="28"/>
          <w:szCs w:val="28"/>
        </w:rPr>
        <w:t>[</w:t>
      </w:r>
      <w:r w:rsidR="005F6A94">
        <w:rPr>
          <w:rFonts w:ascii="Times New Roman" w:hAnsi="Times New Roman" w:cs="Times New Roman"/>
          <w:sz w:val="28"/>
          <w:szCs w:val="28"/>
          <w:lang w:val="en-US"/>
        </w:rPr>
        <w:t>7</w:t>
      </w:r>
      <w:r w:rsidR="005F6A94" w:rsidRPr="00CF787E">
        <w:rPr>
          <w:rFonts w:ascii="Times New Roman" w:hAnsi="Times New Roman" w:cs="Times New Roman"/>
          <w:sz w:val="28"/>
          <w:szCs w:val="28"/>
        </w:rPr>
        <w:t>]</w:t>
      </w:r>
      <w:r w:rsidRPr="006F108E">
        <w:rPr>
          <w:rFonts w:ascii="Times New Roman" w:hAnsi="Times New Roman" w:cs="Times New Roman"/>
          <w:sz w:val="28"/>
          <w:szCs w:val="28"/>
        </w:rPr>
        <w:t>.</w:t>
      </w:r>
    </w:p>
    <w:p w14:paraId="416A5BAB" w14:textId="77777777" w:rsidR="002C3682" w:rsidRPr="006F108E" w:rsidRDefault="001519D7"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У результаті дослідження проблеми офшорингу як головного фактора ціноутворення в процесі діяльності транснаціональних корпорацій (ТНК) було встановлено, що офшоринг є ключовим інструментом оптимізації витрат та формування цінової політики на глобальному ринку.</w:t>
      </w:r>
    </w:p>
    <w:p w14:paraId="57A96517" w14:textId="77777777" w:rsidR="002C3682" w:rsidRPr="006F108E" w:rsidRDefault="00AF5AF2" w:rsidP="008668CA">
      <w:pPr>
        <w:spacing w:after="0" w:line="360" w:lineRule="auto"/>
        <w:ind w:firstLine="709"/>
        <w:jc w:val="both"/>
        <w:rPr>
          <w:rFonts w:ascii="Times New Roman" w:hAnsi="Times New Roman" w:cs="Times New Roman"/>
          <w:sz w:val="28"/>
          <w:szCs w:val="28"/>
        </w:rPr>
      </w:pPr>
      <w:r w:rsidRPr="006F108E">
        <w:rPr>
          <w:rFonts w:ascii="Times New Roman" w:hAnsi="Times New Roman" w:cs="Times New Roman"/>
          <w:sz w:val="28"/>
          <w:szCs w:val="28"/>
        </w:rPr>
        <w:t>Офшоринг є потужним чинником, що визначає підходи ТНК до ціноутворення, дозволяючи знижувати витрати та формувати гнучкі цінові стратегії. Проте його широке використання викликає необхідність пошуку балансу між корпоративними інтересами та справедливим оподаткуванням. Подальші дослідження у цій сфері повинні зосереджуватися на аналізі регуляторних механізмів та оцінці довгострокових наслідків офшорингу для світової економіки.</w:t>
      </w:r>
    </w:p>
    <w:p w14:paraId="18E7C3B4" w14:textId="77777777" w:rsidR="002C3682" w:rsidRPr="006F108E" w:rsidRDefault="002C3682" w:rsidP="002C3682">
      <w:pPr>
        <w:spacing w:after="0"/>
        <w:ind w:firstLine="709"/>
        <w:jc w:val="both"/>
        <w:rPr>
          <w:rFonts w:ascii="Times New Roman" w:hAnsi="Times New Roman" w:cs="Times New Roman"/>
          <w:sz w:val="28"/>
          <w:szCs w:val="28"/>
        </w:rPr>
      </w:pPr>
    </w:p>
    <w:p w14:paraId="07039E39" w14:textId="66FE438F" w:rsidR="007B1931" w:rsidRPr="008668CA" w:rsidRDefault="008668CA" w:rsidP="008668CA">
      <w:pPr>
        <w:spacing w:after="0"/>
        <w:ind w:firstLine="709"/>
        <w:jc w:val="center"/>
        <w:rPr>
          <w:rFonts w:ascii="Times New Roman" w:hAnsi="Times New Roman" w:cs="Times New Roman"/>
          <w:b/>
          <w:bCs/>
          <w:sz w:val="24"/>
          <w:szCs w:val="24"/>
        </w:rPr>
      </w:pPr>
      <w:r w:rsidRPr="008668CA">
        <w:rPr>
          <w:rFonts w:ascii="Times New Roman" w:hAnsi="Times New Roman" w:cs="Times New Roman"/>
          <w:b/>
          <w:bCs/>
          <w:sz w:val="24"/>
          <w:szCs w:val="24"/>
        </w:rPr>
        <w:t>Література</w:t>
      </w:r>
    </w:p>
    <w:p w14:paraId="4CE6B133" w14:textId="756BD579" w:rsidR="00D17A34" w:rsidRPr="006A34A9" w:rsidRDefault="006A34A9" w:rsidP="008668CA">
      <w:pPr>
        <w:numPr>
          <w:ilvl w:val="0"/>
          <w:numId w:val="28"/>
        </w:numPr>
        <w:spacing w:after="0" w:line="360" w:lineRule="auto"/>
        <w:jc w:val="both"/>
        <w:rPr>
          <w:rFonts w:ascii="Times New Roman" w:hAnsi="Times New Roman" w:cs="Times New Roman"/>
          <w:sz w:val="24"/>
          <w:szCs w:val="24"/>
        </w:rPr>
      </w:pPr>
      <w:r w:rsidRPr="006A34A9">
        <w:rPr>
          <w:rFonts w:ascii="Times New Roman" w:hAnsi="Times New Roman" w:cs="Times New Roman"/>
          <w:sz w:val="24"/>
          <w:szCs w:val="24"/>
        </w:rPr>
        <w:t xml:space="preserve">Столярчук, Я. М., Ковальчук, К. Ф., &amp; Ковальчук, С. Ф. (2021). Імперативи трансформації глобального бізнес-офшорингу. </w:t>
      </w:r>
      <w:r w:rsidRPr="006A34A9">
        <w:rPr>
          <w:rFonts w:ascii="Times New Roman" w:hAnsi="Times New Roman" w:cs="Times New Roman"/>
          <w:i/>
          <w:iCs/>
          <w:sz w:val="24"/>
          <w:szCs w:val="24"/>
        </w:rPr>
        <w:t>Інститут економічних прогнозувань НАН України</w:t>
      </w:r>
      <w:r w:rsidRPr="006A34A9">
        <w:rPr>
          <w:rFonts w:ascii="Times New Roman" w:hAnsi="Times New Roman" w:cs="Times New Roman"/>
          <w:sz w:val="24"/>
          <w:szCs w:val="24"/>
        </w:rPr>
        <w:t xml:space="preserve">. Отримано з </w:t>
      </w:r>
      <w:hyperlink r:id="rId6" w:history="1">
        <w:r w:rsidR="00D17A34" w:rsidRPr="006A34A9">
          <w:rPr>
            <w:rStyle w:val="Hyperlink"/>
            <w:rFonts w:ascii="Times New Roman" w:hAnsi="Times New Roman" w:cs="Times New Roman"/>
            <w:sz w:val="24"/>
            <w:szCs w:val="24"/>
          </w:rPr>
          <w:t>https://iepjournal.com/journals/34/2021_34_2_Stoliarchuk_et_al.pdf</w:t>
        </w:r>
      </w:hyperlink>
      <w:r w:rsidR="00D17A34" w:rsidRPr="008668CA">
        <w:rPr>
          <w:rFonts w:ascii="Times New Roman" w:hAnsi="Times New Roman" w:cs="Times New Roman"/>
          <w:sz w:val="24"/>
          <w:szCs w:val="24"/>
          <w:lang w:val="en-US"/>
        </w:rPr>
        <w:t xml:space="preserve"> </w:t>
      </w:r>
    </w:p>
    <w:p w14:paraId="165541F2" w14:textId="1F06160B" w:rsidR="00D17A34" w:rsidRPr="006A34A9" w:rsidRDefault="006A34A9" w:rsidP="008668CA">
      <w:pPr>
        <w:numPr>
          <w:ilvl w:val="0"/>
          <w:numId w:val="28"/>
        </w:numPr>
        <w:spacing w:after="0" w:line="360" w:lineRule="auto"/>
        <w:jc w:val="both"/>
        <w:rPr>
          <w:rFonts w:ascii="Times New Roman" w:hAnsi="Times New Roman" w:cs="Times New Roman"/>
          <w:sz w:val="24"/>
          <w:szCs w:val="24"/>
        </w:rPr>
      </w:pPr>
      <w:r w:rsidRPr="006A34A9">
        <w:rPr>
          <w:rFonts w:ascii="Times New Roman" w:hAnsi="Times New Roman" w:cs="Times New Roman"/>
          <w:sz w:val="24"/>
          <w:szCs w:val="24"/>
        </w:rPr>
        <w:t xml:space="preserve">Нікітіна, Т. А. Офшорні компанії в міжнародному бізнесі. </w:t>
      </w:r>
      <w:r w:rsidRPr="006A34A9">
        <w:rPr>
          <w:rFonts w:ascii="Times New Roman" w:hAnsi="Times New Roman" w:cs="Times New Roman"/>
          <w:i/>
          <w:iCs/>
          <w:sz w:val="24"/>
          <w:szCs w:val="24"/>
        </w:rPr>
        <w:t>Київський національний економічний університет ім. В. Гетьмана</w:t>
      </w:r>
      <w:r w:rsidRPr="006A34A9">
        <w:rPr>
          <w:rFonts w:ascii="Times New Roman" w:hAnsi="Times New Roman" w:cs="Times New Roman"/>
          <w:sz w:val="24"/>
          <w:szCs w:val="24"/>
        </w:rPr>
        <w:t xml:space="preserve">. Отримано з </w:t>
      </w:r>
      <w:hyperlink r:id="rId7" w:history="1">
        <w:r w:rsidR="00D17A34" w:rsidRPr="006A34A9">
          <w:rPr>
            <w:rStyle w:val="Hyperlink"/>
            <w:rFonts w:ascii="Times New Roman" w:hAnsi="Times New Roman" w:cs="Times New Roman"/>
            <w:sz w:val="24"/>
            <w:szCs w:val="24"/>
          </w:rPr>
          <w:t>https://ir.kneu.edu.ua/items/ccacfac6-3580-477f-8a81-b398f2d64aff</w:t>
        </w:r>
      </w:hyperlink>
      <w:r w:rsidR="00D17A34" w:rsidRPr="008668CA">
        <w:rPr>
          <w:rFonts w:ascii="Times New Roman" w:hAnsi="Times New Roman" w:cs="Times New Roman"/>
          <w:sz w:val="24"/>
          <w:szCs w:val="24"/>
          <w:lang w:val="en-US"/>
        </w:rPr>
        <w:t xml:space="preserve"> </w:t>
      </w:r>
    </w:p>
    <w:p w14:paraId="7A6D447A" w14:textId="195FDA33" w:rsidR="007216F0" w:rsidRPr="008668CA" w:rsidRDefault="006A34A9" w:rsidP="008668CA">
      <w:pPr>
        <w:numPr>
          <w:ilvl w:val="0"/>
          <w:numId w:val="28"/>
        </w:numPr>
        <w:spacing w:after="0" w:line="360" w:lineRule="auto"/>
        <w:jc w:val="both"/>
        <w:rPr>
          <w:rFonts w:ascii="Times New Roman" w:hAnsi="Times New Roman" w:cs="Times New Roman"/>
          <w:sz w:val="24"/>
          <w:szCs w:val="24"/>
        </w:rPr>
      </w:pPr>
      <w:r w:rsidRPr="006A34A9">
        <w:rPr>
          <w:rFonts w:ascii="Times New Roman" w:hAnsi="Times New Roman" w:cs="Times New Roman"/>
          <w:sz w:val="24"/>
          <w:szCs w:val="24"/>
        </w:rPr>
        <w:lastRenderedPageBreak/>
        <w:t xml:space="preserve">Алексеєвська, Г. С. (2023). Сучасні теорії транснаціональних корпорацій. </w:t>
      </w:r>
      <w:r w:rsidRPr="006A34A9">
        <w:rPr>
          <w:rFonts w:ascii="Times New Roman" w:hAnsi="Times New Roman" w:cs="Times New Roman"/>
          <w:i/>
          <w:iCs/>
          <w:sz w:val="24"/>
          <w:szCs w:val="24"/>
        </w:rPr>
        <w:t>Одеський національний університет ім. І. І. Мечникова</w:t>
      </w:r>
      <w:r w:rsidRPr="006A34A9">
        <w:rPr>
          <w:rFonts w:ascii="Times New Roman" w:hAnsi="Times New Roman" w:cs="Times New Roman"/>
          <w:sz w:val="24"/>
          <w:szCs w:val="24"/>
        </w:rPr>
        <w:t xml:space="preserve">. Отримано з </w:t>
      </w:r>
      <w:hyperlink r:id="rId8" w:history="1">
        <w:r w:rsidR="007216F0" w:rsidRPr="006A34A9">
          <w:rPr>
            <w:rStyle w:val="Hyperlink"/>
            <w:rFonts w:ascii="Times New Roman" w:hAnsi="Times New Roman" w:cs="Times New Roman"/>
            <w:sz w:val="24"/>
            <w:szCs w:val="24"/>
          </w:rPr>
          <w:t>https://dspace.onu.edu.ua/bitstream/123456789/37564/1/Alekseievska_Modern_theories_of_TNC.pdf</w:t>
        </w:r>
      </w:hyperlink>
    </w:p>
    <w:p w14:paraId="09B54F10"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Білозуб, Т. В. Офшорні юрисдикції у світовій економіці: сучасний стан і перспективи розвитку / Т. В. Білозуб // Економічний дискурс. – 2022. – №3. – С. 45-57.</w:t>
      </w:r>
    </w:p>
    <w:p w14:paraId="0633C00C"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Григор’єва, Л. М. Вплив офшорних схем на транснаціональні корпорації / Л. М. Григор’єва, О. С. Матвієнко // Фінансові дослідження. – 2021. – Т. 4, №2. – С. 112-124.</w:t>
      </w:r>
    </w:p>
    <w:p w14:paraId="4DDB7B55"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Даниленко, О. І. Податкове планування ТНК через офшори: механізми та наслідки / О. І. Даниленко // Журнал міжнародної економіки. – 2020. – №1. – С. 78-90.</w:t>
      </w:r>
    </w:p>
    <w:p w14:paraId="4CE54E75"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Кравчук, В. В. Вплив офшоризації на світовий ринок: тенденції та прогнози / В. В. Кравчук // Глобальна економіка. – 2019. – №5. – С. 33-47.</w:t>
      </w:r>
    </w:p>
    <w:p w14:paraId="62BDD547"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OECD. Addressing Base Erosion and Profit Shifting. – Paris: OECD Publishing, 2021. – 172 p.</w:t>
      </w:r>
    </w:p>
    <w:p w14:paraId="3679C1BA"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Palan, R. The Offshore World: Sovereign Markets, Virtual Places, and Nomad Millionaires / R. Palan. – Ithaca: Cornell University Press, 2020. – 265 p.</w:t>
      </w:r>
    </w:p>
    <w:p w14:paraId="08D6A923"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Zucman, G. The Hidden Wealth of Nations: The Scourge of Tax Havens / G. Zucman. – Chicago: University of Chicago Press, 2019. – 204 p.</w:t>
      </w:r>
    </w:p>
    <w:p w14:paraId="7123F687" w14:textId="77777777" w:rsidR="007216F0" w:rsidRPr="008668CA"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UNCTAD. World Investment Report 2023: International Tax Reforms and Sustainable Investment. – New York, Geneva: United Nations, 2023. – 320 p.</w:t>
      </w:r>
    </w:p>
    <w:p w14:paraId="2D1AEFB4" w14:textId="293BAB36" w:rsidR="007B1931" w:rsidRPr="007B1931" w:rsidRDefault="007B1931" w:rsidP="008668CA">
      <w:pPr>
        <w:numPr>
          <w:ilvl w:val="0"/>
          <w:numId w:val="28"/>
        </w:numPr>
        <w:spacing w:after="0" w:line="360" w:lineRule="auto"/>
        <w:jc w:val="both"/>
        <w:rPr>
          <w:rFonts w:ascii="Times New Roman" w:hAnsi="Times New Roman" w:cs="Times New Roman"/>
          <w:sz w:val="24"/>
          <w:szCs w:val="24"/>
        </w:rPr>
      </w:pPr>
      <w:r w:rsidRPr="007B1931">
        <w:rPr>
          <w:rFonts w:ascii="Times New Roman" w:hAnsi="Times New Roman" w:cs="Times New Roman"/>
          <w:sz w:val="24"/>
          <w:szCs w:val="24"/>
        </w:rPr>
        <w:t>IMF. Offshore Financial Centers: The Role in the International Financial System. – Washington, D.C.: International Monetary Fund, 2022. – 198 p.</w:t>
      </w:r>
    </w:p>
    <w:p w14:paraId="4BCBC28E" w14:textId="77777777" w:rsidR="007B1931" w:rsidRPr="008668CA" w:rsidRDefault="007B1931" w:rsidP="008668CA">
      <w:pPr>
        <w:spacing w:after="0" w:line="360" w:lineRule="auto"/>
        <w:rPr>
          <w:rFonts w:ascii="Times New Roman" w:hAnsi="Times New Roman" w:cs="Times New Roman"/>
          <w:sz w:val="24"/>
          <w:szCs w:val="24"/>
          <w:lang w:val="en-US"/>
        </w:rPr>
      </w:pPr>
    </w:p>
    <w:sectPr w:rsidR="007B1931" w:rsidRPr="008668CA" w:rsidSect="0082294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11C"/>
    <w:multiLevelType w:val="multilevel"/>
    <w:tmpl w:val="0F687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67F9"/>
    <w:multiLevelType w:val="multilevel"/>
    <w:tmpl w:val="0BA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4DE1"/>
    <w:multiLevelType w:val="multilevel"/>
    <w:tmpl w:val="FA2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E01FF"/>
    <w:multiLevelType w:val="multilevel"/>
    <w:tmpl w:val="759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E5752"/>
    <w:multiLevelType w:val="multilevel"/>
    <w:tmpl w:val="56B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D5EFC"/>
    <w:multiLevelType w:val="multilevel"/>
    <w:tmpl w:val="504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878D7"/>
    <w:multiLevelType w:val="multilevel"/>
    <w:tmpl w:val="2C1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63B63"/>
    <w:multiLevelType w:val="multilevel"/>
    <w:tmpl w:val="06F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D233F"/>
    <w:multiLevelType w:val="multilevel"/>
    <w:tmpl w:val="9EF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61336"/>
    <w:multiLevelType w:val="multilevel"/>
    <w:tmpl w:val="68FAC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15DF3"/>
    <w:multiLevelType w:val="multilevel"/>
    <w:tmpl w:val="0CFE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B4289"/>
    <w:multiLevelType w:val="multilevel"/>
    <w:tmpl w:val="A9C45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B3C82"/>
    <w:multiLevelType w:val="hybridMultilevel"/>
    <w:tmpl w:val="205CBCE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39813A2A"/>
    <w:multiLevelType w:val="hybridMultilevel"/>
    <w:tmpl w:val="D7D20B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D256BF8"/>
    <w:multiLevelType w:val="hybridMultilevel"/>
    <w:tmpl w:val="6CBE547E"/>
    <w:lvl w:ilvl="0" w:tplc="8064F5F6">
      <w:start w:val="1"/>
      <w:numFmt w:val="bullet"/>
      <w:lvlText w:val="-"/>
      <w:lvlJc w:val="left"/>
      <w:pPr>
        <w:ind w:left="720" w:hanging="360"/>
      </w:pPr>
      <w:rPr>
        <w:rFonts w:ascii="Aptos" w:eastAsiaTheme="minorHAnsi"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E866A1C"/>
    <w:multiLevelType w:val="multilevel"/>
    <w:tmpl w:val="1A3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90A2E"/>
    <w:multiLevelType w:val="multilevel"/>
    <w:tmpl w:val="8EC0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E3C61"/>
    <w:multiLevelType w:val="multilevel"/>
    <w:tmpl w:val="3C0E3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8A2CA7"/>
    <w:multiLevelType w:val="multilevel"/>
    <w:tmpl w:val="6876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C65EE"/>
    <w:multiLevelType w:val="multilevel"/>
    <w:tmpl w:val="6DA6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2A3A87"/>
    <w:multiLevelType w:val="multilevel"/>
    <w:tmpl w:val="2F1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6E5CDA"/>
    <w:multiLevelType w:val="multilevel"/>
    <w:tmpl w:val="E0302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8A1E34"/>
    <w:multiLevelType w:val="multilevel"/>
    <w:tmpl w:val="F5B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C6FBF"/>
    <w:multiLevelType w:val="multilevel"/>
    <w:tmpl w:val="782E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D5ED6"/>
    <w:multiLevelType w:val="multilevel"/>
    <w:tmpl w:val="2AAC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A0428"/>
    <w:multiLevelType w:val="multilevel"/>
    <w:tmpl w:val="234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74217"/>
    <w:multiLevelType w:val="multilevel"/>
    <w:tmpl w:val="6D68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A0C0B"/>
    <w:multiLevelType w:val="multilevel"/>
    <w:tmpl w:val="6DC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710954">
    <w:abstractNumId w:val="11"/>
  </w:num>
  <w:num w:numId="2" w16cid:durableId="736903226">
    <w:abstractNumId w:val="18"/>
  </w:num>
  <w:num w:numId="3" w16cid:durableId="174348854">
    <w:abstractNumId w:val="15"/>
  </w:num>
  <w:num w:numId="4" w16cid:durableId="1102872296">
    <w:abstractNumId w:val="5"/>
  </w:num>
  <w:num w:numId="5" w16cid:durableId="1716929981">
    <w:abstractNumId w:val="22"/>
  </w:num>
  <w:num w:numId="6" w16cid:durableId="418603078">
    <w:abstractNumId w:val="8"/>
  </w:num>
  <w:num w:numId="7" w16cid:durableId="807239200">
    <w:abstractNumId w:val="13"/>
  </w:num>
  <w:num w:numId="8" w16cid:durableId="501698940">
    <w:abstractNumId w:val="14"/>
  </w:num>
  <w:num w:numId="9" w16cid:durableId="1030643807">
    <w:abstractNumId w:val="0"/>
  </w:num>
  <w:num w:numId="10" w16cid:durableId="1328897907">
    <w:abstractNumId w:val="17"/>
  </w:num>
  <w:num w:numId="11" w16cid:durableId="1008170142">
    <w:abstractNumId w:val="2"/>
  </w:num>
  <w:num w:numId="12" w16cid:durableId="542718416">
    <w:abstractNumId w:val="21"/>
  </w:num>
  <w:num w:numId="13" w16cid:durableId="1057707446">
    <w:abstractNumId w:val="7"/>
  </w:num>
  <w:num w:numId="14" w16cid:durableId="813958494">
    <w:abstractNumId w:val="6"/>
  </w:num>
  <w:num w:numId="15" w16cid:durableId="106434562">
    <w:abstractNumId w:val="4"/>
  </w:num>
  <w:num w:numId="16" w16cid:durableId="1979529969">
    <w:abstractNumId w:val="23"/>
  </w:num>
  <w:num w:numId="17" w16cid:durableId="1584297544">
    <w:abstractNumId w:val="24"/>
  </w:num>
  <w:num w:numId="18" w16cid:durableId="2029409665">
    <w:abstractNumId w:val="10"/>
  </w:num>
  <w:num w:numId="19" w16cid:durableId="1398435068">
    <w:abstractNumId w:val="1"/>
  </w:num>
  <w:num w:numId="20" w16cid:durableId="813985758">
    <w:abstractNumId w:val="27"/>
  </w:num>
  <w:num w:numId="21" w16cid:durableId="374623484">
    <w:abstractNumId w:val="20"/>
  </w:num>
  <w:num w:numId="22" w16cid:durableId="103038552">
    <w:abstractNumId w:val="25"/>
  </w:num>
  <w:num w:numId="23" w16cid:durableId="606502374">
    <w:abstractNumId w:val="3"/>
  </w:num>
  <w:num w:numId="24" w16cid:durableId="2132168567">
    <w:abstractNumId w:val="9"/>
  </w:num>
  <w:num w:numId="25" w16cid:durableId="166361792">
    <w:abstractNumId w:val="19"/>
  </w:num>
  <w:num w:numId="26" w16cid:durableId="1347756721">
    <w:abstractNumId w:val="12"/>
  </w:num>
  <w:num w:numId="27" w16cid:durableId="806164807">
    <w:abstractNumId w:val="26"/>
  </w:num>
  <w:num w:numId="28" w16cid:durableId="215702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F4595"/>
    <w:rsid w:val="00012D62"/>
    <w:rsid w:val="00026579"/>
    <w:rsid w:val="000477D5"/>
    <w:rsid w:val="000B206F"/>
    <w:rsid w:val="00103805"/>
    <w:rsid w:val="00110B1B"/>
    <w:rsid w:val="00117FC1"/>
    <w:rsid w:val="00120831"/>
    <w:rsid w:val="001519D7"/>
    <w:rsid w:val="001748C4"/>
    <w:rsid w:val="00176BD8"/>
    <w:rsid w:val="00177E19"/>
    <w:rsid w:val="001A0788"/>
    <w:rsid w:val="001A2447"/>
    <w:rsid w:val="00211A76"/>
    <w:rsid w:val="0021461A"/>
    <w:rsid w:val="00243245"/>
    <w:rsid w:val="00262D81"/>
    <w:rsid w:val="002B70FF"/>
    <w:rsid w:val="002B72A2"/>
    <w:rsid w:val="002C3682"/>
    <w:rsid w:val="00310813"/>
    <w:rsid w:val="003263DB"/>
    <w:rsid w:val="003271A3"/>
    <w:rsid w:val="003328AC"/>
    <w:rsid w:val="00391920"/>
    <w:rsid w:val="00392AB3"/>
    <w:rsid w:val="003C3C47"/>
    <w:rsid w:val="003E7380"/>
    <w:rsid w:val="00431DC3"/>
    <w:rsid w:val="00455C69"/>
    <w:rsid w:val="004709C6"/>
    <w:rsid w:val="00473B3B"/>
    <w:rsid w:val="0048026A"/>
    <w:rsid w:val="00492888"/>
    <w:rsid w:val="004F4595"/>
    <w:rsid w:val="00515FF2"/>
    <w:rsid w:val="00553FEF"/>
    <w:rsid w:val="00570079"/>
    <w:rsid w:val="00573B69"/>
    <w:rsid w:val="005A345A"/>
    <w:rsid w:val="005D5723"/>
    <w:rsid w:val="005F0EF4"/>
    <w:rsid w:val="005F51EF"/>
    <w:rsid w:val="005F6A94"/>
    <w:rsid w:val="005F78EF"/>
    <w:rsid w:val="00630E3F"/>
    <w:rsid w:val="00655EDA"/>
    <w:rsid w:val="006A34A9"/>
    <w:rsid w:val="006A43D1"/>
    <w:rsid w:val="006C25EB"/>
    <w:rsid w:val="006C516A"/>
    <w:rsid w:val="006F108E"/>
    <w:rsid w:val="006F4C62"/>
    <w:rsid w:val="007216F0"/>
    <w:rsid w:val="00790D9C"/>
    <w:rsid w:val="007936CD"/>
    <w:rsid w:val="007B1931"/>
    <w:rsid w:val="007C074C"/>
    <w:rsid w:val="007E347D"/>
    <w:rsid w:val="00822945"/>
    <w:rsid w:val="008301D5"/>
    <w:rsid w:val="0083516F"/>
    <w:rsid w:val="00841517"/>
    <w:rsid w:val="00862C90"/>
    <w:rsid w:val="008668CA"/>
    <w:rsid w:val="00874CCE"/>
    <w:rsid w:val="008968E1"/>
    <w:rsid w:val="008C4DB2"/>
    <w:rsid w:val="00903824"/>
    <w:rsid w:val="009125A5"/>
    <w:rsid w:val="0092656D"/>
    <w:rsid w:val="00932CE2"/>
    <w:rsid w:val="00980DCB"/>
    <w:rsid w:val="009826DD"/>
    <w:rsid w:val="009B2399"/>
    <w:rsid w:val="00A44A9B"/>
    <w:rsid w:val="00A6648B"/>
    <w:rsid w:val="00A77EEF"/>
    <w:rsid w:val="00A93426"/>
    <w:rsid w:val="00A97304"/>
    <w:rsid w:val="00AF5AF2"/>
    <w:rsid w:val="00B05237"/>
    <w:rsid w:val="00B12BD9"/>
    <w:rsid w:val="00B17CA6"/>
    <w:rsid w:val="00B2620E"/>
    <w:rsid w:val="00B4296D"/>
    <w:rsid w:val="00B82FAC"/>
    <w:rsid w:val="00BE03C2"/>
    <w:rsid w:val="00BF4E7B"/>
    <w:rsid w:val="00C10ED4"/>
    <w:rsid w:val="00C25D3C"/>
    <w:rsid w:val="00C31E97"/>
    <w:rsid w:val="00C57682"/>
    <w:rsid w:val="00C57C86"/>
    <w:rsid w:val="00C61765"/>
    <w:rsid w:val="00C65ED8"/>
    <w:rsid w:val="00C7467F"/>
    <w:rsid w:val="00CF787E"/>
    <w:rsid w:val="00D17A34"/>
    <w:rsid w:val="00D202AA"/>
    <w:rsid w:val="00D94EF4"/>
    <w:rsid w:val="00DC69B8"/>
    <w:rsid w:val="00E008C1"/>
    <w:rsid w:val="00E1120C"/>
    <w:rsid w:val="00E50AE2"/>
    <w:rsid w:val="00E81887"/>
    <w:rsid w:val="00F347A5"/>
    <w:rsid w:val="00F52DDD"/>
    <w:rsid w:val="00F71170"/>
    <w:rsid w:val="00F91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D3DF"/>
  <w15:chartTrackingRefBased/>
  <w15:docId w15:val="{A5C02FD7-C6F0-422E-B3D7-AFCE16D5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34"/>
  </w:style>
  <w:style w:type="paragraph" w:styleId="Heading1">
    <w:name w:val="heading 1"/>
    <w:basedOn w:val="Normal"/>
    <w:next w:val="Normal"/>
    <w:link w:val="Heading1Char"/>
    <w:uiPriority w:val="9"/>
    <w:qFormat/>
    <w:rsid w:val="004F4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95"/>
    <w:rPr>
      <w:rFonts w:eastAsiaTheme="majorEastAsia" w:cstheme="majorBidi"/>
      <w:color w:val="272727" w:themeColor="text1" w:themeTint="D8"/>
    </w:rPr>
  </w:style>
  <w:style w:type="paragraph" w:styleId="Title">
    <w:name w:val="Title"/>
    <w:basedOn w:val="Normal"/>
    <w:next w:val="Normal"/>
    <w:link w:val="TitleChar"/>
    <w:uiPriority w:val="10"/>
    <w:qFormat/>
    <w:rsid w:val="004F4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95"/>
    <w:pPr>
      <w:spacing w:before="160"/>
      <w:jc w:val="center"/>
    </w:pPr>
    <w:rPr>
      <w:i/>
      <w:iCs/>
      <w:color w:val="404040" w:themeColor="text1" w:themeTint="BF"/>
    </w:rPr>
  </w:style>
  <w:style w:type="character" w:customStyle="1" w:styleId="QuoteChar">
    <w:name w:val="Quote Char"/>
    <w:basedOn w:val="DefaultParagraphFont"/>
    <w:link w:val="Quote"/>
    <w:uiPriority w:val="29"/>
    <w:rsid w:val="004F4595"/>
    <w:rPr>
      <w:i/>
      <w:iCs/>
      <w:color w:val="404040" w:themeColor="text1" w:themeTint="BF"/>
    </w:rPr>
  </w:style>
  <w:style w:type="paragraph" w:styleId="ListParagraph">
    <w:name w:val="List Paragraph"/>
    <w:basedOn w:val="Normal"/>
    <w:uiPriority w:val="34"/>
    <w:qFormat/>
    <w:rsid w:val="004F4595"/>
    <w:pPr>
      <w:ind w:left="720"/>
      <w:contextualSpacing/>
    </w:pPr>
  </w:style>
  <w:style w:type="character" w:styleId="IntenseEmphasis">
    <w:name w:val="Intense Emphasis"/>
    <w:basedOn w:val="DefaultParagraphFont"/>
    <w:uiPriority w:val="21"/>
    <w:qFormat/>
    <w:rsid w:val="004F4595"/>
    <w:rPr>
      <w:i/>
      <w:iCs/>
      <w:color w:val="0F4761" w:themeColor="accent1" w:themeShade="BF"/>
    </w:rPr>
  </w:style>
  <w:style w:type="paragraph" w:styleId="IntenseQuote">
    <w:name w:val="Intense Quote"/>
    <w:basedOn w:val="Normal"/>
    <w:next w:val="Normal"/>
    <w:link w:val="IntenseQuoteChar"/>
    <w:uiPriority w:val="30"/>
    <w:qFormat/>
    <w:rsid w:val="004F4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95"/>
    <w:rPr>
      <w:i/>
      <w:iCs/>
      <w:color w:val="0F4761" w:themeColor="accent1" w:themeShade="BF"/>
    </w:rPr>
  </w:style>
  <w:style w:type="character" w:styleId="IntenseReference">
    <w:name w:val="Intense Reference"/>
    <w:basedOn w:val="DefaultParagraphFont"/>
    <w:uiPriority w:val="32"/>
    <w:qFormat/>
    <w:rsid w:val="004F4595"/>
    <w:rPr>
      <w:b/>
      <w:bCs/>
      <w:smallCaps/>
      <w:color w:val="0F4761" w:themeColor="accent1" w:themeShade="BF"/>
      <w:spacing w:val="5"/>
    </w:rPr>
  </w:style>
  <w:style w:type="table" w:styleId="TableGrid">
    <w:name w:val="Table Grid"/>
    <w:basedOn w:val="TableNormal"/>
    <w:uiPriority w:val="39"/>
    <w:rsid w:val="0011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6F0"/>
    <w:rPr>
      <w:color w:val="467886" w:themeColor="hyperlink"/>
      <w:u w:val="single"/>
    </w:rPr>
  </w:style>
  <w:style w:type="character" w:styleId="UnresolvedMention">
    <w:name w:val="Unresolved Mention"/>
    <w:basedOn w:val="DefaultParagraphFont"/>
    <w:uiPriority w:val="99"/>
    <w:semiHidden/>
    <w:unhideWhenUsed/>
    <w:rsid w:val="0072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8200">
      <w:bodyDiv w:val="1"/>
      <w:marLeft w:val="0"/>
      <w:marRight w:val="0"/>
      <w:marTop w:val="0"/>
      <w:marBottom w:val="0"/>
      <w:divBdr>
        <w:top w:val="none" w:sz="0" w:space="0" w:color="auto"/>
        <w:left w:val="none" w:sz="0" w:space="0" w:color="auto"/>
        <w:bottom w:val="none" w:sz="0" w:space="0" w:color="auto"/>
        <w:right w:val="none" w:sz="0" w:space="0" w:color="auto"/>
      </w:divBdr>
    </w:div>
    <w:div w:id="73548947">
      <w:bodyDiv w:val="1"/>
      <w:marLeft w:val="0"/>
      <w:marRight w:val="0"/>
      <w:marTop w:val="0"/>
      <w:marBottom w:val="0"/>
      <w:divBdr>
        <w:top w:val="none" w:sz="0" w:space="0" w:color="auto"/>
        <w:left w:val="none" w:sz="0" w:space="0" w:color="auto"/>
        <w:bottom w:val="none" w:sz="0" w:space="0" w:color="auto"/>
        <w:right w:val="none" w:sz="0" w:space="0" w:color="auto"/>
      </w:divBdr>
    </w:div>
    <w:div w:id="85000837">
      <w:bodyDiv w:val="1"/>
      <w:marLeft w:val="0"/>
      <w:marRight w:val="0"/>
      <w:marTop w:val="0"/>
      <w:marBottom w:val="0"/>
      <w:divBdr>
        <w:top w:val="none" w:sz="0" w:space="0" w:color="auto"/>
        <w:left w:val="none" w:sz="0" w:space="0" w:color="auto"/>
        <w:bottom w:val="none" w:sz="0" w:space="0" w:color="auto"/>
        <w:right w:val="none" w:sz="0" w:space="0" w:color="auto"/>
      </w:divBdr>
    </w:div>
    <w:div w:id="94904326">
      <w:bodyDiv w:val="1"/>
      <w:marLeft w:val="0"/>
      <w:marRight w:val="0"/>
      <w:marTop w:val="0"/>
      <w:marBottom w:val="0"/>
      <w:divBdr>
        <w:top w:val="none" w:sz="0" w:space="0" w:color="auto"/>
        <w:left w:val="none" w:sz="0" w:space="0" w:color="auto"/>
        <w:bottom w:val="none" w:sz="0" w:space="0" w:color="auto"/>
        <w:right w:val="none" w:sz="0" w:space="0" w:color="auto"/>
      </w:divBdr>
    </w:div>
    <w:div w:id="333075413">
      <w:bodyDiv w:val="1"/>
      <w:marLeft w:val="0"/>
      <w:marRight w:val="0"/>
      <w:marTop w:val="0"/>
      <w:marBottom w:val="0"/>
      <w:divBdr>
        <w:top w:val="none" w:sz="0" w:space="0" w:color="auto"/>
        <w:left w:val="none" w:sz="0" w:space="0" w:color="auto"/>
        <w:bottom w:val="none" w:sz="0" w:space="0" w:color="auto"/>
        <w:right w:val="none" w:sz="0" w:space="0" w:color="auto"/>
      </w:divBdr>
    </w:div>
    <w:div w:id="487328556">
      <w:bodyDiv w:val="1"/>
      <w:marLeft w:val="0"/>
      <w:marRight w:val="0"/>
      <w:marTop w:val="0"/>
      <w:marBottom w:val="0"/>
      <w:divBdr>
        <w:top w:val="none" w:sz="0" w:space="0" w:color="auto"/>
        <w:left w:val="none" w:sz="0" w:space="0" w:color="auto"/>
        <w:bottom w:val="none" w:sz="0" w:space="0" w:color="auto"/>
        <w:right w:val="none" w:sz="0" w:space="0" w:color="auto"/>
      </w:divBdr>
    </w:div>
    <w:div w:id="491454717">
      <w:bodyDiv w:val="1"/>
      <w:marLeft w:val="0"/>
      <w:marRight w:val="0"/>
      <w:marTop w:val="0"/>
      <w:marBottom w:val="0"/>
      <w:divBdr>
        <w:top w:val="none" w:sz="0" w:space="0" w:color="auto"/>
        <w:left w:val="none" w:sz="0" w:space="0" w:color="auto"/>
        <w:bottom w:val="none" w:sz="0" w:space="0" w:color="auto"/>
        <w:right w:val="none" w:sz="0" w:space="0" w:color="auto"/>
      </w:divBdr>
    </w:div>
    <w:div w:id="544561775">
      <w:bodyDiv w:val="1"/>
      <w:marLeft w:val="0"/>
      <w:marRight w:val="0"/>
      <w:marTop w:val="0"/>
      <w:marBottom w:val="0"/>
      <w:divBdr>
        <w:top w:val="none" w:sz="0" w:space="0" w:color="auto"/>
        <w:left w:val="none" w:sz="0" w:space="0" w:color="auto"/>
        <w:bottom w:val="none" w:sz="0" w:space="0" w:color="auto"/>
        <w:right w:val="none" w:sz="0" w:space="0" w:color="auto"/>
      </w:divBdr>
    </w:div>
    <w:div w:id="646278085">
      <w:bodyDiv w:val="1"/>
      <w:marLeft w:val="0"/>
      <w:marRight w:val="0"/>
      <w:marTop w:val="0"/>
      <w:marBottom w:val="0"/>
      <w:divBdr>
        <w:top w:val="none" w:sz="0" w:space="0" w:color="auto"/>
        <w:left w:val="none" w:sz="0" w:space="0" w:color="auto"/>
        <w:bottom w:val="none" w:sz="0" w:space="0" w:color="auto"/>
        <w:right w:val="none" w:sz="0" w:space="0" w:color="auto"/>
      </w:divBdr>
    </w:div>
    <w:div w:id="754670199">
      <w:bodyDiv w:val="1"/>
      <w:marLeft w:val="0"/>
      <w:marRight w:val="0"/>
      <w:marTop w:val="0"/>
      <w:marBottom w:val="0"/>
      <w:divBdr>
        <w:top w:val="none" w:sz="0" w:space="0" w:color="auto"/>
        <w:left w:val="none" w:sz="0" w:space="0" w:color="auto"/>
        <w:bottom w:val="none" w:sz="0" w:space="0" w:color="auto"/>
        <w:right w:val="none" w:sz="0" w:space="0" w:color="auto"/>
      </w:divBdr>
    </w:div>
    <w:div w:id="817383106">
      <w:bodyDiv w:val="1"/>
      <w:marLeft w:val="0"/>
      <w:marRight w:val="0"/>
      <w:marTop w:val="0"/>
      <w:marBottom w:val="0"/>
      <w:divBdr>
        <w:top w:val="none" w:sz="0" w:space="0" w:color="auto"/>
        <w:left w:val="none" w:sz="0" w:space="0" w:color="auto"/>
        <w:bottom w:val="none" w:sz="0" w:space="0" w:color="auto"/>
        <w:right w:val="none" w:sz="0" w:space="0" w:color="auto"/>
      </w:divBdr>
    </w:div>
    <w:div w:id="972831286">
      <w:bodyDiv w:val="1"/>
      <w:marLeft w:val="0"/>
      <w:marRight w:val="0"/>
      <w:marTop w:val="0"/>
      <w:marBottom w:val="0"/>
      <w:divBdr>
        <w:top w:val="none" w:sz="0" w:space="0" w:color="auto"/>
        <w:left w:val="none" w:sz="0" w:space="0" w:color="auto"/>
        <w:bottom w:val="none" w:sz="0" w:space="0" w:color="auto"/>
        <w:right w:val="none" w:sz="0" w:space="0" w:color="auto"/>
      </w:divBdr>
    </w:div>
    <w:div w:id="1250042813">
      <w:bodyDiv w:val="1"/>
      <w:marLeft w:val="0"/>
      <w:marRight w:val="0"/>
      <w:marTop w:val="0"/>
      <w:marBottom w:val="0"/>
      <w:divBdr>
        <w:top w:val="none" w:sz="0" w:space="0" w:color="auto"/>
        <w:left w:val="none" w:sz="0" w:space="0" w:color="auto"/>
        <w:bottom w:val="none" w:sz="0" w:space="0" w:color="auto"/>
        <w:right w:val="none" w:sz="0" w:space="0" w:color="auto"/>
      </w:divBdr>
    </w:div>
    <w:div w:id="1305158773">
      <w:bodyDiv w:val="1"/>
      <w:marLeft w:val="0"/>
      <w:marRight w:val="0"/>
      <w:marTop w:val="0"/>
      <w:marBottom w:val="0"/>
      <w:divBdr>
        <w:top w:val="none" w:sz="0" w:space="0" w:color="auto"/>
        <w:left w:val="none" w:sz="0" w:space="0" w:color="auto"/>
        <w:bottom w:val="none" w:sz="0" w:space="0" w:color="auto"/>
        <w:right w:val="none" w:sz="0" w:space="0" w:color="auto"/>
      </w:divBdr>
    </w:div>
    <w:div w:id="1309627464">
      <w:bodyDiv w:val="1"/>
      <w:marLeft w:val="0"/>
      <w:marRight w:val="0"/>
      <w:marTop w:val="0"/>
      <w:marBottom w:val="0"/>
      <w:divBdr>
        <w:top w:val="none" w:sz="0" w:space="0" w:color="auto"/>
        <w:left w:val="none" w:sz="0" w:space="0" w:color="auto"/>
        <w:bottom w:val="none" w:sz="0" w:space="0" w:color="auto"/>
        <w:right w:val="none" w:sz="0" w:space="0" w:color="auto"/>
      </w:divBdr>
    </w:div>
    <w:div w:id="1477141315">
      <w:bodyDiv w:val="1"/>
      <w:marLeft w:val="0"/>
      <w:marRight w:val="0"/>
      <w:marTop w:val="0"/>
      <w:marBottom w:val="0"/>
      <w:divBdr>
        <w:top w:val="none" w:sz="0" w:space="0" w:color="auto"/>
        <w:left w:val="none" w:sz="0" w:space="0" w:color="auto"/>
        <w:bottom w:val="none" w:sz="0" w:space="0" w:color="auto"/>
        <w:right w:val="none" w:sz="0" w:space="0" w:color="auto"/>
      </w:divBdr>
    </w:div>
    <w:div w:id="1535842842">
      <w:bodyDiv w:val="1"/>
      <w:marLeft w:val="0"/>
      <w:marRight w:val="0"/>
      <w:marTop w:val="0"/>
      <w:marBottom w:val="0"/>
      <w:divBdr>
        <w:top w:val="none" w:sz="0" w:space="0" w:color="auto"/>
        <w:left w:val="none" w:sz="0" w:space="0" w:color="auto"/>
        <w:bottom w:val="none" w:sz="0" w:space="0" w:color="auto"/>
        <w:right w:val="none" w:sz="0" w:space="0" w:color="auto"/>
      </w:divBdr>
    </w:div>
    <w:div w:id="1565602889">
      <w:bodyDiv w:val="1"/>
      <w:marLeft w:val="0"/>
      <w:marRight w:val="0"/>
      <w:marTop w:val="0"/>
      <w:marBottom w:val="0"/>
      <w:divBdr>
        <w:top w:val="none" w:sz="0" w:space="0" w:color="auto"/>
        <w:left w:val="none" w:sz="0" w:space="0" w:color="auto"/>
        <w:bottom w:val="none" w:sz="0" w:space="0" w:color="auto"/>
        <w:right w:val="none" w:sz="0" w:space="0" w:color="auto"/>
      </w:divBdr>
    </w:div>
    <w:div w:id="1581209329">
      <w:bodyDiv w:val="1"/>
      <w:marLeft w:val="0"/>
      <w:marRight w:val="0"/>
      <w:marTop w:val="0"/>
      <w:marBottom w:val="0"/>
      <w:divBdr>
        <w:top w:val="none" w:sz="0" w:space="0" w:color="auto"/>
        <w:left w:val="none" w:sz="0" w:space="0" w:color="auto"/>
        <w:bottom w:val="none" w:sz="0" w:space="0" w:color="auto"/>
        <w:right w:val="none" w:sz="0" w:space="0" w:color="auto"/>
      </w:divBdr>
    </w:div>
    <w:div w:id="1582594543">
      <w:bodyDiv w:val="1"/>
      <w:marLeft w:val="0"/>
      <w:marRight w:val="0"/>
      <w:marTop w:val="0"/>
      <w:marBottom w:val="0"/>
      <w:divBdr>
        <w:top w:val="none" w:sz="0" w:space="0" w:color="auto"/>
        <w:left w:val="none" w:sz="0" w:space="0" w:color="auto"/>
        <w:bottom w:val="none" w:sz="0" w:space="0" w:color="auto"/>
        <w:right w:val="none" w:sz="0" w:space="0" w:color="auto"/>
      </w:divBdr>
    </w:div>
    <w:div w:id="1634558020">
      <w:bodyDiv w:val="1"/>
      <w:marLeft w:val="0"/>
      <w:marRight w:val="0"/>
      <w:marTop w:val="0"/>
      <w:marBottom w:val="0"/>
      <w:divBdr>
        <w:top w:val="none" w:sz="0" w:space="0" w:color="auto"/>
        <w:left w:val="none" w:sz="0" w:space="0" w:color="auto"/>
        <w:bottom w:val="none" w:sz="0" w:space="0" w:color="auto"/>
        <w:right w:val="none" w:sz="0" w:space="0" w:color="auto"/>
      </w:divBdr>
    </w:div>
    <w:div w:id="1711880555">
      <w:bodyDiv w:val="1"/>
      <w:marLeft w:val="0"/>
      <w:marRight w:val="0"/>
      <w:marTop w:val="0"/>
      <w:marBottom w:val="0"/>
      <w:divBdr>
        <w:top w:val="none" w:sz="0" w:space="0" w:color="auto"/>
        <w:left w:val="none" w:sz="0" w:space="0" w:color="auto"/>
        <w:bottom w:val="none" w:sz="0" w:space="0" w:color="auto"/>
        <w:right w:val="none" w:sz="0" w:space="0" w:color="auto"/>
      </w:divBdr>
    </w:div>
    <w:div w:id="1716274530">
      <w:bodyDiv w:val="1"/>
      <w:marLeft w:val="0"/>
      <w:marRight w:val="0"/>
      <w:marTop w:val="0"/>
      <w:marBottom w:val="0"/>
      <w:divBdr>
        <w:top w:val="none" w:sz="0" w:space="0" w:color="auto"/>
        <w:left w:val="none" w:sz="0" w:space="0" w:color="auto"/>
        <w:bottom w:val="none" w:sz="0" w:space="0" w:color="auto"/>
        <w:right w:val="none" w:sz="0" w:space="0" w:color="auto"/>
      </w:divBdr>
    </w:div>
    <w:div w:id="1827041430">
      <w:bodyDiv w:val="1"/>
      <w:marLeft w:val="0"/>
      <w:marRight w:val="0"/>
      <w:marTop w:val="0"/>
      <w:marBottom w:val="0"/>
      <w:divBdr>
        <w:top w:val="none" w:sz="0" w:space="0" w:color="auto"/>
        <w:left w:val="none" w:sz="0" w:space="0" w:color="auto"/>
        <w:bottom w:val="none" w:sz="0" w:space="0" w:color="auto"/>
        <w:right w:val="none" w:sz="0" w:space="0" w:color="auto"/>
      </w:divBdr>
    </w:div>
    <w:div w:id="1832792070">
      <w:bodyDiv w:val="1"/>
      <w:marLeft w:val="0"/>
      <w:marRight w:val="0"/>
      <w:marTop w:val="0"/>
      <w:marBottom w:val="0"/>
      <w:divBdr>
        <w:top w:val="none" w:sz="0" w:space="0" w:color="auto"/>
        <w:left w:val="none" w:sz="0" w:space="0" w:color="auto"/>
        <w:bottom w:val="none" w:sz="0" w:space="0" w:color="auto"/>
        <w:right w:val="none" w:sz="0" w:space="0" w:color="auto"/>
      </w:divBdr>
    </w:div>
    <w:div w:id="1902255220">
      <w:bodyDiv w:val="1"/>
      <w:marLeft w:val="0"/>
      <w:marRight w:val="0"/>
      <w:marTop w:val="0"/>
      <w:marBottom w:val="0"/>
      <w:divBdr>
        <w:top w:val="none" w:sz="0" w:space="0" w:color="auto"/>
        <w:left w:val="none" w:sz="0" w:space="0" w:color="auto"/>
        <w:bottom w:val="none" w:sz="0" w:space="0" w:color="auto"/>
        <w:right w:val="none" w:sz="0" w:space="0" w:color="auto"/>
      </w:divBdr>
    </w:div>
    <w:div w:id="1916354042">
      <w:bodyDiv w:val="1"/>
      <w:marLeft w:val="0"/>
      <w:marRight w:val="0"/>
      <w:marTop w:val="0"/>
      <w:marBottom w:val="0"/>
      <w:divBdr>
        <w:top w:val="none" w:sz="0" w:space="0" w:color="auto"/>
        <w:left w:val="none" w:sz="0" w:space="0" w:color="auto"/>
        <w:bottom w:val="none" w:sz="0" w:space="0" w:color="auto"/>
        <w:right w:val="none" w:sz="0" w:space="0" w:color="auto"/>
      </w:divBdr>
    </w:div>
    <w:div w:id="1940598626">
      <w:bodyDiv w:val="1"/>
      <w:marLeft w:val="0"/>
      <w:marRight w:val="0"/>
      <w:marTop w:val="0"/>
      <w:marBottom w:val="0"/>
      <w:divBdr>
        <w:top w:val="none" w:sz="0" w:space="0" w:color="auto"/>
        <w:left w:val="none" w:sz="0" w:space="0" w:color="auto"/>
        <w:bottom w:val="none" w:sz="0" w:space="0" w:color="auto"/>
        <w:right w:val="none" w:sz="0" w:space="0" w:color="auto"/>
      </w:divBdr>
    </w:div>
    <w:div w:id="2019960099">
      <w:bodyDiv w:val="1"/>
      <w:marLeft w:val="0"/>
      <w:marRight w:val="0"/>
      <w:marTop w:val="0"/>
      <w:marBottom w:val="0"/>
      <w:divBdr>
        <w:top w:val="none" w:sz="0" w:space="0" w:color="auto"/>
        <w:left w:val="none" w:sz="0" w:space="0" w:color="auto"/>
        <w:bottom w:val="none" w:sz="0" w:space="0" w:color="auto"/>
        <w:right w:val="none" w:sz="0" w:space="0" w:color="auto"/>
      </w:divBdr>
    </w:div>
    <w:div w:id="2039041239">
      <w:bodyDiv w:val="1"/>
      <w:marLeft w:val="0"/>
      <w:marRight w:val="0"/>
      <w:marTop w:val="0"/>
      <w:marBottom w:val="0"/>
      <w:divBdr>
        <w:top w:val="none" w:sz="0" w:space="0" w:color="auto"/>
        <w:left w:val="none" w:sz="0" w:space="0" w:color="auto"/>
        <w:bottom w:val="none" w:sz="0" w:space="0" w:color="auto"/>
        <w:right w:val="none" w:sz="0" w:space="0" w:color="auto"/>
      </w:divBdr>
    </w:div>
    <w:div w:id="20623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onu.edu.ua/bitstream/123456789/37564/1/Alekseievska_Modern_theories_of_TNC.pdf" TargetMode="External"/><Relationship Id="rId3" Type="http://schemas.openxmlformats.org/officeDocument/2006/relationships/settings" Target="settings.xml"/><Relationship Id="rId7" Type="http://schemas.openxmlformats.org/officeDocument/2006/relationships/hyperlink" Target="https://ir.kneu.edu.ua/items/ccacfac6-3580-477f-8a81-b398f2d64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pjournal.com/journals/34/2021_34_2_Stoliarchuk_et_al.pdf" TargetMode="External"/><Relationship Id="rId5" Type="http://schemas.openxmlformats.org/officeDocument/2006/relationships/hyperlink" Target="https://orcid.org/0009-0001-2955-41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da0a2f-b917-4d51-b0d0-d418a10c8b23}" enabled="1" method="Standard" siteId="{12a3af23-a769-4654-847f-958f3d479f4a}" removed="0"/>
</clbl:labelList>
</file>

<file path=docProps/app.xml><?xml version="1.0" encoding="utf-8"?>
<Properties xmlns="http://schemas.openxmlformats.org/officeDocument/2006/extended-properties" xmlns:vt="http://schemas.openxmlformats.org/officeDocument/2006/docPropsVTypes">
  <Template>Normal</Template>
  <TotalTime>172</TotalTime>
  <Pages>6</Pages>
  <Words>7717</Words>
  <Characters>4400</Characters>
  <Application>Microsoft Office Word</Application>
  <DocSecurity>0</DocSecurity>
  <Lines>36</Lines>
  <Paragraphs>24</Paragraphs>
  <ScaleCrop>false</ScaleCrop>
  <Company>Nestle</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Mukan,Andrii,UA-Lviv,Decision Support Services</dc:creator>
  <cp:keywords/>
  <dc:description/>
  <cp:lastModifiedBy>Mukan,Andrii,UA-Lviv,Decision Support Services</cp:lastModifiedBy>
  <cp:revision>112</cp:revision>
  <dcterms:created xsi:type="dcterms:W3CDTF">2025-02-05T17:20:00Z</dcterms:created>
  <dcterms:modified xsi:type="dcterms:W3CDTF">2025-02-06T10:27:00Z</dcterms:modified>
</cp:coreProperties>
</file>