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948" w:rsidRPr="00E65791" w:rsidRDefault="00E86948" w:rsidP="00E86948">
      <w:pPr>
        <w:spacing w:after="0" w:line="360" w:lineRule="auto"/>
        <w:ind w:firstLine="709"/>
        <w:jc w:val="right"/>
        <w:rPr>
          <w:rFonts w:ascii="Times New Roman" w:hAnsi="Times New Roman"/>
          <w:sz w:val="28"/>
          <w:szCs w:val="28"/>
          <w:lang w:val="pl-PL"/>
        </w:rPr>
      </w:pPr>
      <w:bookmarkStart w:id="0" w:name="_GoBack"/>
      <w:bookmarkEnd w:id="0"/>
      <w:r w:rsidRPr="00E65791">
        <w:rPr>
          <w:rFonts w:ascii="Times New Roman" w:hAnsi="Times New Roman"/>
          <w:sz w:val="28"/>
          <w:szCs w:val="28"/>
          <w:lang w:val="pl-PL"/>
        </w:rPr>
        <w:t>Mariana Moskva, dr.</w:t>
      </w:r>
    </w:p>
    <w:p w:rsidR="00E86948" w:rsidRDefault="00E86948" w:rsidP="00E86948">
      <w:pPr>
        <w:spacing w:after="0" w:line="360" w:lineRule="auto"/>
        <w:ind w:firstLine="709"/>
        <w:jc w:val="right"/>
        <w:rPr>
          <w:rFonts w:ascii="Times New Roman" w:hAnsi="Times New Roman"/>
          <w:sz w:val="28"/>
          <w:szCs w:val="28"/>
          <w:lang w:val="pl-PL"/>
        </w:rPr>
      </w:pPr>
      <w:r w:rsidRPr="00E6056F">
        <w:rPr>
          <w:rFonts w:ascii="Times New Roman" w:hAnsi="Times New Roman"/>
          <w:sz w:val="28"/>
          <w:szCs w:val="28"/>
          <w:lang w:val="pl-PL"/>
        </w:rPr>
        <w:t>Wyższa Szkoła Gospodarki w Bydgoszczy</w:t>
      </w:r>
    </w:p>
    <w:p w:rsidR="00E86948" w:rsidRDefault="00E86948" w:rsidP="00E86948">
      <w:pPr>
        <w:spacing w:after="0" w:line="360" w:lineRule="auto"/>
        <w:ind w:firstLine="709"/>
        <w:jc w:val="right"/>
        <w:rPr>
          <w:rFonts w:ascii="Times New Roman" w:hAnsi="Times New Roman"/>
          <w:sz w:val="28"/>
          <w:szCs w:val="28"/>
          <w:lang w:val="pl-PL"/>
        </w:rPr>
      </w:pPr>
      <w:r w:rsidRPr="00016584">
        <w:rPr>
          <w:rFonts w:ascii="Times New Roman" w:hAnsi="Times New Roman"/>
          <w:sz w:val="28"/>
          <w:szCs w:val="28"/>
          <w:lang w:val="pl-PL"/>
        </w:rPr>
        <w:t>0009-0004-7680-4846</w:t>
      </w:r>
    </w:p>
    <w:p w:rsidR="00E86948" w:rsidRDefault="00D72AE6" w:rsidP="00D72AE6">
      <w:pPr>
        <w:spacing w:after="0" w:line="360" w:lineRule="auto"/>
        <w:ind w:firstLine="709"/>
        <w:jc w:val="center"/>
        <w:rPr>
          <w:rFonts w:ascii="Times New Roman" w:hAnsi="Times New Roman"/>
          <w:b/>
          <w:sz w:val="28"/>
          <w:szCs w:val="28"/>
          <w:lang w:val="pl-PL"/>
        </w:rPr>
      </w:pPr>
      <w:r w:rsidRPr="00D72AE6">
        <w:rPr>
          <w:rFonts w:ascii="Times New Roman" w:hAnsi="Times New Roman"/>
          <w:b/>
          <w:sz w:val="28"/>
          <w:szCs w:val="28"/>
          <w:lang w:val="pl-PL"/>
        </w:rPr>
        <w:t>Inflacja w UE jako konsekwencja wojny Rosji z Ukrainą</w:t>
      </w:r>
    </w:p>
    <w:p w:rsidR="00D72AE6" w:rsidRPr="00D72AE6" w:rsidRDefault="00D72AE6" w:rsidP="00D72AE6">
      <w:pPr>
        <w:spacing w:after="0" w:line="360" w:lineRule="auto"/>
        <w:ind w:firstLine="709"/>
        <w:jc w:val="center"/>
        <w:rPr>
          <w:rFonts w:ascii="Times New Roman" w:hAnsi="Times New Roman"/>
          <w:b/>
          <w:sz w:val="28"/>
          <w:szCs w:val="28"/>
          <w:lang w:val="pl-PL"/>
        </w:rPr>
      </w:pPr>
    </w:p>
    <w:p w:rsidR="00E86948" w:rsidRPr="00396F49" w:rsidRDefault="00396F49" w:rsidP="00E86948">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t xml:space="preserve">Inflacja jest jednym z najbardziej aktualnych problemów naszych czasów </w:t>
      </w:r>
      <w:r w:rsidR="00560B19">
        <w:rPr>
          <w:rFonts w:ascii="Times New Roman" w:hAnsi="Times New Roman"/>
          <w:sz w:val="28"/>
          <w:szCs w:val="28"/>
          <w:lang w:val="pl-PL"/>
        </w:rPr>
        <w:br/>
      </w:r>
      <w:r w:rsidRPr="00396F49">
        <w:rPr>
          <w:rFonts w:ascii="Times New Roman" w:hAnsi="Times New Roman"/>
          <w:sz w:val="28"/>
          <w:szCs w:val="28"/>
          <w:lang w:val="pl-PL"/>
        </w:rPr>
        <w:t xml:space="preserve">i nazywana jest wrogiem publicznym numer jeden. Nie ma kraju ani jednostki, która nie poniosłaby strat z powodu inflacji. Jej skutki są odczuwalne we wszystkich sferach życia społecznego. W gospodarce Ukrainy inflacja pojawiła się jeszcze za czasów Związku Radzieckiego w 50 - 60-tych latach ubiegłego wieku i była związana </w:t>
      </w:r>
      <w:r w:rsidR="00560B19">
        <w:rPr>
          <w:rFonts w:ascii="Times New Roman" w:hAnsi="Times New Roman"/>
          <w:sz w:val="28"/>
          <w:szCs w:val="28"/>
          <w:lang w:val="pl-PL"/>
        </w:rPr>
        <w:br/>
      </w:r>
      <w:r w:rsidRPr="00396F49">
        <w:rPr>
          <w:rFonts w:ascii="Times New Roman" w:hAnsi="Times New Roman"/>
          <w:sz w:val="28"/>
          <w:szCs w:val="28"/>
          <w:lang w:val="pl-PL"/>
        </w:rPr>
        <w:t xml:space="preserve">z silnym spadkiem efektywności produkcji społecznej. Miała ona jednak charakter ukryty. Z powodu całkowitego deficytu pieniądz tracił wartość, nawet przy stabilnych cenach. Teraz inflacja stała się widoczna i rośnie. Jest to szczególnie wyraźne </w:t>
      </w:r>
      <w:r w:rsidR="00560B19">
        <w:rPr>
          <w:rFonts w:ascii="Times New Roman" w:hAnsi="Times New Roman"/>
          <w:sz w:val="28"/>
          <w:szCs w:val="28"/>
          <w:lang w:val="pl-PL"/>
        </w:rPr>
        <w:br/>
      </w:r>
      <w:r w:rsidRPr="00396F49">
        <w:rPr>
          <w:rFonts w:ascii="Times New Roman" w:hAnsi="Times New Roman"/>
          <w:sz w:val="28"/>
          <w:szCs w:val="28"/>
          <w:lang w:val="pl-PL"/>
        </w:rPr>
        <w:t>w ostatnim okresie. Dzisiejsza inflacja odbywa się pod wpływem nie tylko czynników pieniężnych, ale także niepieniężnych i ma charakter chroniczny. Pod naciskiem problemów wewnętrznych inflacja staje się zagrażająca ( rysunek 1).</w:t>
      </w:r>
    </w:p>
    <w:p w:rsidR="00E86948" w:rsidRPr="00D4251C" w:rsidRDefault="00E86948" w:rsidP="00E86948">
      <w:pPr>
        <w:spacing w:after="0" w:line="360" w:lineRule="auto"/>
        <w:jc w:val="center"/>
        <w:rPr>
          <w:rFonts w:ascii="Times New Roman" w:hAnsi="Times New Roman"/>
          <w:sz w:val="28"/>
          <w:szCs w:val="28"/>
        </w:rPr>
      </w:pPr>
      <w:r>
        <w:rPr>
          <w:noProof/>
          <w:lang w:eastAsia="uk-UA"/>
        </w:rPr>
        <w:drawing>
          <wp:inline distT="0" distB="0" distL="0" distR="0" wp14:anchorId="72ECDEA1" wp14:editId="0425C08D">
            <wp:extent cx="5648325" cy="30861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96F49" w:rsidRPr="00396F49" w:rsidRDefault="00396F49" w:rsidP="00396F49">
      <w:pPr>
        <w:spacing w:after="0" w:line="360" w:lineRule="auto"/>
        <w:jc w:val="center"/>
        <w:rPr>
          <w:rFonts w:ascii="Times New Roman" w:hAnsi="Times New Roman"/>
          <w:i/>
          <w:sz w:val="28"/>
          <w:szCs w:val="28"/>
          <w:lang w:val="pl-PL"/>
        </w:rPr>
      </w:pPr>
      <w:r w:rsidRPr="00396F49">
        <w:rPr>
          <w:rFonts w:ascii="Times New Roman" w:hAnsi="Times New Roman"/>
          <w:i/>
          <w:sz w:val="28"/>
          <w:szCs w:val="28"/>
          <w:lang w:val="pl-PL"/>
        </w:rPr>
        <w:t>Rysunek 1. Inflacja na Ukrainie w latach 2000-2022, %*.</w:t>
      </w:r>
    </w:p>
    <w:p w:rsidR="00E86948" w:rsidRDefault="00396F49" w:rsidP="00396F49">
      <w:pPr>
        <w:spacing w:after="0" w:line="360" w:lineRule="auto"/>
        <w:ind w:firstLine="709"/>
        <w:rPr>
          <w:rFonts w:ascii="Times New Roman" w:hAnsi="Times New Roman"/>
          <w:sz w:val="20"/>
          <w:szCs w:val="20"/>
          <w:lang w:val="pl-PL"/>
        </w:rPr>
      </w:pPr>
      <w:r w:rsidRPr="00396F49">
        <w:rPr>
          <w:rFonts w:ascii="Times New Roman" w:hAnsi="Times New Roman"/>
          <w:sz w:val="20"/>
          <w:szCs w:val="20"/>
          <w:lang w:val="pl-PL"/>
        </w:rPr>
        <w:t>* Zbudowano według [1].</w:t>
      </w:r>
    </w:p>
    <w:p w:rsidR="00C37432" w:rsidRPr="00396F49" w:rsidRDefault="00C37432" w:rsidP="00396F49">
      <w:pPr>
        <w:spacing w:after="0" w:line="360" w:lineRule="auto"/>
        <w:ind w:firstLine="709"/>
        <w:rPr>
          <w:rFonts w:ascii="Times New Roman" w:hAnsi="Times New Roman"/>
          <w:sz w:val="20"/>
          <w:szCs w:val="20"/>
          <w:lang w:val="pl-PL"/>
        </w:rPr>
      </w:pPr>
    </w:p>
    <w:p w:rsidR="00396F49" w:rsidRPr="00396F49" w:rsidRDefault="00396F49" w:rsidP="00E86948">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lastRenderedPageBreak/>
        <w:t>Głównym wskaźnikiem stosowanym do pomiaru inflacji w kraju jest stopa inflacji, czyli indeks cen konsumpcyjnych, który charakteryzuje ogólną zmianę cen towarów i usług w bieżącym okresie w porównaniu z okresem bazowym. Po hiperinflacji, której Ukraina doświadczyła w latach 1991-1993, kiedy to stopy inflacji wynosiły odpowiednio od 290% do 10155%, rok 2000 był pierwszym rokiem realnego wzrostu gospodarczego na poziomie +6,3%. Stopa inflacji w tym okresie wyniosła 12,40%. Następnie, aż do wybuchu światowego kryzysu finansowego, stopa inflacji nie przekraczała 16,6%. W 2008 roku inflacja wzrosła do 22,3%. Następnie, w wyniku spadku cen surowców na świecie, zmniejszenia popytu krajowego i zagranicznego oraz administracyjnej regulacji niektórych cen i taryf, inflacja spadła do 12,3%.</w:t>
      </w:r>
    </w:p>
    <w:p w:rsidR="00396F49" w:rsidRPr="00396F49" w:rsidRDefault="00396F49" w:rsidP="00E86948">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t xml:space="preserve">W 2010 r. po raz pierwszy na Ukrainie wzrost PKB przekroczył prognozy budżetowe, a inflacja była niższa od oczekiwanej, przy czym realna inflacja była </w:t>
      </w:r>
      <w:r w:rsidR="00560B19">
        <w:rPr>
          <w:rFonts w:ascii="Times New Roman" w:hAnsi="Times New Roman"/>
          <w:sz w:val="28"/>
          <w:szCs w:val="28"/>
          <w:lang w:val="pl-PL"/>
        </w:rPr>
        <w:br/>
      </w:r>
      <w:r w:rsidRPr="00396F49">
        <w:rPr>
          <w:rFonts w:ascii="Times New Roman" w:hAnsi="Times New Roman"/>
          <w:sz w:val="28"/>
          <w:szCs w:val="28"/>
          <w:lang w:val="pl-PL"/>
        </w:rPr>
        <w:t>o 4% niższa od prognozowanej (wobec prognozy 13,1%, inflacja wyniosła 9,1%). Było to w dużej mierze spowodowane korektami cen na niektórych rynkach żywności oraz zastosowaniem środków administracyjnych w celu ograniczenia dalszego wzrostu cen.</w:t>
      </w:r>
    </w:p>
    <w:p w:rsidR="00396F49" w:rsidRPr="00396F49" w:rsidRDefault="00396F49" w:rsidP="00E86948">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t xml:space="preserve">Do spadku wskaźnika cen producentów przyczyniły się niższe ceny w produkcji energii elektrycznej, wody i gazu. Władze lokalne nie podniosły taryf za usługi mieszkaniowe i komunalne zgodnie z oczekiwaniami społeczeństwa, co doprowadziło do spowolnienia wzrostu administracyjnego komponentu inflacji </w:t>
      </w:r>
      <w:r w:rsidR="00EC28E8">
        <w:rPr>
          <w:rFonts w:ascii="Times New Roman" w:hAnsi="Times New Roman"/>
          <w:sz w:val="28"/>
          <w:szCs w:val="28"/>
          <w:lang w:val="pl-PL"/>
        </w:rPr>
        <w:t>pozakredytowej</w:t>
      </w:r>
      <w:r w:rsidRPr="00396F49">
        <w:rPr>
          <w:rFonts w:ascii="Times New Roman" w:hAnsi="Times New Roman"/>
          <w:sz w:val="28"/>
          <w:szCs w:val="28"/>
          <w:lang w:val="pl-PL"/>
        </w:rPr>
        <w:t>,</w:t>
      </w:r>
      <w:r w:rsidR="00EC28E8">
        <w:rPr>
          <w:rFonts w:ascii="Times New Roman" w:hAnsi="Times New Roman"/>
          <w:sz w:val="28"/>
          <w:szCs w:val="28"/>
          <w:lang w:val="pl-PL"/>
        </w:rPr>
        <w:t xml:space="preserve"> </w:t>
      </w:r>
      <w:r w:rsidR="00EC28E8">
        <w:rPr>
          <w:rFonts w:ascii="Times New Roman" w:hAnsi="Times New Roman"/>
          <w:sz w:val="28"/>
          <w:szCs w:val="28"/>
          <w:lang w:val="pl-PL"/>
        </w:rPr>
        <w:br/>
      </w:r>
      <w:r w:rsidRPr="00396F49">
        <w:rPr>
          <w:rFonts w:ascii="Times New Roman" w:hAnsi="Times New Roman"/>
          <w:sz w:val="28"/>
          <w:szCs w:val="28"/>
          <w:lang w:val="pl-PL"/>
        </w:rPr>
        <w:t xml:space="preserve">a powolne ożywienie procesu kredytowego również ograniczyło presję inflacyjną. </w:t>
      </w:r>
      <w:r w:rsidR="00EC28E8">
        <w:rPr>
          <w:rFonts w:ascii="Times New Roman" w:hAnsi="Times New Roman"/>
          <w:sz w:val="28"/>
          <w:szCs w:val="28"/>
          <w:lang w:val="pl-PL"/>
        </w:rPr>
        <w:br/>
      </w:r>
      <w:r w:rsidRPr="00396F49">
        <w:rPr>
          <w:rFonts w:ascii="Times New Roman" w:hAnsi="Times New Roman"/>
          <w:sz w:val="28"/>
          <w:szCs w:val="28"/>
          <w:lang w:val="pl-PL"/>
        </w:rPr>
        <w:t>W latach 2011-2013 inflacja miała tendencję spadkową, zwłaszcza w 2012 r., kiedy to wskaźnik cen towarów i usług konsumpcyjnych obniżył się o 0,2% rok do roku. Spadek cen był w dużej mierze spowodowany obfitymi zbiorami owoców i warzyw oraz administracyjną kontrolą cen i taryf.</w:t>
      </w:r>
    </w:p>
    <w:p w:rsidR="00396F49" w:rsidRPr="00396F49" w:rsidRDefault="00396F49" w:rsidP="00E86948">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t xml:space="preserve">W 2014 roku, na tle agresji militarnej Rosji na wschodzie Ukrainy, aneksji Krymu oraz narosłych w poprzednich latach nierównowag makroekonomicznych, inflacja wzrosła do 24,9%, a w kolejnym roku osiągnęła poziom 43,3%. Inflacja została następnie ujarzmiona. Jednak wojna na pełną skalę, która rozpoczęła się w lutym 2022 roku, zniszczyła pozytywne tendencje. W rezultacie stopa inflacji wzrosła do 26,6%. </w:t>
      </w:r>
      <w:r w:rsidRPr="00396F49">
        <w:rPr>
          <w:rFonts w:ascii="Times New Roman" w:hAnsi="Times New Roman"/>
          <w:sz w:val="28"/>
          <w:szCs w:val="28"/>
          <w:lang w:val="pl-PL"/>
        </w:rPr>
        <w:lastRenderedPageBreak/>
        <w:t>W szybszym tempie rosły ceny paliw (+48%) i żywności (+27%), w szczególności warzyw (+68,5%), ryb (+30,3%) i chleba (+29,7%) [2].</w:t>
      </w:r>
    </w:p>
    <w:p w:rsidR="00396F49" w:rsidRPr="00396F49" w:rsidRDefault="00396F49" w:rsidP="00E86948">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t xml:space="preserve">Czynniki niepieniężne stanowiły dominujący udział w rocznym wzroście inflacji (80%). Istotny efekt szoku strukturalnego dla wzrostu inflacji spowodowały uszkodzenia infrastruktury energetycznej, które spowodowały skrócenie czasu pracy </w:t>
      </w:r>
      <w:r w:rsidR="00EC28E8">
        <w:rPr>
          <w:rFonts w:ascii="Times New Roman" w:hAnsi="Times New Roman"/>
          <w:sz w:val="28"/>
          <w:szCs w:val="28"/>
          <w:lang w:val="pl-PL"/>
        </w:rPr>
        <w:br/>
      </w:r>
      <w:r w:rsidRPr="00396F49">
        <w:rPr>
          <w:rFonts w:ascii="Times New Roman" w:hAnsi="Times New Roman"/>
          <w:sz w:val="28"/>
          <w:szCs w:val="28"/>
          <w:lang w:val="pl-PL"/>
        </w:rPr>
        <w:t>i wzrost kosztów produkcji. Udział importu wzrósł w przypadku dużej liczby towarów, co wywołało dodatkową presję na kurs walutowy - oficjalny kurs hrywny do dolara został ustalony na poziomie 36,6 UAH/1 USD, co oznacza dewaluację o 35%.</w:t>
      </w:r>
    </w:p>
    <w:p w:rsidR="00396F49" w:rsidRPr="00396F49" w:rsidRDefault="00396F49" w:rsidP="00E86948">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t xml:space="preserve">Wojna na Ukrainie odbiła się również na gospodarkach innych krajów na kontynencie europejskim. W pierwszych 8 miesiącach wojny ceny konsumpcyjne </w:t>
      </w:r>
      <w:r w:rsidR="00A77704">
        <w:rPr>
          <w:rFonts w:ascii="Times New Roman" w:hAnsi="Times New Roman"/>
          <w:sz w:val="28"/>
          <w:szCs w:val="28"/>
          <w:lang w:val="pl-PL"/>
        </w:rPr>
        <w:br/>
      </w:r>
      <w:r w:rsidRPr="00396F49">
        <w:rPr>
          <w:rFonts w:ascii="Times New Roman" w:hAnsi="Times New Roman"/>
          <w:sz w:val="28"/>
          <w:szCs w:val="28"/>
          <w:lang w:val="pl-PL"/>
        </w:rPr>
        <w:t xml:space="preserve">w 19 krajach UE skoczyły do góry o 9,1%, ustanawiając nowy negatywny rekord. Zaprzestanie dostaw rosyjskiego gazu do Europy może wywołać dalszy spadek PKB </w:t>
      </w:r>
      <w:r w:rsidR="00A77704">
        <w:rPr>
          <w:rFonts w:ascii="Times New Roman" w:hAnsi="Times New Roman"/>
          <w:sz w:val="28"/>
          <w:szCs w:val="28"/>
          <w:lang w:val="pl-PL"/>
        </w:rPr>
        <w:br/>
      </w:r>
      <w:r w:rsidRPr="00396F49">
        <w:rPr>
          <w:rFonts w:ascii="Times New Roman" w:hAnsi="Times New Roman"/>
          <w:sz w:val="28"/>
          <w:szCs w:val="28"/>
          <w:lang w:val="pl-PL"/>
        </w:rPr>
        <w:t>i doprowadzić do kolejnego wybuchu inflacji. Negatywny wpływ na dalszą dynamikę mogłaby mieć również destabilizacja średniookresowych oczekiwań inflacyjnych lub znacznie szybsze przyspieszenie wzrostu pensji, co doprowadziłoby do niekorzystnego sprzężenia zwrotnego między cenami a zarobkami.</w:t>
      </w:r>
    </w:p>
    <w:p w:rsidR="00E86948" w:rsidRPr="00396F49" w:rsidRDefault="00396F49" w:rsidP="00E86948">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t>Największy wpływ wojna na Ukrainie miała na gospodarki Litwy, Łotwy, Estonii i Polski ( rysunek 2).</w:t>
      </w:r>
    </w:p>
    <w:p w:rsidR="00E86948" w:rsidRDefault="00E86948" w:rsidP="00E86948">
      <w:pPr>
        <w:spacing w:after="0" w:line="360" w:lineRule="auto"/>
        <w:jc w:val="center"/>
        <w:rPr>
          <w:rFonts w:ascii="Times New Roman" w:hAnsi="Times New Roman"/>
          <w:sz w:val="28"/>
          <w:szCs w:val="28"/>
        </w:rPr>
      </w:pPr>
      <w:r>
        <w:rPr>
          <w:noProof/>
          <w:lang w:eastAsia="uk-UA"/>
        </w:rPr>
        <w:drawing>
          <wp:inline distT="0" distB="0" distL="0" distR="0" wp14:anchorId="375890A7" wp14:editId="5BB22FAE">
            <wp:extent cx="6120765" cy="3409950"/>
            <wp:effectExtent l="0" t="0" r="13335"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4013A" w:rsidRPr="00396F49" w:rsidRDefault="00396F49" w:rsidP="00E86948">
      <w:pPr>
        <w:spacing w:after="0" w:line="360" w:lineRule="auto"/>
        <w:ind w:firstLine="709"/>
        <w:jc w:val="center"/>
        <w:rPr>
          <w:rFonts w:ascii="Times New Roman" w:hAnsi="Times New Roman"/>
          <w:i/>
          <w:sz w:val="28"/>
          <w:szCs w:val="28"/>
          <w:lang w:val="pl-PL"/>
        </w:rPr>
      </w:pPr>
      <w:r w:rsidRPr="00396F49">
        <w:rPr>
          <w:rFonts w:ascii="Times New Roman" w:hAnsi="Times New Roman"/>
          <w:i/>
          <w:sz w:val="28"/>
          <w:szCs w:val="28"/>
          <w:lang w:val="pl-PL"/>
        </w:rPr>
        <w:t>Rysunek 2. Inflacja w UE w październiku 2022 r., % [3]</w:t>
      </w:r>
    </w:p>
    <w:p w:rsidR="00396F49" w:rsidRPr="00396F49" w:rsidRDefault="00396F49" w:rsidP="00396F49">
      <w:pPr>
        <w:spacing w:after="0" w:line="360" w:lineRule="auto"/>
        <w:ind w:firstLine="709"/>
        <w:jc w:val="both"/>
        <w:rPr>
          <w:rFonts w:ascii="Times New Roman" w:hAnsi="Times New Roman"/>
          <w:sz w:val="28"/>
          <w:szCs w:val="28"/>
          <w:lang w:val="pl-PL"/>
        </w:rPr>
      </w:pPr>
      <w:r w:rsidRPr="00396F49">
        <w:rPr>
          <w:rFonts w:ascii="Times New Roman" w:hAnsi="Times New Roman"/>
          <w:sz w:val="28"/>
          <w:szCs w:val="28"/>
          <w:lang w:val="pl-PL"/>
        </w:rPr>
        <w:lastRenderedPageBreak/>
        <w:t>W szczególności w Polsce stopa inflacji była rekordowo wysoka w ciągu ostatnich 20 lat, osiągając w październiku 17,9%.  Jednak do końca roku wskaźnik ten spadł do 14,4% ( rysunek 3).</w:t>
      </w:r>
    </w:p>
    <w:p w:rsidR="00E86948" w:rsidRDefault="00E86948" w:rsidP="00396F49">
      <w:pPr>
        <w:spacing w:after="0" w:line="360" w:lineRule="auto"/>
        <w:ind w:left="709" w:hanging="709"/>
        <w:jc w:val="center"/>
        <w:rPr>
          <w:rFonts w:ascii="Times New Roman" w:hAnsi="Times New Roman"/>
          <w:sz w:val="28"/>
          <w:szCs w:val="28"/>
        </w:rPr>
      </w:pPr>
      <w:r>
        <w:rPr>
          <w:noProof/>
          <w:lang w:eastAsia="uk-UA"/>
        </w:rPr>
        <w:drawing>
          <wp:inline distT="0" distB="0" distL="0" distR="0" wp14:anchorId="5DDC1E52" wp14:editId="60841025">
            <wp:extent cx="5162550" cy="314325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6F49" w:rsidRPr="000F29E7" w:rsidRDefault="00396F49" w:rsidP="00396F49">
      <w:pPr>
        <w:spacing w:after="0" w:line="360" w:lineRule="auto"/>
        <w:ind w:firstLine="709"/>
        <w:jc w:val="center"/>
        <w:rPr>
          <w:rFonts w:ascii="Times New Roman" w:hAnsi="Times New Roman"/>
          <w:i/>
          <w:sz w:val="28"/>
          <w:szCs w:val="28"/>
          <w:lang w:val="pl-PL"/>
        </w:rPr>
      </w:pPr>
      <w:r w:rsidRPr="000F29E7">
        <w:rPr>
          <w:rFonts w:ascii="Times New Roman" w:hAnsi="Times New Roman"/>
          <w:i/>
          <w:sz w:val="28"/>
          <w:szCs w:val="28"/>
          <w:lang w:val="pl-PL"/>
        </w:rPr>
        <w:t>Rysunek 3. Inflacja w Polsce w latach 2000-2022, %*.</w:t>
      </w:r>
    </w:p>
    <w:p w:rsidR="00E86948" w:rsidRDefault="00396F49" w:rsidP="000F29E7">
      <w:pPr>
        <w:spacing w:after="0" w:line="360" w:lineRule="auto"/>
        <w:ind w:firstLine="709"/>
        <w:rPr>
          <w:rFonts w:ascii="Times New Roman" w:hAnsi="Times New Roman"/>
          <w:sz w:val="24"/>
          <w:szCs w:val="24"/>
          <w:lang w:val="pl-PL"/>
        </w:rPr>
      </w:pPr>
      <w:r w:rsidRPr="000F29E7">
        <w:rPr>
          <w:rFonts w:ascii="Times New Roman" w:hAnsi="Times New Roman"/>
          <w:sz w:val="24"/>
          <w:szCs w:val="24"/>
          <w:lang w:val="pl-PL"/>
        </w:rPr>
        <w:t>* Obliczono na podstawie danych z [4].</w:t>
      </w:r>
    </w:p>
    <w:p w:rsidR="000F29E7" w:rsidRPr="000F29E7" w:rsidRDefault="000F29E7" w:rsidP="000F29E7">
      <w:pPr>
        <w:spacing w:after="0" w:line="360" w:lineRule="auto"/>
        <w:ind w:firstLine="709"/>
        <w:rPr>
          <w:rFonts w:ascii="Times New Roman" w:hAnsi="Times New Roman"/>
          <w:sz w:val="24"/>
          <w:szCs w:val="24"/>
          <w:lang w:val="pl-PL"/>
        </w:rPr>
      </w:pPr>
    </w:p>
    <w:p w:rsidR="000F29E7" w:rsidRPr="000F29E7" w:rsidRDefault="000F29E7" w:rsidP="00E86948">
      <w:pPr>
        <w:spacing w:after="0" w:line="360" w:lineRule="auto"/>
        <w:ind w:firstLine="709"/>
        <w:jc w:val="both"/>
        <w:rPr>
          <w:rFonts w:ascii="Times New Roman" w:hAnsi="Times New Roman"/>
          <w:sz w:val="28"/>
          <w:szCs w:val="28"/>
          <w:lang w:val="pl-PL"/>
        </w:rPr>
      </w:pPr>
      <w:r w:rsidRPr="000F29E7">
        <w:rPr>
          <w:rFonts w:ascii="Times New Roman" w:hAnsi="Times New Roman"/>
          <w:sz w:val="28"/>
          <w:szCs w:val="28"/>
          <w:lang w:val="pl-PL"/>
        </w:rPr>
        <w:t>Ceny żywności wzrosły o 21,9%, a ceny paliw o 19,5%. Polska stała się jednym z krajów o najwyższej inflacji. Choć pensje w kraju wzrosły w ciągu roku o 11,8%, to inflacja była wyższa, powodując realny spadek wartości wynagrodzeń. Analitycy stwierdzili, że jest to najgorszy wynik od początku analizy tego typu danych, czyli od 1995 roku.</w:t>
      </w:r>
    </w:p>
    <w:p w:rsidR="000F29E7" w:rsidRPr="000F29E7" w:rsidRDefault="000F29E7" w:rsidP="00E86948">
      <w:pPr>
        <w:spacing w:after="0" w:line="360" w:lineRule="auto"/>
        <w:ind w:firstLine="709"/>
        <w:jc w:val="both"/>
        <w:rPr>
          <w:rFonts w:ascii="Times New Roman" w:hAnsi="Times New Roman"/>
          <w:sz w:val="28"/>
          <w:szCs w:val="28"/>
          <w:lang w:val="pl-PL"/>
        </w:rPr>
      </w:pPr>
      <w:r w:rsidRPr="000F29E7">
        <w:rPr>
          <w:rFonts w:ascii="Times New Roman" w:hAnsi="Times New Roman"/>
          <w:sz w:val="28"/>
          <w:szCs w:val="28"/>
          <w:lang w:val="pl-PL"/>
        </w:rPr>
        <w:t xml:space="preserve">Międzynarodowy Fundusz Walutowy przedstawił swoje prognozy dotyczące inflacji w przyszłym roku. Podczas gdy w krajach strefy euro ma ona spaść do 2%, </w:t>
      </w:r>
      <w:r w:rsidR="00A77704">
        <w:rPr>
          <w:rFonts w:ascii="Times New Roman" w:hAnsi="Times New Roman"/>
          <w:sz w:val="28"/>
          <w:szCs w:val="28"/>
          <w:lang w:val="pl-PL"/>
        </w:rPr>
        <w:br/>
      </w:r>
      <w:r w:rsidRPr="000F29E7">
        <w:rPr>
          <w:rFonts w:ascii="Times New Roman" w:hAnsi="Times New Roman"/>
          <w:sz w:val="28"/>
          <w:szCs w:val="28"/>
          <w:lang w:val="pl-PL"/>
        </w:rPr>
        <w:t>w Polsce prognozuje się, że inflacja nadal pozostanie na wysokim poziomie - 8%.</w:t>
      </w:r>
    </w:p>
    <w:p w:rsidR="00605ED2" w:rsidRPr="000F29E7" w:rsidRDefault="000F29E7" w:rsidP="00E86948">
      <w:pPr>
        <w:spacing w:after="0" w:line="360" w:lineRule="auto"/>
        <w:ind w:firstLine="709"/>
        <w:jc w:val="both"/>
        <w:rPr>
          <w:rFonts w:ascii="Times New Roman" w:hAnsi="Times New Roman"/>
          <w:sz w:val="28"/>
          <w:szCs w:val="28"/>
          <w:lang w:val="pl-PL"/>
        </w:rPr>
      </w:pPr>
      <w:r w:rsidRPr="000F29E7">
        <w:rPr>
          <w:rFonts w:ascii="Times New Roman" w:hAnsi="Times New Roman"/>
          <w:sz w:val="28"/>
          <w:szCs w:val="28"/>
          <w:lang w:val="pl-PL"/>
        </w:rPr>
        <w:t xml:space="preserve">Rada Polityki Pieniężnej, której zadaniem jest utrzymanie wysokiej wartości waluty, będzie nadal podnosić stopy procentowe, gdyż prognozowany poziom polskich stóp procentowych jest znacznie wyższy od obecnego poziomu 6,5%. W 2023 roku Polska, podobnie jak inne kraje UE, będzie starała się powstrzymać od polityki zwiększającej presję inflacyjną. Jednym z priorytetów jest ograniczenie zużycia energii w celu ustabilizowania jej cen i zmniejszenia zależności od rosyjskiego paliwa. Dziś, </w:t>
      </w:r>
      <w:r w:rsidRPr="000F29E7">
        <w:rPr>
          <w:rFonts w:ascii="Times New Roman" w:hAnsi="Times New Roman"/>
          <w:sz w:val="28"/>
          <w:szCs w:val="28"/>
          <w:lang w:val="pl-PL"/>
        </w:rPr>
        <w:lastRenderedPageBreak/>
        <w:t>bardziej niż kiedykolwiek, potrzebne są terminowe, zdecydowane i dobrze uzasadnione działania państwa i rządu, aby realizować politykę antyinflacyjną, która ograniczyłaby wysoką inflację i zapobiegła destrukcji gospodarki.</w:t>
      </w:r>
    </w:p>
    <w:p w:rsidR="000F29E7" w:rsidRDefault="000F29E7" w:rsidP="00E86948">
      <w:pPr>
        <w:spacing w:after="0" w:line="360" w:lineRule="auto"/>
        <w:ind w:firstLine="709"/>
        <w:jc w:val="both"/>
        <w:rPr>
          <w:rFonts w:ascii="Times New Roman" w:hAnsi="Times New Roman"/>
          <w:sz w:val="28"/>
          <w:szCs w:val="28"/>
        </w:rPr>
      </w:pPr>
    </w:p>
    <w:p w:rsidR="00605ED2" w:rsidRPr="00605ED2" w:rsidRDefault="00605ED2" w:rsidP="00605ED2">
      <w:pPr>
        <w:spacing w:after="0" w:line="360" w:lineRule="auto"/>
        <w:ind w:firstLine="709"/>
        <w:jc w:val="center"/>
        <w:rPr>
          <w:rFonts w:ascii="Times New Roman" w:hAnsi="Times New Roman"/>
          <w:b/>
          <w:sz w:val="24"/>
          <w:szCs w:val="24"/>
        </w:rPr>
      </w:pPr>
      <w:r w:rsidRPr="00605ED2">
        <w:rPr>
          <w:rFonts w:ascii="Times New Roman" w:hAnsi="Times New Roman"/>
          <w:b/>
          <w:sz w:val="24"/>
          <w:szCs w:val="24"/>
        </w:rPr>
        <w:t>Література:</w:t>
      </w:r>
    </w:p>
    <w:p w:rsidR="00605ED2" w:rsidRPr="00EC31B1" w:rsidRDefault="00EC31B1" w:rsidP="00605ED2">
      <w:pPr>
        <w:spacing w:after="0" w:line="360" w:lineRule="auto"/>
        <w:ind w:firstLine="709"/>
        <w:jc w:val="both"/>
        <w:rPr>
          <w:rFonts w:ascii="Times New Roman" w:hAnsi="Times New Roman"/>
          <w:sz w:val="24"/>
          <w:szCs w:val="24"/>
        </w:rPr>
      </w:pPr>
      <w:r w:rsidRPr="00EC31B1">
        <w:rPr>
          <w:rFonts w:ascii="Times New Roman" w:hAnsi="Times New Roman"/>
          <w:sz w:val="24"/>
          <w:szCs w:val="24"/>
        </w:rPr>
        <w:t>1. Мінфін. [</w:t>
      </w:r>
      <w:proofErr w:type="spellStart"/>
      <w:r w:rsidRPr="00EC31B1">
        <w:rPr>
          <w:rFonts w:ascii="Times New Roman" w:hAnsi="Times New Roman"/>
          <w:sz w:val="24"/>
          <w:szCs w:val="24"/>
        </w:rPr>
        <w:t>online</w:t>
      </w:r>
      <w:proofErr w:type="spellEnd"/>
      <w:r w:rsidRPr="00EC31B1">
        <w:rPr>
          <w:rFonts w:ascii="Times New Roman" w:hAnsi="Times New Roman"/>
          <w:sz w:val="24"/>
          <w:szCs w:val="24"/>
        </w:rPr>
        <w:t>], [</w:t>
      </w:r>
      <w:proofErr w:type="spellStart"/>
      <w:r w:rsidRPr="00EC31B1">
        <w:rPr>
          <w:rFonts w:ascii="Times New Roman" w:hAnsi="Times New Roman"/>
          <w:sz w:val="24"/>
          <w:szCs w:val="24"/>
        </w:rPr>
        <w:t>dostęp</w:t>
      </w:r>
      <w:proofErr w:type="spellEnd"/>
      <w:r w:rsidRPr="00EC31B1">
        <w:rPr>
          <w:rFonts w:ascii="Times New Roman" w:hAnsi="Times New Roman"/>
          <w:sz w:val="24"/>
          <w:szCs w:val="24"/>
        </w:rPr>
        <w:t xml:space="preserve"> 3 </w:t>
      </w:r>
      <w:proofErr w:type="spellStart"/>
      <w:r w:rsidRPr="00EC31B1">
        <w:rPr>
          <w:rFonts w:ascii="Times New Roman" w:hAnsi="Times New Roman"/>
          <w:sz w:val="24"/>
          <w:szCs w:val="24"/>
        </w:rPr>
        <w:t>maja</w:t>
      </w:r>
      <w:proofErr w:type="spellEnd"/>
      <w:r w:rsidRPr="00EC31B1">
        <w:rPr>
          <w:rFonts w:ascii="Times New Roman" w:hAnsi="Times New Roman"/>
          <w:sz w:val="24"/>
          <w:szCs w:val="24"/>
        </w:rPr>
        <w:t xml:space="preserve"> 2023], </w:t>
      </w:r>
      <w:proofErr w:type="spellStart"/>
      <w:r w:rsidRPr="00EC31B1">
        <w:rPr>
          <w:rFonts w:ascii="Times New Roman" w:hAnsi="Times New Roman"/>
          <w:sz w:val="24"/>
          <w:szCs w:val="24"/>
        </w:rPr>
        <w:t>dostępny</w:t>
      </w:r>
      <w:proofErr w:type="spellEnd"/>
      <w:r w:rsidRPr="00EC31B1">
        <w:rPr>
          <w:rFonts w:ascii="Times New Roman" w:hAnsi="Times New Roman"/>
          <w:sz w:val="24"/>
          <w:szCs w:val="24"/>
        </w:rPr>
        <w:t xml:space="preserve"> w </w:t>
      </w:r>
      <w:proofErr w:type="spellStart"/>
      <w:r w:rsidRPr="00EC31B1">
        <w:rPr>
          <w:rFonts w:ascii="Times New Roman" w:hAnsi="Times New Roman"/>
          <w:sz w:val="24"/>
          <w:szCs w:val="24"/>
        </w:rPr>
        <w:t>Internecie</w:t>
      </w:r>
      <w:proofErr w:type="spellEnd"/>
      <w:r w:rsidRPr="00EC31B1">
        <w:rPr>
          <w:rFonts w:ascii="Times New Roman" w:hAnsi="Times New Roman"/>
          <w:sz w:val="24"/>
          <w:szCs w:val="24"/>
        </w:rPr>
        <w:t xml:space="preserve">: </w:t>
      </w:r>
      <w:hyperlink r:id="rId8" w:history="1">
        <w:r w:rsidRPr="00EC31B1">
          <w:rPr>
            <w:rStyle w:val="a4"/>
            <w:rFonts w:ascii="Times New Roman" w:hAnsi="Times New Roman"/>
            <w:color w:val="auto"/>
            <w:sz w:val="24"/>
            <w:szCs w:val="24"/>
          </w:rPr>
          <w:t>https://index.minfin.com.ua/ua/economy/index/inflation/</w:t>
        </w:r>
      </w:hyperlink>
    </w:p>
    <w:p w:rsidR="00EC31B1" w:rsidRPr="00EC31B1" w:rsidRDefault="00EC31B1" w:rsidP="00605ED2">
      <w:pPr>
        <w:spacing w:after="0" w:line="360" w:lineRule="auto"/>
        <w:ind w:firstLine="709"/>
        <w:jc w:val="both"/>
        <w:rPr>
          <w:rFonts w:ascii="Times New Roman" w:hAnsi="Times New Roman"/>
          <w:sz w:val="24"/>
          <w:szCs w:val="24"/>
        </w:rPr>
      </w:pPr>
      <w:r w:rsidRPr="00EC31B1">
        <w:rPr>
          <w:rFonts w:ascii="Times New Roman" w:hAnsi="Times New Roman"/>
          <w:sz w:val="24"/>
          <w:szCs w:val="24"/>
        </w:rPr>
        <w:t xml:space="preserve">2. </w:t>
      </w:r>
      <w:proofErr w:type="spellStart"/>
      <w:r w:rsidRPr="00EC31B1">
        <w:rPr>
          <w:rFonts w:ascii="Times New Roman" w:hAnsi="Times New Roman"/>
          <w:sz w:val="24"/>
          <w:szCs w:val="24"/>
        </w:rPr>
        <w:t>Слуцький</w:t>
      </w:r>
      <w:proofErr w:type="spellEnd"/>
      <w:r w:rsidRPr="00EC31B1">
        <w:rPr>
          <w:rFonts w:ascii="Times New Roman" w:hAnsi="Times New Roman"/>
          <w:sz w:val="24"/>
          <w:szCs w:val="24"/>
        </w:rPr>
        <w:t xml:space="preserve"> Б. В Україні сповільнилася інфляція: який показник у річному вимірі [</w:t>
      </w:r>
      <w:proofErr w:type="spellStart"/>
      <w:r w:rsidRPr="00EC31B1">
        <w:rPr>
          <w:rFonts w:ascii="Times New Roman" w:hAnsi="Times New Roman"/>
          <w:sz w:val="24"/>
          <w:szCs w:val="24"/>
        </w:rPr>
        <w:t>online</w:t>
      </w:r>
      <w:proofErr w:type="spellEnd"/>
      <w:r w:rsidRPr="00EC31B1">
        <w:rPr>
          <w:rFonts w:ascii="Times New Roman" w:hAnsi="Times New Roman"/>
          <w:sz w:val="24"/>
          <w:szCs w:val="24"/>
        </w:rPr>
        <w:t>], [</w:t>
      </w:r>
      <w:proofErr w:type="spellStart"/>
      <w:r w:rsidRPr="00EC31B1">
        <w:rPr>
          <w:rFonts w:ascii="Times New Roman" w:hAnsi="Times New Roman"/>
          <w:sz w:val="24"/>
          <w:szCs w:val="24"/>
        </w:rPr>
        <w:t>dostęp</w:t>
      </w:r>
      <w:proofErr w:type="spellEnd"/>
      <w:r w:rsidRPr="00EC31B1">
        <w:rPr>
          <w:rFonts w:ascii="Times New Roman" w:hAnsi="Times New Roman"/>
          <w:sz w:val="24"/>
          <w:szCs w:val="24"/>
        </w:rPr>
        <w:t xml:space="preserve"> 3 </w:t>
      </w:r>
      <w:proofErr w:type="spellStart"/>
      <w:r w:rsidRPr="00EC31B1">
        <w:rPr>
          <w:rFonts w:ascii="Times New Roman" w:hAnsi="Times New Roman"/>
          <w:sz w:val="24"/>
          <w:szCs w:val="24"/>
        </w:rPr>
        <w:t>maja</w:t>
      </w:r>
      <w:proofErr w:type="spellEnd"/>
      <w:r w:rsidRPr="00EC31B1">
        <w:rPr>
          <w:rFonts w:ascii="Times New Roman" w:hAnsi="Times New Roman"/>
          <w:sz w:val="24"/>
          <w:szCs w:val="24"/>
        </w:rPr>
        <w:t xml:space="preserve"> 2023], </w:t>
      </w:r>
      <w:proofErr w:type="spellStart"/>
      <w:r w:rsidRPr="00EC31B1">
        <w:rPr>
          <w:rFonts w:ascii="Times New Roman" w:hAnsi="Times New Roman"/>
          <w:sz w:val="24"/>
          <w:szCs w:val="24"/>
        </w:rPr>
        <w:t>dostępny</w:t>
      </w:r>
      <w:proofErr w:type="spellEnd"/>
      <w:r w:rsidRPr="00EC31B1">
        <w:rPr>
          <w:rFonts w:ascii="Times New Roman" w:hAnsi="Times New Roman"/>
          <w:sz w:val="24"/>
          <w:szCs w:val="24"/>
        </w:rPr>
        <w:t xml:space="preserve"> w </w:t>
      </w:r>
      <w:proofErr w:type="spellStart"/>
      <w:r w:rsidRPr="00EC31B1">
        <w:rPr>
          <w:rFonts w:ascii="Times New Roman" w:hAnsi="Times New Roman"/>
          <w:sz w:val="24"/>
          <w:szCs w:val="24"/>
        </w:rPr>
        <w:t>Internecie</w:t>
      </w:r>
      <w:proofErr w:type="spellEnd"/>
      <w:r w:rsidRPr="00EC31B1">
        <w:rPr>
          <w:rFonts w:ascii="Times New Roman" w:hAnsi="Times New Roman"/>
          <w:sz w:val="24"/>
          <w:szCs w:val="24"/>
        </w:rPr>
        <w:t xml:space="preserve">: </w:t>
      </w:r>
      <w:hyperlink r:id="rId9" w:history="1">
        <w:r w:rsidRPr="00EC31B1">
          <w:rPr>
            <w:rStyle w:val="a4"/>
            <w:rFonts w:ascii="Times New Roman" w:hAnsi="Times New Roman"/>
            <w:color w:val="auto"/>
            <w:sz w:val="24"/>
            <w:szCs w:val="24"/>
          </w:rPr>
          <w:t>https://www.unian.ua/economics/finance/v-ukrajini-spovilnilasya-inflyaciya-yakiy-pokaznik-u-richnomu-vimiri-12174903.html</w:t>
        </w:r>
      </w:hyperlink>
      <w:r w:rsidRPr="00EC31B1">
        <w:rPr>
          <w:rFonts w:ascii="Times New Roman" w:hAnsi="Times New Roman"/>
          <w:sz w:val="24"/>
          <w:szCs w:val="24"/>
        </w:rPr>
        <w:t>.</w:t>
      </w:r>
    </w:p>
    <w:p w:rsidR="00EC31B1" w:rsidRPr="00EC31B1" w:rsidRDefault="00EC31B1" w:rsidP="00605ED2">
      <w:pPr>
        <w:spacing w:after="0" w:line="360" w:lineRule="auto"/>
        <w:ind w:firstLine="709"/>
        <w:jc w:val="both"/>
        <w:rPr>
          <w:rFonts w:ascii="Times New Roman" w:hAnsi="Times New Roman"/>
          <w:sz w:val="24"/>
          <w:szCs w:val="24"/>
        </w:rPr>
      </w:pPr>
      <w:r w:rsidRPr="00EC31B1">
        <w:rPr>
          <w:rFonts w:ascii="Times New Roman" w:hAnsi="Times New Roman"/>
          <w:sz w:val="24"/>
          <w:szCs w:val="24"/>
        </w:rPr>
        <w:t xml:space="preserve">3. </w:t>
      </w:r>
      <w:proofErr w:type="spellStart"/>
      <w:r w:rsidRPr="00EC31B1">
        <w:rPr>
          <w:rFonts w:ascii="Times New Roman" w:hAnsi="Times New Roman"/>
          <w:sz w:val="24"/>
          <w:szCs w:val="24"/>
        </w:rPr>
        <w:t>Харламов</w:t>
      </w:r>
      <w:proofErr w:type="spellEnd"/>
      <w:r w:rsidRPr="00EC31B1">
        <w:rPr>
          <w:rFonts w:ascii="Times New Roman" w:hAnsi="Times New Roman"/>
          <w:sz w:val="24"/>
          <w:szCs w:val="24"/>
        </w:rPr>
        <w:t xml:space="preserve"> П. Світ переживає рекордне зростання цін. У США намагаються придушити споживчий попит, у ЄС – позбавляться облігацій та ріжуть доходи енергетичних гігантів, а Туреччина перекладає весь удар на громадян [</w:t>
      </w:r>
      <w:proofErr w:type="spellStart"/>
      <w:r w:rsidRPr="00EC31B1">
        <w:rPr>
          <w:rFonts w:ascii="Times New Roman" w:hAnsi="Times New Roman"/>
          <w:sz w:val="24"/>
          <w:szCs w:val="24"/>
        </w:rPr>
        <w:t>online</w:t>
      </w:r>
      <w:proofErr w:type="spellEnd"/>
      <w:r w:rsidRPr="00EC31B1">
        <w:rPr>
          <w:rFonts w:ascii="Times New Roman" w:hAnsi="Times New Roman"/>
          <w:sz w:val="24"/>
          <w:szCs w:val="24"/>
        </w:rPr>
        <w:t>], [</w:t>
      </w:r>
      <w:proofErr w:type="spellStart"/>
      <w:r w:rsidRPr="00EC31B1">
        <w:rPr>
          <w:rFonts w:ascii="Times New Roman" w:hAnsi="Times New Roman"/>
          <w:sz w:val="24"/>
          <w:szCs w:val="24"/>
        </w:rPr>
        <w:t>dostęp</w:t>
      </w:r>
      <w:proofErr w:type="spellEnd"/>
      <w:r w:rsidRPr="00EC31B1">
        <w:rPr>
          <w:rFonts w:ascii="Times New Roman" w:hAnsi="Times New Roman"/>
          <w:sz w:val="24"/>
          <w:szCs w:val="24"/>
        </w:rPr>
        <w:t xml:space="preserve"> 3 </w:t>
      </w:r>
      <w:proofErr w:type="spellStart"/>
      <w:r w:rsidRPr="00EC31B1">
        <w:rPr>
          <w:rFonts w:ascii="Times New Roman" w:hAnsi="Times New Roman"/>
          <w:sz w:val="24"/>
          <w:szCs w:val="24"/>
        </w:rPr>
        <w:t>maja</w:t>
      </w:r>
      <w:proofErr w:type="spellEnd"/>
      <w:r w:rsidRPr="00EC31B1">
        <w:rPr>
          <w:rFonts w:ascii="Times New Roman" w:hAnsi="Times New Roman"/>
          <w:sz w:val="24"/>
          <w:szCs w:val="24"/>
        </w:rPr>
        <w:t xml:space="preserve"> 2023], </w:t>
      </w:r>
      <w:proofErr w:type="spellStart"/>
      <w:r w:rsidRPr="00EC31B1">
        <w:rPr>
          <w:rFonts w:ascii="Times New Roman" w:hAnsi="Times New Roman"/>
          <w:sz w:val="24"/>
          <w:szCs w:val="24"/>
        </w:rPr>
        <w:t>dostępny</w:t>
      </w:r>
      <w:proofErr w:type="spellEnd"/>
      <w:r w:rsidRPr="00EC31B1">
        <w:rPr>
          <w:rFonts w:ascii="Times New Roman" w:hAnsi="Times New Roman"/>
          <w:sz w:val="24"/>
          <w:szCs w:val="24"/>
        </w:rPr>
        <w:t xml:space="preserve"> w </w:t>
      </w:r>
      <w:proofErr w:type="spellStart"/>
      <w:r w:rsidRPr="00EC31B1">
        <w:rPr>
          <w:rFonts w:ascii="Times New Roman" w:hAnsi="Times New Roman"/>
          <w:sz w:val="24"/>
          <w:szCs w:val="24"/>
        </w:rPr>
        <w:t>Internecie</w:t>
      </w:r>
      <w:proofErr w:type="spellEnd"/>
      <w:r w:rsidRPr="00EC31B1">
        <w:rPr>
          <w:rFonts w:ascii="Times New Roman" w:hAnsi="Times New Roman"/>
          <w:sz w:val="24"/>
          <w:szCs w:val="24"/>
        </w:rPr>
        <w:t xml:space="preserve">: </w:t>
      </w:r>
      <w:hyperlink r:id="rId10" w:history="1">
        <w:r w:rsidRPr="00EC31B1">
          <w:rPr>
            <w:rStyle w:val="a4"/>
            <w:rFonts w:ascii="Times New Roman" w:hAnsi="Times New Roman"/>
            <w:color w:val="auto"/>
            <w:sz w:val="24"/>
            <w:szCs w:val="24"/>
          </w:rPr>
          <w:t>https://mind.ua/publications/20249755-svit-perezhivae-rekordne-zrostannya-cin-u-ssha-namagayutsya-pridushiti-spozhivchij-popit-u-es-pozbavlyayu</w:t>
        </w:r>
      </w:hyperlink>
      <w:r w:rsidRPr="00EC31B1">
        <w:rPr>
          <w:rFonts w:ascii="Times New Roman" w:hAnsi="Times New Roman"/>
          <w:sz w:val="24"/>
          <w:szCs w:val="24"/>
        </w:rPr>
        <w:t>.</w:t>
      </w:r>
    </w:p>
    <w:p w:rsidR="00EC31B1" w:rsidRPr="00EC31B1" w:rsidRDefault="00EC31B1" w:rsidP="00605ED2">
      <w:pPr>
        <w:spacing w:after="0" w:line="360" w:lineRule="auto"/>
        <w:ind w:firstLine="709"/>
        <w:jc w:val="both"/>
        <w:rPr>
          <w:rFonts w:ascii="Times New Roman" w:hAnsi="Times New Roman"/>
          <w:sz w:val="24"/>
          <w:szCs w:val="24"/>
        </w:rPr>
      </w:pPr>
      <w:r w:rsidRPr="00EC31B1">
        <w:rPr>
          <w:rFonts w:ascii="Times New Roman" w:hAnsi="Times New Roman"/>
          <w:sz w:val="24"/>
          <w:szCs w:val="24"/>
        </w:rPr>
        <w:t xml:space="preserve">4. </w:t>
      </w:r>
      <w:r w:rsidRPr="00EC31B1">
        <w:rPr>
          <w:rFonts w:ascii="Times New Roman" w:hAnsi="Times New Roman"/>
          <w:sz w:val="24"/>
          <w:szCs w:val="24"/>
          <w:lang w:val="pl-PL"/>
        </w:rPr>
        <w:t xml:space="preserve">Główny Urząd Statystyczny. </w:t>
      </w:r>
      <w:proofErr w:type="spellStart"/>
      <w:r w:rsidRPr="00EC31B1">
        <w:rPr>
          <w:rFonts w:ascii="Times New Roman" w:hAnsi="Times New Roman"/>
          <w:sz w:val="24"/>
          <w:szCs w:val="24"/>
        </w:rPr>
        <w:t>Roczne</w:t>
      </w:r>
      <w:proofErr w:type="spellEnd"/>
      <w:r w:rsidRPr="00EC31B1">
        <w:rPr>
          <w:rFonts w:ascii="Times New Roman" w:hAnsi="Times New Roman"/>
          <w:sz w:val="24"/>
          <w:szCs w:val="24"/>
        </w:rPr>
        <w:t xml:space="preserve"> </w:t>
      </w:r>
      <w:proofErr w:type="spellStart"/>
      <w:r w:rsidRPr="00EC31B1">
        <w:rPr>
          <w:rFonts w:ascii="Times New Roman" w:hAnsi="Times New Roman"/>
          <w:sz w:val="24"/>
          <w:szCs w:val="24"/>
        </w:rPr>
        <w:t>wskaźniki</w:t>
      </w:r>
      <w:proofErr w:type="spellEnd"/>
      <w:r w:rsidRPr="00EC31B1">
        <w:rPr>
          <w:rFonts w:ascii="Times New Roman" w:hAnsi="Times New Roman"/>
          <w:sz w:val="24"/>
          <w:szCs w:val="24"/>
        </w:rPr>
        <w:t xml:space="preserve"> </w:t>
      </w:r>
      <w:proofErr w:type="spellStart"/>
      <w:r w:rsidRPr="00EC31B1">
        <w:rPr>
          <w:rFonts w:ascii="Times New Roman" w:hAnsi="Times New Roman"/>
          <w:sz w:val="24"/>
          <w:szCs w:val="24"/>
        </w:rPr>
        <w:t>cen</w:t>
      </w:r>
      <w:proofErr w:type="spellEnd"/>
      <w:r w:rsidRPr="00EC31B1">
        <w:rPr>
          <w:rFonts w:ascii="Times New Roman" w:hAnsi="Times New Roman"/>
          <w:sz w:val="24"/>
          <w:szCs w:val="24"/>
        </w:rPr>
        <w:t xml:space="preserve"> </w:t>
      </w:r>
      <w:proofErr w:type="spellStart"/>
      <w:r w:rsidRPr="00EC31B1">
        <w:rPr>
          <w:rFonts w:ascii="Times New Roman" w:hAnsi="Times New Roman"/>
          <w:sz w:val="24"/>
          <w:szCs w:val="24"/>
        </w:rPr>
        <w:t>towarów</w:t>
      </w:r>
      <w:proofErr w:type="spellEnd"/>
      <w:r w:rsidRPr="00EC31B1">
        <w:rPr>
          <w:rFonts w:ascii="Times New Roman" w:hAnsi="Times New Roman"/>
          <w:sz w:val="24"/>
          <w:szCs w:val="24"/>
        </w:rPr>
        <w:t xml:space="preserve"> i </w:t>
      </w:r>
      <w:proofErr w:type="spellStart"/>
      <w:r w:rsidRPr="00EC31B1">
        <w:rPr>
          <w:rFonts w:ascii="Times New Roman" w:hAnsi="Times New Roman"/>
          <w:sz w:val="24"/>
          <w:szCs w:val="24"/>
        </w:rPr>
        <w:t>usług</w:t>
      </w:r>
      <w:proofErr w:type="spellEnd"/>
      <w:r w:rsidRPr="00EC31B1">
        <w:rPr>
          <w:rFonts w:ascii="Times New Roman" w:hAnsi="Times New Roman"/>
          <w:sz w:val="24"/>
          <w:szCs w:val="24"/>
        </w:rPr>
        <w:t xml:space="preserve"> </w:t>
      </w:r>
      <w:proofErr w:type="spellStart"/>
      <w:r w:rsidRPr="00EC31B1">
        <w:rPr>
          <w:rFonts w:ascii="Times New Roman" w:hAnsi="Times New Roman"/>
          <w:sz w:val="24"/>
          <w:szCs w:val="24"/>
        </w:rPr>
        <w:t>konsumpcyjnych</w:t>
      </w:r>
      <w:proofErr w:type="spellEnd"/>
      <w:r w:rsidRPr="00EC31B1">
        <w:rPr>
          <w:rFonts w:ascii="Times New Roman" w:hAnsi="Times New Roman"/>
          <w:sz w:val="24"/>
          <w:szCs w:val="24"/>
        </w:rPr>
        <w:t xml:space="preserve"> </w:t>
      </w:r>
      <w:proofErr w:type="spellStart"/>
      <w:r w:rsidRPr="00EC31B1">
        <w:rPr>
          <w:rFonts w:ascii="Times New Roman" w:hAnsi="Times New Roman"/>
          <w:sz w:val="24"/>
          <w:szCs w:val="24"/>
        </w:rPr>
        <w:t>od</w:t>
      </w:r>
      <w:proofErr w:type="spellEnd"/>
      <w:r w:rsidRPr="00EC31B1">
        <w:rPr>
          <w:rFonts w:ascii="Times New Roman" w:hAnsi="Times New Roman"/>
          <w:sz w:val="24"/>
          <w:szCs w:val="24"/>
        </w:rPr>
        <w:t xml:space="preserve"> 1950 </w:t>
      </w:r>
      <w:proofErr w:type="spellStart"/>
      <w:r w:rsidRPr="00EC31B1">
        <w:rPr>
          <w:rFonts w:ascii="Times New Roman" w:hAnsi="Times New Roman"/>
          <w:sz w:val="24"/>
          <w:szCs w:val="24"/>
        </w:rPr>
        <w:t>roku</w:t>
      </w:r>
      <w:proofErr w:type="spellEnd"/>
      <w:r w:rsidRPr="00EC31B1">
        <w:rPr>
          <w:rFonts w:ascii="Times New Roman" w:hAnsi="Times New Roman"/>
          <w:sz w:val="24"/>
          <w:szCs w:val="24"/>
        </w:rPr>
        <w:t xml:space="preserve"> [</w:t>
      </w:r>
      <w:proofErr w:type="spellStart"/>
      <w:r w:rsidRPr="00EC31B1">
        <w:rPr>
          <w:rFonts w:ascii="Times New Roman" w:hAnsi="Times New Roman"/>
          <w:sz w:val="24"/>
          <w:szCs w:val="24"/>
        </w:rPr>
        <w:t>online</w:t>
      </w:r>
      <w:proofErr w:type="spellEnd"/>
      <w:r w:rsidRPr="00EC31B1">
        <w:rPr>
          <w:rFonts w:ascii="Times New Roman" w:hAnsi="Times New Roman"/>
          <w:sz w:val="24"/>
          <w:szCs w:val="24"/>
        </w:rPr>
        <w:t>], [</w:t>
      </w:r>
      <w:proofErr w:type="spellStart"/>
      <w:r w:rsidRPr="00EC31B1">
        <w:rPr>
          <w:rFonts w:ascii="Times New Roman" w:hAnsi="Times New Roman"/>
          <w:sz w:val="24"/>
          <w:szCs w:val="24"/>
        </w:rPr>
        <w:t>dostęp</w:t>
      </w:r>
      <w:proofErr w:type="spellEnd"/>
      <w:r w:rsidRPr="00EC31B1">
        <w:rPr>
          <w:rFonts w:ascii="Times New Roman" w:hAnsi="Times New Roman"/>
          <w:sz w:val="24"/>
          <w:szCs w:val="24"/>
        </w:rPr>
        <w:t xml:space="preserve"> 3 </w:t>
      </w:r>
      <w:proofErr w:type="spellStart"/>
      <w:r w:rsidRPr="00EC31B1">
        <w:rPr>
          <w:rFonts w:ascii="Times New Roman" w:hAnsi="Times New Roman"/>
          <w:sz w:val="24"/>
          <w:szCs w:val="24"/>
        </w:rPr>
        <w:t>maja</w:t>
      </w:r>
      <w:proofErr w:type="spellEnd"/>
      <w:r w:rsidRPr="00EC31B1">
        <w:rPr>
          <w:rFonts w:ascii="Times New Roman" w:hAnsi="Times New Roman"/>
          <w:sz w:val="24"/>
          <w:szCs w:val="24"/>
        </w:rPr>
        <w:t xml:space="preserve"> 2023], </w:t>
      </w:r>
      <w:proofErr w:type="spellStart"/>
      <w:r w:rsidRPr="00EC31B1">
        <w:rPr>
          <w:rFonts w:ascii="Times New Roman" w:hAnsi="Times New Roman"/>
          <w:sz w:val="24"/>
          <w:szCs w:val="24"/>
        </w:rPr>
        <w:t>dostępny</w:t>
      </w:r>
      <w:proofErr w:type="spellEnd"/>
      <w:r w:rsidRPr="00EC31B1">
        <w:rPr>
          <w:rFonts w:ascii="Times New Roman" w:hAnsi="Times New Roman"/>
          <w:sz w:val="24"/>
          <w:szCs w:val="24"/>
        </w:rPr>
        <w:t xml:space="preserve"> w </w:t>
      </w:r>
      <w:proofErr w:type="spellStart"/>
      <w:r w:rsidRPr="00EC31B1">
        <w:rPr>
          <w:rFonts w:ascii="Times New Roman" w:hAnsi="Times New Roman"/>
          <w:sz w:val="24"/>
          <w:szCs w:val="24"/>
        </w:rPr>
        <w:t>Internecie</w:t>
      </w:r>
      <w:proofErr w:type="spellEnd"/>
      <w:r w:rsidRPr="00EC31B1">
        <w:rPr>
          <w:rFonts w:ascii="Times New Roman" w:hAnsi="Times New Roman"/>
          <w:sz w:val="24"/>
          <w:szCs w:val="24"/>
        </w:rPr>
        <w:t>: https://stat.gov.pl/obszary-tematyczne/ceny-handel/wskazniki-cen/wskazniki-cen-towarow-i-uslug-konsumpcyjnych-pot-inflacja-/roczne-wskazniki-cen-towarow-i-uslug-konsumpcyjnych/</w:t>
      </w:r>
    </w:p>
    <w:p w:rsidR="00EC31B1" w:rsidRDefault="00EC31B1" w:rsidP="00605ED2">
      <w:pPr>
        <w:spacing w:after="0" w:line="360" w:lineRule="auto"/>
        <w:ind w:firstLine="709"/>
        <w:jc w:val="both"/>
        <w:rPr>
          <w:rFonts w:ascii="Times New Roman" w:hAnsi="Times New Roman"/>
          <w:color w:val="FF0000"/>
          <w:sz w:val="16"/>
          <w:szCs w:val="16"/>
        </w:rPr>
      </w:pPr>
    </w:p>
    <w:p w:rsidR="00EC31B1" w:rsidRPr="00605ED2" w:rsidRDefault="00EC31B1" w:rsidP="00605ED2">
      <w:pPr>
        <w:spacing w:after="0" w:line="360" w:lineRule="auto"/>
        <w:ind w:firstLine="709"/>
        <w:jc w:val="both"/>
        <w:rPr>
          <w:rFonts w:ascii="Times New Roman" w:hAnsi="Times New Roman"/>
          <w:sz w:val="24"/>
          <w:szCs w:val="24"/>
        </w:rPr>
      </w:pPr>
    </w:p>
    <w:p w:rsidR="003D4586" w:rsidRDefault="003D4586"/>
    <w:sectPr w:rsidR="003D4586" w:rsidSect="00E869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4F64"/>
    <w:multiLevelType w:val="hybridMultilevel"/>
    <w:tmpl w:val="BC1AB9EC"/>
    <w:lvl w:ilvl="0" w:tplc="8B9C81FA">
      <w:start w:val="9"/>
      <w:numFmt w:val="bullet"/>
      <w:lvlText w:val=""/>
      <w:lvlJc w:val="left"/>
      <w:pPr>
        <w:ind w:left="1069" w:hanging="360"/>
      </w:pPr>
      <w:rPr>
        <w:rFonts w:ascii="Symbol" w:eastAsia="Calibri"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4843FCF"/>
    <w:multiLevelType w:val="hybridMultilevel"/>
    <w:tmpl w:val="AE4050CA"/>
    <w:lvl w:ilvl="0" w:tplc="BF12BCA6">
      <w:start w:val="9"/>
      <w:numFmt w:val="bullet"/>
      <w:lvlText w:val=""/>
      <w:lvlJc w:val="left"/>
      <w:pPr>
        <w:ind w:left="720" w:hanging="360"/>
      </w:pPr>
      <w:rPr>
        <w:rFonts w:ascii="Symbol" w:eastAsia="Calibri" w:hAnsi="Symbol"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A8"/>
    <w:rsid w:val="000F29E7"/>
    <w:rsid w:val="0024013A"/>
    <w:rsid w:val="00351F41"/>
    <w:rsid w:val="00396F49"/>
    <w:rsid w:val="003D4586"/>
    <w:rsid w:val="00560B19"/>
    <w:rsid w:val="005F4538"/>
    <w:rsid w:val="00605ED2"/>
    <w:rsid w:val="006B66A8"/>
    <w:rsid w:val="007A1026"/>
    <w:rsid w:val="00867EEC"/>
    <w:rsid w:val="008F4DAD"/>
    <w:rsid w:val="00A77704"/>
    <w:rsid w:val="00BE25A9"/>
    <w:rsid w:val="00C37432"/>
    <w:rsid w:val="00D72AE6"/>
    <w:rsid w:val="00DB21F8"/>
    <w:rsid w:val="00E86948"/>
    <w:rsid w:val="00EC28E8"/>
    <w:rsid w:val="00EC31B1"/>
    <w:rsid w:val="00EE0A0E"/>
    <w:rsid w:val="00F56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A954D-E54A-4332-AB35-B9BA0287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9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538"/>
    <w:pPr>
      <w:ind w:left="720"/>
      <w:contextualSpacing/>
    </w:pPr>
  </w:style>
  <w:style w:type="character" w:styleId="a4">
    <w:name w:val="Hyperlink"/>
    <w:basedOn w:val="a0"/>
    <w:uiPriority w:val="99"/>
    <w:unhideWhenUsed/>
    <w:rsid w:val="00EC31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x.minfin.com.ua/ua/economy/index/inflation/"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mind.ua/publications/20249755-svit-perezhivae-rekordne-zrostannya-cin-u-ssha-namagayutsya-pridushiti-spozhivchij-popit-u-es-pozbavlyayu" TargetMode="External"/><Relationship Id="rId4" Type="http://schemas.openxmlformats.org/officeDocument/2006/relationships/webSettings" Target="webSettings.xml"/><Relationship Id="rId9" Type="http://schemas.openxmlformats.org/officeDocument/2006/relationships/hyperlink" Target="https://www.unian.ua/economics/finance/v-ukrajini-spovilnilasya-inflyaciya-yakiy-pokaznik-u-richnomu-vimiri-12174903.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OneDrive\&#1056;&#1086;&#1073;&#1086;&#1095;&#1080;&#1081;%20&#1089;&#1090;&#1110;&#1083;\Oecno&#347;&#263;\1%20S300L-EKO-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OneDrive\&#1056;&#1086;&#1073;&#1086;&#1095;&#1080;&#1081;%20&#1089;&#1090;&#1110;&#1083;\Oecno&#347;&#263;\1%20S300L-EKO-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OneDrive\&#1056;&#1086;&#1073;&#1086;&#1095;&#1080;&#1081;%20&#1089;&#1090;&#1110;&#1083;\Oecno&#347;&#263;\1%20S300L-EKO-B.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інфляція, %</c:v>
                </c:pt>
              </c:strCache>
            </c:strRef>
          </c:tx>
          <c:spPr>
            <a:ln w="34925" cap="rnd">
              <a:solidFill>
                <a:schemeClr val="accent3"/>
              </a:solidFill>
              <a:round/>
            </a:ln>
            <a:effectLst>
              <a:outerShdw blurRad="40000" dist="23000" dir="5400000" rotWithShape="0">
                <a:srgbClr val="000000">
                  <a:alpha val="35000"/>
                </a:srgbClr>
              </a:outerShdw>
            </a:effectLst>
          </c:spPr>
          <c:marker>
            <c:symbol val="none"/>
          </c:marker>
          <c:dLbls>
            <c:dLbl>
              <c:idx val="22"/>
              <c:layout>
                <c:manualLayout>
                  <c:x val="-3.3726812816188868E-3"/>
                  <c:y val="-4.11522633744856E-3"/>
                </c:manualLayout>
              </c:layout>
              <c:tx>
                <c:rich>
                  <a:bodyPr/>
                  <a:lstStyle/>
                  <a:p>
                    <a:r>
                      <a:rPr lang="en-US" sz="800"/>
                      <a:t>26,6</a:t>
                    </a:r>
                  </a:p>
                  <a:p>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D9A-3148-AFB0-800915F65A22}"/>
                </c:ext>
                <c:ext xmlns:c15="http://schemas.microsoft.com/office/drawing/2012/chart" uri="{CE6537A1-D6FC-4f65-9D91-7224C49458BB}">
                  <c15:layout>
                    <c:manualLayout>
                      <c:w val="8.6262033434690813E-2"/>
                      <c:h val="0.1479631249797479"/>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Лист1!$B$2:$B$24</c:f>
              <c:numCache>
                <c:formatCode>General</c:formatCode>
                <c:ptCount val="23"/>
                <c:pt idx="0">
                  <c:v>12.4</c:v>
                </c:pt>
                <c:pt idx="1">
                  <c:v>6.1</c:v>
                </c:pt>
                <c:pt idx="2">
                  <c:v>-0.6</c:v>
                </c:pt>
                <c:pt idx="3">
                  <c:v>8.1999999999999993</c:v>
                </c:pt>
                <c:pt idx="4">
                  <c:v>12.3</c:v>
                </c:pt>
                <c:pt idx="5">
                  <c:v>10.3</c:v>
                </c:pt>
                <c:pt idx="6">
                  <c:v>11.6</c:v>
                </c:pt>
                <c:pt idx="7">
                  <c:v>16.600000000000001</c:v>
                </c:pt>
                <c:pt idx="8">
                  <c:v>22.3</c:v>
                </c:pt>
                <c:pt idx="9">
                  <c:v>12.3</c:v>
                </c:pt>
                <c:pt idx="10">
                  <c:v>9.1</c:v>
                </c:pt>
                <c:pt idx="11">
                  <c:v>4.5999999999999996</c:v>
                </c:pt>
                <c:pt idx="12">
                  <c:v>-0.2</c:v>
                </c:pt>
                <c:pt idx="13">
                  <c:v>0.5</c:v>
                </c:pt>
                <c:pt idx="14">
                  <c:v>24.9</c:v>
                </c:pt>
                <c:pt idx="15">
                  <c:v>43.3</c:v>
                </c:pt>
                <c:pt idx="16">
                  <c:v>12.4</c:v>
                </c:pt>
                <c:pt idx="17">
                  <c:v>13.7</c:v>
                </c:pt>
                <c:pt idx="18">
                  <c:v>9.8000000000000007</c:v>
                </c:pt>
                <c:pt idx="19">
                  <c:v>4.0999999999999996</c:v>
                </c:pt>
                <c:pt idx="20">
                  <c:v>5</c:v>
                </c:pt>
                <c:pt idx="21">
                  <c:v>10</c:v>
                </c:pt>
                <c:pt idx="22">
                  <c:v>25.7</c:v>
                </c:pt>
              </c:numCache>
            </c:numRef>
          </c:val>
          <c:smooth val="0"/>
          <c:extLst xmlns:c16r2="http://schemas.microsoft.com/office/drawing/2015/06/chart">
            <c:ext xmlns:c16="http://schemas.microsoft.com/office/drawing/2014/chart" uri="{C3380CC4-5D6E-409C-BE32-E72D297353CC}">
              <c16:uniqueId val="{00000001-3D9A-3148-AFB0-800915F65A22}"/>
            </c:ext>
          </c:extLst>
        </c:ser>
        <c:dLbls>
          <c:showLegendKey val="0"/>
          <c:showVal val="0"/>
          <c:showCatName val="0"/>
          <c:showSerName val="0"/>
          <c:showPercent val="0"/>
          <c:showBubbleSize val="0"/>
        </c:dLbls>
        <c:smooth val="0"/>
        <c:axId val="229316592"/>
        <c:axId val="229318224"/>
      </c:lineChart>
      <c:catAx>
        <c:axId val="229316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9318224"/>
        <c:crosses val="autoZero"/>
        <c:auto val="1"/>
        <c:lblAlgn val="ctr"/>
        <c:lblOffset val="100"/>
        <c:noMultiLvlLbl val="0"/>
      </c:catAx>
      <c:valAx>
        <c:axId val="22931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9316592"/>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40000" dist="23000" dir="5400000" rotWithShape="0">
                <a:srgbClr val="000000">
                  <a:alpha val="35000"/>
                </a:srgbClr>
              </a:outerShdw>
            </a:effectLst>
            <a:sp3d/>
          </c:spPr>
          <c:invertIfNegative val="0"/>
          <c:cat>
            <c:strRef>
              <c:f>Лист1!$A$57:$A$85</c:f>
              <c:strCache>
                <c:ptCount val="29"/>
                <c:pt idx="0">
                  <c:v>Francja</c:v>
                </c:pt>
                <c:pt idx="1">
                  <c:v>Hiszpania</c:v>
                </c:pt>
                <c:pt idx="2">
                  <c:v>Malta</c:v>
                </c:pt>
                <c:pt idx="3">
                  <c:v>Finlandia</c:v>
                </c:pt>
                <c:pt idx="4">
                  <c:v>Cypr</c:v>
                </c:pt>
                <c:pt idx="5">
                  <c:v>Luksemburg</c:v>
                </c:pt>
                <c:pt idx="6">
                  <c:v>Irlandia</c:v>
                </c:pt>
                <c:pt idx="7">
                  <c:v>Grecja</c:v>
                </c:pt>
                <c:pt idx="8">
                  <c:v>Szwecja</c:v>
                </c:pt>
                <c:pt idx="9">
                  <c:v>Słowenia</c:v>
                </c:pt>
                <c:pt idx="10">
                  <c:v>Strefa euro</c:v>
                </c:pt>
                <c:pt idx="11">
                  <c:v>Portugalia</c:v>
                </c:pt>
                <c:pt idx="12">
                  <c:v>Dania</c:v>
                </c:pt>
                <c:pt idx="13">
                  <c:v>UE</c:v>
                </c:pt>
                <c:pt idx="14">
                  <c:v>Austria</c:v>
                </c:pt>
                <c:pt idx="15">
                  <c:v>Niemcy</c:v>
                </c:pt>
                <c:pt idx="16">
                  <c:v>Włochy</c:v>
                </c:pt>
                <c:pt idx="17">
                  <c:v>Chorwacja</c:v>
                </c:pt>
                <c:pt idx="18">
                  <c:v>Belgia</c:v>
                </c:pt>
                <c:pt idx="19">
                  <c:v>Rumunia</c:v>
                </c:pt>
                <c:pt idx="20">
                  <c:v>Słowacja</c:v>
                </c:pt>
                <c:pt idx="21">
                  <c:v>Bułgaria</c:v>
                </c:pt>
                <c:pt idx="22">
                  <c:v>Czechy</c:v>
                </c:pt>
                <c:pt idx="23">
                  <c:v>Niderlandy</c:v>
                </c:pt>
                <c:pt idx="24">
                  <c:v>Polska</c:v>
                </c:pt>
                <c:pt idx="25">
                  <c:v>Łotwa</c:v>
                </c:pt>
                <c:pt idx="26">
                  <c:v>Węgry</c:v>
                </c:pt>
                <c:pt idx="27">
                  <c:v>Litwa</c:v>
                </c:pt>
                <c:pt idx="28">
                  <c:v>Estonia</c:v>
                </c:pt>
              </c:strCache>
            </c:strRef>
          </c:cat>
          <c:val>
            <c:numRef>
              <c:f>Лист1!$B$57:$B$85</c:f>
              <c:numCache>
                <c:formatCode>General</c:formatCode>
                <c:ptCount val="29"/>
                <c:pt idx="0">
                  <c:v>7.1</c:v>
                </c:pt>
                <c:pt idx="1">
                  <c:v>7.3</c:v>
                </c:pt>
                <c:pt idx="2">
                  <c:v>7.4</c:v>
                </c:pt>
                <c:pt idx="3">
                  <c:v>8.4</c:v>
                </c:pt>
                <c:pt idx="4">
                  <c:v>8.6</c:v>
                </c:pt>
                <c:pt idx="5">
                  <c:v>8.8000000000000007</c:v>
                </c:pt>
                <c:pt idx="6">
                  <c:v>9.4</c:v>
                </c:pt>
                <c:pt idx="7">
                  <c:v>9.5</c:v>
                </c:pt>
                <c:pt idx="8">
                  <c:v>9.8000000000000007</c:v>
                </c:pt>
                <c:pt idx="9">
                  <c:v>10.3</c:v>
                </c:pt>
                <c:pt idx="10">
                  <c:v>10.6</c:v>
                </c:pt>
                <c:pt idx="11">
                  <c:v>10.6</c:v>
                </c:pt>
                <c:pt idx="12">
                  <c:v>11.4</c:v>
                </c:pt>
                <c:pt idx="13">
                  <c:v>11.5</c:v>
                </c:pt>
                <c:pt idx="14">
                  <c:v>11.5</c:v>
                </c:pt>
                <c:pt idx="15">
                  <c:v>11.6</c:v>
                </c:pt>
                <c:pt idx="16">
                  <c:v>12.6</c:v>
                </c:pt>
                <c:pt idx="17">
                  <c:v>12.7</c:v>
                </c:pt>
                <c:pt idx="18">
                  <c:v>13.1</c:v>
                </c:pt>
                <c:pt idx="19">
                  <c:v>13.5</c:v>
                </c:pt>
                <c:pt idx="20">
                  <c:v>14.5</c:v>
                </c:pt>
                <c:pt idx="21">
                  <c:v>14.8</c:v>
                </c:pt>
                <c:pt idx="22">
                  <c:v>15.5</c:v>
                </c:pt>
                <c:pt idx="23">
                  <c:v>16.8</c:v>
                </c:pt>
                <c:pt idx="24">
                  <c:v>17.899999999999999</c:v>
                </c:pt>
                <c:pt idx="25">
                  <c:v>21.7</c:v>
                </c:pt>
                <c:pt idx="26">
                  <c:v>21.9</c:v>
                </c:pt>
                <c:pt idx="27">
                  <c:v>22.1</c:v>
                </c:pt>
                <c:pt idx="28">
                  <c:v>22.5</c:v>
                </c:pt>
              </c:numCache>
            </c:numRef>
          </c:val>
          <c:extLst xmlns:c16r2="http://schemas.microsoft.com/office/drawing/2015/06/chart">
            <c:ext xmlns:c16="http://schemas.microsoft.com/office/drawing/2014/chart" uri="{C3380CC4-5D6E-409C-BE32-E72D297353CC}">
              <c16:uniqueId val="{00000000-BCAB-7747-861D-15CC88B1DE00}"/>
            </c:ext>
          </c:extLst>
        </c:ser>
        <c:dLbls>
          <c:showLegendKey val="0"/>
          <c:showVal val="0"/>
          <c:showCatName val="0"/>
          <c:showSerName val="0"/>
          <c:showPercent val="0"/>
          <c:showBubbleSize val="0"/>
        </c:dLbls>
        <c:gapWidth val="150"/>
        <c:shape val="box"/>
        <c:axId val="229322032"/>
        <c:axId val="229325296"/>
        <c:axId val="0"/>
      </c:bar3DChart>
      <c:catAx>
        <c:axId val="229322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29325296"/>
        <c:crosses val="autoZero"/>
        <c:auto val="1"/>
        <c:lblAlgn val="ctr"/>
        <c:lblOffset val="100"/>
        <c:noMultiLvlLbl val="0"/>
      </c:catAx>
      <c:valAx>
        <c:axId val="2293252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2932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Лист1!$B$29</c:f>
              <c:strCache>
                <c:ptCount val="1"/>
                <c:pt idx="0">
                  <c:v>інфляція,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2"/>
              <c:tx>
                <c:rich>
                  <a:bodyPr/>
                  <a:lstStyle/>
                  <a:p>
                    <a:r>
                      <a:rPr lang="en-US"/>
                      <a:t>14,4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751-8243-A9AB-C70644D57B0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Лист1!$A$30:$A$52</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Лист1!$B$30:$B$52</c:f>
              <c:numCache>
                <c:formatCode>General</c:formatCode>
                <c:ptCount val="23"/>
                <c:pt idx="0">
                  <c:v>10.1</c:v>
                </c:pt>
                <c:pt idx="1">
                  <c:v>5.5</c:v>
                </c:pt>
                <c:pt idx="2">
                  <c:v>1.9</c:v>
                </c:pt>
                <c:pt idx="3">
                  <c:v>0.8</c:v>
                </c:pt>
                <c:pt idx="4">
                  <c:v>3.5</c:v>
                </c:pt>
                <c:pt idx="5">
                  <c:v>2.1</c:v>
                </c:pt>
                <c:pt idx="6">
                  <c:v>1</c:v>
                </c:pt>
                <c:pt idx="7">
                  <c:v>2.5</c:v>
                </c:pt>
                <c:pt idx="8">
                  <c:v>4.2</c:v>
                </c:pt>
                <c:pt idx="9">
                  <c:v>3.5</c:v>
                </c:pt>
                <c:pt idx="10">
                  <c:v>2.6</c:v>
                </c:pt>
                <c:pt idx="11">
                  <c:v>4.3</c:v>
                </c:pt>
                <c:pt idx="12">
                  <c:v>3.7</c:v>
                </c:pt>
                <c:pt idx="13">
                  <c:v>0.9</c:v>
                </c:pt>
                <c:pt idx="14">
                  <c:v>0</c:v>
                </c:pt>
                <c:pt idx="15">
                  <c:v>-0.9</c:v>
                </c:pt>
                <c:pt idx="16">
                  <c:v>-0.6</c:v>
                </c:pt>
                <c:pt idx="17">
                  <c:v>2</c:v>
                </c:pt>
                <c:pt idx="18">
                  <c:v>1.6</c:v>
                </c:pt>
                <c:pt idx="19">
                  <c:v>2.2999999999999998</c:v>
                </c:pt>
                <c:pt idx="20">
                  <c:v>3.4</c:v>
                </c:pt>
                <c:pt idx="21">
                  <c:v>5.0999999999999996</c:v>
                </c:pt>
                <c:pt idx="22">
                  <c:v>17.899999999999999</c:v>
                </c:pt>
              </c:numCache>
            </c:numRef>
          </c:val>
          <c:smooth val="0"/>
          <c:extLst xmlns:c16r2="http://schemas.microsoft.com/office/drawing/2015/06/chart">
            <c:ext xmlns:c16="http://schemas.microsoft.com/office/drawing/2014/chart" uri="{C3380CC4-5D6E-409C-BE32-E72D297353CC}">
              <c16:uniqueId val="{00000001-6751-8243-A9AB-C70644D57B08}"/>
            </c:ext>
          </c:extLst>
        </c:ser>
        <c:dLbls>
          <c:showLegendKey val="0"/>
          <c:showVal val="0"/>
          <c:showCatName val="0"/>
          <c:showSerName val="0"/>
          <c:showPercent val="0"/>
          <c:showBubbleSize val="0"/>
        </c:dLbls>
        <c:marker val="1"/>
        <c:smooth val="0"/>
        <c:axId val="229325840"/>
        <c:axId val="229329104"/>
      </c:lineChart>
      <c:catAx>
        <c:axId val="22932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9329104"/>
        <c:crosses val="autoZero"/>
        <c:auto val="1"/>
        <c:lblAlgn val="ctr"/>
        <c:lblOffset val="100"/>
        <c:noMultiLvlLbl val="0"/>
      </c:catAx>
      <c:valAx>
        <c:axId val="22932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29325840"/>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4951</Words>
  <Characters>2823</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2023-05-06T13:19:00Z</dcterms:created>
  <dcterms:modified xsi:type="dcterms:W3CDTF">2023-05-06T13:19:00Z</dcterms:modified>
</cp:coreProperties>
</file>