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4813" w14:textId="5E14568E" w:rsidR="00536FED" w:rsidRDefault="009C3B6F" w:rsidP="00536FED">
      <w:pPr>
        <w:spacing w:after="0" w:line="360" w:lineRule="auto"/>
        <w:ind w:firstLine="708"/>
        <w:jc w:val="right"/>
        <w:rPr>
          <w:bCs/>
          <w:sz w:val="24"/>
          <w:szCs w:val="24"/>
        </w:rPr>
      </w:pPr>
      <w:r w:rsidRPr="00FC7974">
        <w:rPr>
          <w:bCs/>
          <w:sz w:val="24"/>
          <w:szCs w:val="24"/>
          <w:lang w:val="en-US"/>
        </w:rPr>
        <w:t>Mazur Tetiana</w:t>
      </w:r>
      <w:r w:rsidR="00155934">
        <w:rPr>
          <w:bCs/>
          <w:sz w:val="24"/>
          <w:szCs w:val="24"/>
        </w:rPr>
        <w:t xml:space="preserve"> </w:t>
      </w:r>
      <w:proofErr w:type="spellStart"/>
      <w:r w:rsidR="00155934">
        <w:rPr>
          <w:bCs/>
          <w:sz w:val="24"/>
          <w:szCs w:val="24"/>
          <w:lang w:val="en-US"/>
        </w:rPr>
        <w:t>M</w:t>
      </w:r>
      <w:r w:rsidR="00586AA8">
        <w:rPr>
          <w:bCs/>
          <w:sz w:val="24"/>
          <w:szCs w:val="24"/>
          <w:lang w:val="en-US"/>
        </w:rPr>
        <w:t>ykhailivna</w:t>
      </w:r>
      <w:proofErr w:type="spellEnd"/>
      <w:r w:rsidRPr="00FC7974">
        <w:rPr>
          <w:bCs/>
          <w:sz w:val="24"/>
          <w:szCs w:val="24"/>
        </w:rPr>
        <w:t>,</w:t>
      </w:r>
      <w:r w:rsidR="00FC7974">
        <w:rPr>
          <w:bCs/>
          <w:sz w:val="24"/>
          <w:szCs w:val="24"/>
        </w:rPr>
        <w:t xml:space="preserve"> </w:t>
      </w:r>
      <w:r w:rsidRPr="009C3B6F">
        <w:rPr>
          <w:bCs/>
          <w:sz w:val="24"/>
          <w:szCs w:val="24"/>
          <w:lang w:val="en-US"/>
        </w:rPr>
        <w:t>Ph.D., Associate Professor</w:t>
      </w:r>
      <w:r w:rsidR="00536FED" w:rsidRPr="00FC7974">
        <w:rPr>
          <w:bCs/>
          <w:sz w:val="24"/>
          <w:szCs w:val="24"/>
        </w:rPr>
        <w:t xml:space="preserve">, </w:t>
      </w:r>
      <w:bookmarkStart w:id="0" w:name="_Hlk157544718"/>
    </w:p>
    <w:p w14:paraId="1E20D2B0" w14:textId="4C5AB0DB" w:rsidR="00536FED" w:rsidRPr="00FC7974" w:rsidRDefault="009C3B6F" w:rsidP="00536FED">
      <w:pPr>
        <w:spacing w:after="0" w:line="360" w:lineRule="auto"/>
        <w:ind w:firstLine="708"/>
        <w:jc w:val="right"/>
        <w:rPr>
          <w:bCs/>
          <w:sz w:val="24"/>
          <w:szCs w:val="24"/>
        </w:rPr>
      </w:pPr>
      <w:bookmarkStart w:id="1" w:name="_Hlk190117525"/>
      <w:r w:rsidRPr="009C3B6F">
        <w:rPr>
          <w:bCs/>
          <w:sz w:val="24"/>
          <w:szCs w:val="24"/>
          <w:lang w:val="en-US"/>
        </w:rPr>
        <w:t xml:space="preserve">Ivano-Frankivsk National Technical University of Oil and Gas, </w:t>
      </w:r>
      <w:r w:rsidR="00FC7974" w:rsidRPr="009C3B6F">
        <w:rPr>
          <w:bCs/>
          <w:sz w:val="24"/>
          <w:szCs w:val="24"/>
          <w:lang w:val="en-US"/>
        </w:rPr>
        <w:t>Ivano-Frankivsk</w:t>
      </w:r>
      <w:r w:rsidRPr="009C3B6F">
        <w:rPr>
          <w:bCs/>
          <w:sz w:val="24"/>
          <w:szCs w:val="24"/>
          <w:lang w:val="en-US"/>
        </w:rPr>
        <w:t xml:space="preserve"> </w:t>
      </w:r>
      <w:bookmarkEnd w:id="1"/>
    </w:p>
    <w:p w14:paraId="65EF2034" w14:textId="6C7982AE" w:rsidR="00536FED" w:rsidRDefault="009301F7" w:rsidP="00536FED">
      <w:pPr>
        <w:spacing w:after="0" w:line="360" w:lineRule="auto"/>
        <w:ind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ORCID</w:t>
      </w:r>
      <w:r>
        <w:rPr>
          <w:bCs/>
          <w:sz w:val="24"/>
          <w:szCs w:val="24"/>
        </w:rPr>
        <w:t xml:space="preserve">: </w:t>
      </w:r>
      <w:r w:rsidR="00536FED" w:rsidRPr="00FC7974">
        <w:rPr>
          <w:bCs/>
          <w:sz w:val="24"/>
          <w:szCs w:val="24"/>
        </w:rPr>
        <w:t>0000-0002-4047-832X</w:t>
      </w:r>
      <w:r w:rsidR="00536FED" w:rsidRPr="00FC7974">
        <w:rPr>
          <w:bCs/>
          <w:sz w:val="24"/>
          <w:szCs w:val="24"/>
          <w:lang w:val="en-US"/>
        </w:rPr>
        <w:t xml:space="preserve"> </w:t>
      </w:r>
    </w:p>
    <w:p w14:paraId="591C3A27" w14:textId="2A632F48" w:rsidR="008F245E" w:rsidRPr="008F245E" w:rsidRDefault="008F245E" w:rsidP="008F245E">
      <w:pPr>
        <w:spacing w:after="0" w:line="360" w:lineRule="auto"/>
        <w:ind w:firstLine="708"/>
        <w:jc w:val="right"/>
        <w:rPr>
          <w:bCs/>
          <w:sz w:val="24"/>
          <w:szCs w:val="24"/>
        </w:rPr>
      </w:pPr>
      <w:r w:rsidRPr="008F245E">
        <w:rPr>
          <w:bCs/>
          <w:sz w:val="24"/>
          <w:szCs w:val="24"/>
        </w:rPr>
        <w:t xml:space="preserve">Mazur </w:t>
      </w:r>
      <w:proofErr w:type="spellStart"/>
      <w:r w:rsidRPr="008F245E">
        <w:rPr>
          <w:bCs/>
          <w:sz w:val="24"/>
          <w:szCs w:val="24"/>
        </w:rPr>
        <w:t>Myroslav</w:t>
      </w:r>
      <w:proofErr w:type="spellEnd"/>
      <w:r w:rsidR="00586AA8">
        <w:rPr>
          <w:bCs/>
          <w:sz w:val="24"/>
          <w:szCs w:val="24"/>
          <w:lang w:val="en-US"/>
        </w:rPr>
        <w:t xml:space="preserve"> </w:t>
      </w:r>
      <w:proofErr w:type="spellStart"/>
      <w:r w:rsidR="00586AA8">
        <w:rPr>
          <w:bCs/>
          <w:sz w:val="24"/>
          <w:szCs w:val="24"/>
          <w:lang w:val="en-US"/>
        </w:rPr>
        <w:t>Pavlovy</w:t>
      </w:r>
      <w:r w:rsidR="00B22C6B">
        <w:rPr>
          <w:bCs/>
          <w:sz w:val="24"/>
          <w:szCs w:val="24"/>
          <w:lang w:val="en-US"/>
        </w:rPr>
        <w:t>ch</w:t>
      </w:r>
      <w:proofErr w:type="spellEnd"/>
      <w:r w:rsidRPr="008F245E">
        <w:rPr>
          <w:bCs/>
          <w:sz w:val="24"/>
          <w:szCs w:val="24"/>
        </w:rPr>
        <w:t xml:space="preserve">, </w:t>
      </w:r>
      <w:proofErr w:type="spellStart"/>
      <w:r w:rsidRPr="008F245E">
        <w:rPr>
          <w:bCs/>
          <w:sz w:val="24"/>
          <w:szCs w:val="24"/>
        </w:rPr>
        <w:t>PhD</w:t>
      </w:r>
      <w:proofErr w:type="spellEnd"/>
      <w:r w:rsidRPr="008F245E">
        <w:rPr>
          <w:bCs/>
          <w:sz w:val="24"/>
          <w:szCs w:val="24"/>
        </w:rPr>
        <w:t xml:space="preserve">, </w:t>
      </w:r>
      <w:proofErr w:type="spellStart"/>
      <w:r w:rsidRPr="008F245E">
        <w:rPr>
          <w:bCs/>
          <w:sz w:val="24"/>
          <w:szCs w:val="24"/>
        </w:rPr>
        <w:t>Associate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Professor</w:t>
      </w:r>
      <w:proofErr w:type="spellEnd"/>
      <w:r w:rsidRPr="008F245E">
        <w:rPr>
          <w:bCs/>
          <w:sz w:val="24"/>
          <w:szCs w:val="24"/>
        </w:rPr>
        <w:t>,</w:t>
      </w:r>
    </w:p>
    <w:p w14:paraId="23AFAEEC" w14:textId="2AEFC32F" w:rsidR="008F245E" w:rsidRDefault="008F245E" w:rsidP="008F245E">
      <w:pPr>
        <w:spacing w:after="0" w:line="360" w:lineRule="auto"/>
        <w:ind w:firstLine="708"/>
        <w:jc w:val="right"/>
        <w:rPr>
          <w:bCs/>
          <w:sz w:val="24"/>
          <w:szCs w:val="24"/>
        </w:rPr>
      </w:pPr>
      <w:proofErr w:type="spellStart"/>
      <w:r w:rsidRPr="008F245E">
        <w:rPr>
          <w:bCs/>
          <w:sz w:val="24"/>
          <w:szCs w:val="24"/>
        </w:rPr>
        <w:t>Ivano-Frankivsk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National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Technical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University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of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Oil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and</w:t>
      </w:r>
      <w:proofErr w:type="spellEnd"/>
      <w:r w:rsidRPr="008F245E">
        <w:rPr>
          <w:bCs/>
          <w:sz w:val="24"/>
          <w:szCs w:val="24"/>
        </w:rPr>
        <w:t xml:space="preserve"> </w:t>
      </w:r>
      <w:proofErr w:type="spellStart"/>
      <w:r w:rsidRPr="008F245E">
        <w:rPr>
          <w:bCs/>
          <w:sz w:val="24"/>
          <w:szCs w:val="24"/>
        </w:rPr>
        <w:t>Gas</w:t>
      </w:r>
      <w:proofErr w:type="spellEnd"/>
      <w:r w:rsidRPr="008F245E">
        <w:rPr>
          <w:bCs/>
          <w:sz w:val="24"/>
          <w:szCs w:val="24"/>
        </w:rPr>
        <w:t xml:space="preserve">, </w:t>
      </w:r>
      <w:proofErr w:type="spellStart"/>
      <w:r w:rsidRPr="008F245E">
        <w:rPr>
          <w:bCs/>
          <w:sz w:val="24"/>
          <w:szCs w:val="24"/>
        </w:rPr>
        <w:t>Ivano-Frankivsk</w:t>
      </w:r>
      <w:proofErr w:type="spellEnd"/>
    </w:p>
    <w:p w14:paraId="4FA48ABE" w14:textId="234239F0" w:rsidR="008F245E" w:rsidRPr="004A2094" w:rsidRDefault="004A2094" w:rsidP="008F245E">
      <w:pPr>
        <w:spacing w:after="0" w:line="360" w:lineRule="auto"/>
        <w:ind w:firstLine="708"/>
        <w:jc w:val="right"/>
        <w:rPr>
          <w:bCs/>
          <w:sz w:val="24"/>
          <w:szCs w:val="24"/>
          <w:lang w:val="en-US"/>
        </w:rPr>
      </w:pPr>
      <w:r w:rsidRPr="004A2094">
        <w:rPr>
          <w:bCs/>
          <w:sz w:val="24"/>
          <w:szCs w:val="24"/>
          <w:lang w:val="en-US"/>
        </w:rPr>
        <w:t>ORCID:</w:t>
      </w:r>
      <w:r>
        <w:rPr>
          <w:bCs/>
          <w:sz w:val="24"/>
          <w:szCs w:val="24"/>
          <w:lang w:val="en-US"/>
        </w:rPr>
        <w:t xml:space="preserve"> </w:t>
      </w:r>
      <w:r w:rsidRPr="004A2094">
        <w:rPr>
          <w:bCs/>
          <w:sz w:val="24"/>
          <w:szCs w:val="24"/>
          <w:lang w:val="en-US"/>
        </w:rPr>
        <w:t>0000-0002-5746-9876</w:t>
      </w:r>
    </w:p>
    <w:p w14:paraId="3B8BD04E" w14:textId="77777777" w:rsidR="00C26BD7" w:rsidRPr="00FC7974" w:rsidRDefault="00C26BD7" w:rsidP="00536FED">
      <w:pPr>
        <w:spacing w:after="0" w:line="360" w:lineRule="auto"/>
        <w:ind w:firstLine="708"/>
        <w:jc w:val="right"/>
        <w:rPr>
          <w:bCs/>
          <w:sz w:val="24"/>
          <w:szCs w:val="24"/>
        </w:rPr>
      </w:pPr>
    </w:p>
    <w:bookmarkEnd w:id="0"/>
    <w:p w14:paraId="28C24509" w14:textId="7874CC77" w:rsidR="009C3B6F" w:rsidRDefault="00AB5CD1" w:rsidP="00AB5CD1">
      <w:pPr>
        <w:spacing w:after="0" w:line="360" w:lineRule="auto"/>
        <w:ind w:firstLine="708"/>
        <w:jc w:val="center"/>
        <w:rPr>
          <w:b/>
          <w:bCs/>
        </w:rPr>
      </w:pPr>
      <w:r w:rsidRPr="00AB5CD1">
        <w:rPr>
          <w:b/>
          <w:bCs/>
        </w:rPr>
        <w:t xml:space="preserve">THIN FILMS OF </w:t>
      </w:r>
      <w:proofErr w:type="spellStart"/>
      <w:r w:rsidRPr="00AB5CD1">
        <w:rPr>
          <w:b/>
          <w:bCs/>
        </w:rPr>
        <w:t>P</w:t>
      </w:r>
      <w:r w:rsidR="00BD578A">
        <w:rPr>
          <w:b/>
          <w:bCs/>
        </w:rPr>
        <w:t>в</w:t>
      </w:r>
      <w:r w:rsidRPr="00AB5CD1">
        <w:rPr>
          <w:b/>
          <w:bCs/>
        </w:rPr>
        <w:t>T</w:t>
      </w:r>
      <w:r w:rsidR="00BD578A">
        <w:rPr>
          <w:b/>
          <w:bCs/>
        </w:rPr>
        <w:t>е</w:t>
      </w:r>
      <w:proofErr w:type="spellEnd"/>
      <w:r w:rsidRPr="00AB5CD1">
        <w:rPr>
          <w:b/>
          <w:bCs/>
        </w:rPr>
        <w:t xml:space="preserve"> AND C</w:t>
      </w:r>
      <w:r w:rsidR="00BD578A">
        <w:rPr>
          <w:b/>
          <w:bCs/>
          <w:lang w:val="en-US"/>
        </w:rPr>
        <w:t>d</w:t>
      </w:r>
      <w:r w:rsidRPr="00AB5CD1">
        <w:rPr>
          <w:b/>
          <w:bCs/>
        </w:rPr>
        <w:t>T</w:t>
      </w:r>
      <w:r w:rsidR="00BD578A">
        <w:rPr>
          <w:b/>
          <w:bCs/>
          <w:lang w:val="en-US"/>
        </w:rPr>
        <w:t>e</w:t>
      </w:r>
      <w:r w:rsidRPr="00AB5CD1">
        <w:rPr>
          <w:b/>
          <w:bCs/>
        </w:rPr>
        <w:t>: TRANSPORT PROPERTIES AND POTENTIAL APPLICATIONS</w:t>
      </w:r>
    </w:p>
    <w:p w14:paraId="654CE99C" w14:textId="77777777" w:rsidR="00B94566" w:rsidRPr="009C3B6F" w:rsidRDefault="00B94566" w:rsidP="009C3B6F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</w:p>
    <w:p w14:paraId="5FF4A7D2" w14:textId="77777777" w:rsidR="00283BC7" w:rsidRPr="00283BC7" w:rsidRDefault="00283BC7" w:rsidP="00283BC7">
      <w:pPr>
        <w:spacing w:after="0" w:line="360" w:lineRule="auto"/>
        <w:ind w:firstLine="708"/>
        <w:jc w:val="both"/>
      </w:pPr>
      <w:proofErr w:type="spellStart"/>
      <w:r w:rsidRPr="00283BC7">
        <w:t>Thin</w:t>
      </w:r>
      <w:proofErr w:type="spellEnd"/>
      <w:r w:rsidRPr="00283BC7">
        <w:t xml:space="preserve"> </w:t>
      </w:r>
      <w:proofErr w:type="spellStart"/>
      <w:r w:rsidRPr="00283BC7">
        <w:t>films</w:t>
      </w:r>
      <w:proofErr w:type="spellEnd"/>
      <w:r w:rsidRPr="00283BC7">
        <w:t xml:space="preserve"> </w:t>
      </w:r>
      <w:proofErr w:type="spellStart"/>
      <w:r w:rsidRPr="00283BC7">
        <w:t>of</w:t>
      </w:r>
      <w:proofErr w:type="spellEnd"/>
      <w:r w:rsidRPr="00283BC7">
        <w:t xml:space="preserve"> </w:t>
      </w:r>
      <w:proofErr w:type="spellStart"/>
      <w:r w:rsidRPr="00283BC7">
        <w:t>cadmium</w:t>
      </w:r>
      <w:proofErr w:type="spellEnd"/>
      <w:r w:rsidRPr="00283BC7">
        <w:t xml:space="preserve"> </w:t>
      </w:r>
      <w:proofErr w:type="spellStart"/>
      <w:r w:rsidRPr="00283BC7">
        <w:t>telluride</w:t>
      </w:r>
      <w:proofErr w:type="spellEnd"/>
      <w:r w:rsidRPr="00283BC7">
        <w:t xml:space="preserve"> (</w:t>
      </w:r>
      <w:proofErr w:type="spellStart"/>
      <w:r w:rsidRPr="00283BC7">
        <w:t>CdTe</w:t>
      </w:r>
      <w:proofErr w:type="spellEnd"/>
      <w:r w:rsidRPr="00283BC7">
        <w:t xml:space="preserve">)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lead</w:t>
      </w:r>
      <w:proofErr w:type="spellEnd"/>
      <w:r w:rsidRPr="00283BC7">
        <w:t xml:space="preserve"> </w:t>
      </w:r>
      <w:proofErr w:type="spellStart"/>
      <w:r w:rsidRPr="00283BC7">
        <w:t>telluride</w:t>
      </w:r>
      <w:proofErr w:type="spellEnd"/>
      <w:r w:rsidRPr="00283BC7">
        <w:t xml:space="preserve"> (</w:t>
      </w:r>
      <w:proofErr w:type="spellStart"/>
      <w:r w:rsidRPr="00283BC7">
        <w:t>PbTe</w:t>
      </w:r>
      <w:proofErr w:type="spellEnd"/>
      <w:r w:rsidRPr="00283BC7">
        <w:t xml:space="preserve">) </w:t>
      </w:r>
      <w:proofErr w:type="spellStart"/>
      <w:r w:rsidRPr="00283BC7">
        <w:t>are</w:t>
      </w:r>
      <w:proofErr w:type="spellEnd"/>
      <w:r w:rsidRPr="00283BC7">
        <w:t xml:space="preserve"> </w:t>
      </w:r>
      <w:proofErr w:type="spellStart"/>
      <w:r w:rsidRPr="00283BC7">
        <w:t>promising</w:t>
      </w:r>
      <w:proofErr w:type="spellEnd"/>
      <w:r w:rsidRPr="00283BC7">
        <w:t xml:space="preserve"> </w:t>
      </w:r>
      <w:proofErr w:type="spellStart"/>
      <w:r w:rsidRPr="00283BC7">
        <w:t>materials</w:t>
      </w:r>
      <w:proofErr w:type="spellEnd"/>
      <w:r w:rsidRPr="00283BC7">
        <w:t xml:space="preserve"> </w:t>
      </w:r>
      <w:proofErr w:type="spellStart"/>
      <w:r w:rsidRPr="00283BC7">
        <w:t>for</w:t>
      </w:r>
      <w:proofErr w:type="spellEnd"/>
      <w:r w:rsidRPr="00283BC7">
        <w:t xml:space="preserve"> </w:t>
      </w:r>
      <w:proofErr w:type="spellStart"/>
      <w:r w:rsidRPr="00283BC7">
        <w:t>microelectronics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optoelectronics</w:t>
      </w:r>
      <w:proofErr w:type="spellEnd"/>
      <w:r w:rsidRPr="00283BC7">
        <w:t xml:space="preserve">, </w:t>
      </w:r>
      <w:proofErr w:type="spellStart"/>
      <w:r w:rsidRPr="00283BC7">
        <w:t>particularly</w:t>
      </w:r>
      <w:proofErr w:type="spellEnd"/>
      <w:r w:rsidRPr="00283BC7">
        <w:t xml:space="preserve"> </w:t>
      </w:r>
      <w:proofErr w:type="spellStart"/>
      <w:r w:rsidRPr="00283BC7">
        <w:t>in</w:t>
      </w:r>
      <w:proofErr w:type="spellEnd"/>
      <w:r w:rsidRPr="00283BC7">
        <w:t xml:space="preserve"> </w:t>
      </w:r>
      <w:proofErr w:type="spellStart"/>
      <w:r w:rsidRPr="00283BC7">
        <w:t>infrared</w:t>
      </w:r>
      <w:proofErr w:type="spellEnd"/>
      <w:r w:rsidRPr="00283BC7">
        <w:t xml:space="preserve"> </w:t>
      </w:r>
      <w:proofErr w:type="spellStart"/>
      <w:r w:rsidRPr="00283BC7">
        <w:t>radiation</w:t>
      </w:r>
      <w:proofErr w:type="spellEnd"/>
      <w:r w:rsidRPr="00283BC7">
        <w:t xml:space="preserve"> </w:t>
      </w:r>
      <w:proofErr w:type="spellStart"/>
      <w:r w:rsidRPr="00283BC7">
        <w:t>sources</w:t>
      </w:r>
      <w:proofErr w:type="spellEnd"/>
      <w:r w:rsidRPr="00283BC7">
        <w:t>, X-</w:t>
      </w:r>
      <w:proofErr w:type="spellStart"/>
      <w:r w:rsidRPr="00283BC7">
        <w:t>ray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gamma</w:t>
      </w:r>
      <w:proofErr w:type="spellEnd"/>
      <w:r w:rsidRPr="00283BC7">
        <w:t xml:space="preserve"> </w:t>
      </w:r>
      <w:proofErr w:type="spellStart"/>
      <w:r w:rsidRPr="00283BC7">
        <w:t>radiation</w:t>
      </w:r>
      <w:proofErr w:type="spellEnd"/>
      <w:r w:rsidRPr="00283BC7">
        <w:t xml:space="preserve"> </w:t>
      </w:r>
      <w:proofErr w:type="spellStart"/>
      <w:r w:rsidRPr="00283BC7">
        <w:t>detectors</w:t>
      </w:r>
      <w:proofErr w:type="spellEnd"/>
      <w:r w:rsidRPr="00283BC7">
        <w:t xml:space="preserve">,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thermoelectric</w:t>
      </w:r>
      <w:proofErr w:type="spellEnd"/>
      <w:r w:rsidRPr="00283BC7">
        <w:t xml:space="preserve"> </w:t>
      </w:r>
      <w:proofErr w:type="spellStart"/>
      <w:r w:rsidRPr="00283BC7">
        <w:t>energy</w:t>
      </w:r>
      <w:proofErr w:type="spellEnd"/>
      <w:r w:rsidRPr="00283BC7">
        <w:t xml:space="preserve"> </w:t>
      </w:r>
      <w:proofErr w:type="spellStart"/>
      <w:r w:rsidRPr="00283BC7">
        <w:t>converters</w:t>
      </w:r>
      <w:proofErr w:type="spellEnd"/>
      <w:r w:rsidRPr="00283BC7">
        <w:t xml:space="preserve">. </w:t>
      </w:r>
      <w:proofErr w:type="spellStart"/>
      <w:r w:rsidRPr="00283BC7">
        <w:t>This</w:t>
      </w:r>
      <w:proofErr w:type="spellEnd"/>
      <w:r w:rsidRPr="00283BC7">
        <w:t xml:space="preserve"> </w:t>
      </w:r>
      <w:proofErr w:type="spellStart"/>
      <w:r w:rsidRPr="00283BC7">
        <w:t>study</w:t>
      </w:r>
      <w:proofErr w:type="spellEnd"/>
      <w:r w:rsidRPr="00283BC7">
        <w:t xml:space="preserve"> </w:t>
      </w:r>
      <w:proofErr w:type="spellStart"/>
      <w:r w:rsidRPr="00283BC7">
        <w:t>investigates</w:t>
      </w:r>
      <w:proofErr w:type="spellEnd"/>
      <w:r w:rsidRPr="00283BC7">
        <w:t xml:space="preserve"> </w:t>
      </w:r>
      <w:proofErr w:type="spellStart"/>
      <w:r w:rsidRPr="00283BC7">
        <w:t>the</w:t>
      </w:r>
      <w:proofErr w:type="spellEnd"/>
      <w:r w:rsidRPr="00283BC7">
        <w:t xml:space="preserve"> </w:t>
      </w:r>
      <w:proofErr w:type="spellStart"/>
      <w:r w:rsidRPr="00283BC7">
        <w:t>transport</w:t>
      </w:r>
      <w:proofErr w:type="spellEnd"/>
      <w:r w:rsidRPr="00283BC7">
        <w:t xml:space="preserve"> </w:t>
      </w:r>
      <w:proofErr w:type="spellStart"/>
      <w:r w:rsidRPr="00283BC7">
        <w:t>phenomena</w:t>
      </w:r>
      <w:proofErr w:type="spellEnd"/>
      <w:r w:rsidRPr="00283BC7">
        <w:t xml:space="preserve"> </w:t>
      </w:r>
      <w:proofErr w:type="spellStart"/>
      <w:r w:rsidRPr="00283BC7">
        <w:t>in</w:t>
      </w:r>
      <w:proofErr w:type="spellEnd"/>
      <w:r w:rsidRPr="00283BC7">
        <w:t xml:space="preserve"> </w:t>
      </w:r>
      <w:proofErr w:type="spellStart"/>
      <w:r w:rsidRPr="00283BC7">
        <w:t>these</w:t>
      </w:r>
      <w:proofErr w:type="spellEnd"/>
      <w:r w:rsidRPr="00283BC7">
        <w:t xml:space="preserve"> </w:t>
      </w:r>
      <w:proofErr w:type="spellStart"/>
      <w:r w:rsidRPr="00283BC7">
        <w:t>polycrystalline</w:t>
      </w:r>
      <w:proofErr w:type="spellEnd"/>
      <w:r w:rsidRPr="00283BC7">
        <w:t xml:space="preserve"> </w:t>
      </w:r>
      <w:proofErr w:type="spellStart"/>
      <w:r w:rsidRPr="00283BC7">
        <w:t>films</w:t>
      </w:r>
      <w:proofErr w:type="spellEnd"/>
      <w:r w:rsidRPr="00283BC7">
        <w:t xml:space="preserve">, </w:t>
      </w:r>
      <w:proofErr w:type="spellStart"/>
      <w:r w:rsidRPr="00283BC7">
        <w:t>focusing</w:t>
      </w:r>
      <w:proofErr w:type="spellEnd"/>
      <w:r w:rsidRPr="00283BC7">
        <w:t xml:space="preserve"> </w:t>
      </w:r>
      <w:proofErr w:type="spellStart"/>
      <w:r w:rsidRPr="00283BC7">
        <w:t>on</w:t>
      </w:r>
      <w:proofErr w:type="spellEnd"/>
      <w:r w:rsidRPr="00283BC7">
        <w:t xml:space="preserve"> </w:t>
      </w:r>
      <w:proofErr w:type="spellStart"/>
      <w:r w:rsidRPr="00283BC7">
        <w:t>charge</w:t>
      </w:r>
      <w:proofErr w:type="spellEnd"/>
      <w:r w:rsidRPr="00283BC7">
        <w:t xml:space="preserve"> </w:t>
      </w:r>
      <w:proofErr w:type="spellStart"/>
      <w:r w:rsidRPr="00283BC7">
        <w:t>carrier</w:t>
      </w:r>
      <w:proofErr w:type="spellEnd"/>
      <w:r w:rsidRPr="00283BC7">
        <w:t xml:space="preserve"> </w:t>
      </w:r>
      <w:proofErr w:type="spellStart"/>
      <w:r w:rsidRPr="00283BC7">
        <w:t>mobility</w:t>
      </w:r>
      <w:proofErr w:type="spellEnd"/>
      <w:r w:rsidRPr="00283BC7">
        <w:t xml:space="preserve">, </w:t>
      </w:r>
      <w:proofErr w:type="spellStart"/>
      <w:r w:rsidRPr="00283BC7">
        <w:t>scattering</w:t>
      </w:r>
      <w:proofErr w:type="spellEnd"/>
      <w:r w:rsidRPr="00283BC7">
        <w:t xml:space="preserve"> </w:t>
      </w:r>
      <w:proofErr w:type="spellStart"/>
      <w:r w:rsidRPr="00283BC7">
        <w:t>mechanisms</w:t>
      </w:r>
      <w:proofErr w:type="spellEnd"/>
      <w:r w:rsidRPr="00283BC7">
        <w:t xml:space="preserve">,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activation</w:t>
      </w:r>
      <w:proofErr w:type="spellEnd"/>
      <w:r w:rsidRPr="00283BC7">
        <w:t xml:space="preserve"> </w:t>
      </w:r>
      <w:proofErr w:type="spellStart"/>
      <w:r w:rsidRPr="00283BC7">
        <w:t>energies</w:t>
      </w:r>
      <w:proofErr w:type="spellEnd"/>
      <w:r w:rsidRPr="00283BC7">
        <w:t xml:space="preserve">. </w:t>
      </w:r>
      <w:proofErr w:type="spellStart"/>
      <w:r w:rsidRPr="00283BC7">
        <w:t>The</w:t>
      </w:r>
      <w:proofErr w:type="spellEnd"/>
      <w:r w:rsidRPr="00283BC7">
        <w:t xml:space="preserve"> </w:t>
      </w:r>
      <w:proofErr w:type="spellStart"/>
      <w:r w:rsidRPr="00283BC7">
        <w:t>results</w:t>
      </w:r>
      <w:proofErr w:type="spellEnd"/>
      <w:r w:rsidRPr="00283BC7">
        <w:t xml:space="preserve"> </w:t>
      </w:r>
      <w:proofErr w:type="spellStart"/>
      <w:r w:rsidRPr="00283BC7">
        <w:t>reveal</w:t>
      </w:r>
      <w:proofErr w:type="spellEnd"/>
      <w:r w:rsidRPr="00283BC7">
        <w:t xml:space="preserve"> </w:t>
      </w:r>
      <w:proofErr w:type="spellStart"/>
      <w:r w:rsidRPr="00283BC7">
        <w:t>that</w:t>
      </w:r>
      <w:proofErr w:type="spellEnd"/>
      <w:r w:rsidRPr="00283BC7">
        <w:t xml:space="preserve"> </w:t>
      </w:r>
      <w:proofErr w:type="spellStart"/>
      <w:r w:rsidRPr="00283BC7">
        <w:t>grain</w:t>
      </w:r>
      <w:proofErr w:type="spellEnd"/>
      <w:r w:rsidRPr="00283BC7">
        <w:t xml:space="preserve"> </w:t>
      </w:r>
      <w:proofErr w:type="spellStart"/>
      <w:r w:rsidRPr="00283BC7">
        <w:t>boundary</w:t>
      </w:r>
      <w:proofErr w:type="spellEnd"/>
      <w:r w:rsidRPr="00283BC7">
        <w:t xml:space="preserve"> </w:t>
      </w:r>
      <w:proofErr w:type="spellStart"/>
      <w:r w:rsidRPr="00283BC7">
        <w:t>scattering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surface</w:t>
      </w:r>
      <w:proofErr w:type="spellEnd"/>
      <w:r w:rsidRPr="00283BC7">
        <w:t xml:space="preserve"> </w:t>
      </w:r>
      <w:proofErr w:type="spellStart"/>
      <w:r w:rsidRPr="00283BC7">
        <w:t>effects</w:t>
      </w:r>
      <w:proofErr w:type="spellEnd"/>
      <w:r w:rsidRPr="00283BC7">
        <w:t xml:space="preserve"> </w:t>
      </w:r>
      <w:proofErr w:type="spellStart"/>
      <w:r w:rsidRPr="00283BC7">
        <w:t>significantly</w:t>
      </w:r>
      <w:proofErr w:type="spellEnd"/>
      <w:r w:rsidRPr="00283BC7">
        <w:t xml:space="preserve"> </w:t>
      </w:r>
      <w:proofErr w:type="spellStart"/>
      <w:r w:rsidRPr="00283BC7">
        <w:t>impact</w:t>
      </w:r>
      <w:proofErr w:type="spellEnd"/>
      <w:r w:rsidRPr="00283BC7">
        <w:t xml:space="preserve"> </w:t>
      </w:r>
      <w:proofErr w:type="spellStart"/>
      <w:r w:rsidRPr="00283BC7">
        <w:t>electrical</w:t>
      </w:r>
      <w:proofErr w:type="spellEnd"/>
      <w:r w:rsidRPr="00283BC7">
        <w:t xml:space="preserve"> </w:t>
      </w:r>
      <w:proofErr w:type="spellStart"/>
      <w:r w:rsidRPr="00283BC7">
        <w:t>properties</w:t>
      </w:r>
      <w:proofErr w:type="spellEnd"/>
      <w:r w:rsidRPr="00283BC7">
        <w:t xml:space="preserve">, </w:t>
      </w:r>
      <w:proofErr w:type="spellStart"/>
      <w:r w:rsidRPr="00283BC7">
        <w:t>influencing</w:t>
      </w:r>
      <w:proofErr w:type="spellEnd"/>
      <w:r w:rsidRPr="00283BC7">
        <w:t xml:space="preserve"> </w:t>
      </w:r>
      <w:proofErr w:type="spellStart"/>
      <w:r w:rsidRPr="00283BC7">
        <w:t>film</w:t>
      </w:r>
      <w:proofErr w:type="spellEnd"/>
      <w:r w:rsidRPr="00283BC7">
        <w:t xml:space="preserve"> </w:t>
      </w:r>
      <w:proofErr w:type="spellStart"/>
      <w:r w:rsidRPr="00283BC7">
        <w:t>performance</w:t>
      </w:r>
      <w:proofErr w:type="spellEnd"/>
      <w:r w:rsidRPr="00283BC7">
        <w:t xml:space="preserve"> </w:t>
      </w:r>
      <w:proofErr w:type="spellStart"/>
      <w:r w:rsidRPr="00283BC7">
        <w:t>in</w:t>
      </w:r>
      <w:proofErr w:type="spellEnd"/>
      <w:r w:rsidRPr="00283BC7">
        <w:t xml:space="preserve"> </w:t>
      </w:r>
      <w:proofErr w:type="spellStart"/>
      <w:r w:rsidRPr="00283BC7">
        <w:t>various</w:t>
      </w:r>
      <w:proofErr w:type="spellEnd"/>
      <w:r w:rsidRPr="00283BC7">
        <w:t xml:space="preserve"> </w:t>
      </w:r>
      <w:proofErr w:type="spellStart"/>
      <w:r w:rsidRPr="00283BC7">
        <w:t>applications</w:t>
      </w:r>
      <w:proofErr w:type="spellEnd"/>
      <w:r w:rsidRPr="00283BC7">
        <w:t>.</w:t>
      </w:r>
    </w:p>
    <w:p w14:paraId="08306721" w14:textId="77777777" w:rsidR="00283BC7" w:rsidRDefault="00283BC7" w:rsidP="00283BC7">
      <w:pPr>
        <w:spacing w:after="0" w:line="360" w:lineRule="auto"/>
        <w:ind w:firstLine="708"/>
        <w:jc w:val="both"/>
      </w:pPr>
      <w:proofErr w:type="spellStart"/>
      <w:r w:rsidRPr="00283BC7">
        <w:t>Cadmium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lead</w:t>
      </w:r>
      <w:proofErr w:type="spellEnd"/>
      <w:r w:rsidRPr="00283BC7">
        <w:t xml:space="preserve"> </w:t>
      </w:r>
      <w:proofErr w:type="spellStart"/>
      <w:r w:rsidRPr="00283BC7">
        <w:t>telluride</w:t>
      </w:r>
      <w:proofErr w:type="spellEnd"/>
      <w:r w:rsidRPr="00283BC7">
        <w:t xml:space="preserve"> </w:t>
      </w:r>
      <w:proofErr w:type="spellStart"/>
      <w:r w:rsidRPr="00283BC7">
        <w:t>films</w:t>
      </w:r>
      <w:proofErr w:type="spellEnd"/>
      <w:r w:rsidRPr="00283BC7">
        <w:t xml:space="preserve"> </w:t>
      </w:r>
      <w:proofErr w:type="spellStart"/>
      <w:r w:rsidRPr="00283BC7">
        <w:t>exhibit</w:t>
      </w:r>
      <w:proofErr w:type="spellEnd"/>
      <w:r w:rsidRPr="00283BC7">
        <w:t xml:space="preserve"> </w:t>
      </w:r>
      <w:proofErr w:type="spellStart"/>
      <w:r w:rsidRPr="00283BC7">
        <w:t>unique</w:t>
      </w:r>
      <w:proofErr w:type="spellEnd"/>
      <w:r w:rsidRPr="00283BC7">
        <w:t xml:space="preserve"> </w:t>
      </w:r>
      <w:proofErr w:type="spellStart"/>
      <w:r w:rsidRPr="00283BC7">
        <w:t>electronic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transport</w:t>
      </w:r>
      <w:proofErr w:type="spellEnd"/>
      <w:r w:rsidRPr="00283BC7">
        <w:t xml:space="preserve"> </w:t>
      </w:r>
      <w:proofErr w:type="spellStart"/>
      <w:r w:rsidRPr="00283BC7">
        <w:t>properties</w:t>
      </w:r>
      <w:proofErr w:type="spellEnd"/>
      <w:r w:rsidRPr="00283BC7">
        <w:t xml:space="preserve">, </w:t>
      </w:r>
      <w:proofErr w:type="spellStart"/>
      <w:r w:rsidRPr="00283BC7">
        <w:t>making</w:t>
      </w:r>
      <w:proofErr w:type="spellEnd"/>
      <w:r w:rsidRPr="00283BC7">
        <w:t xml:space="preserve"> </w:t>
      </w:r>
      <w:proofErr w:type="spellStart"/>
      <w:r w:rsidRPr="00283BC7">
        <w:t>them</w:t>
      </w:r>
      <w:proofErr w:type="spellEnd"/>
      <w:r w:rsidRPr="00283BC7">
        <w:t xml:space="preserve"> </w:t>
      </w:r>
      <w:proofErr w:type="spellStart"/>
      <w:r w:rsidRPr="00283BC7">
        <w:t>highly</w:t>
      </w:r>
      <w:proofErr w:type="spellEnd"/>
      <w:r w:rsidRPr="00283BC7">
        <w:t xml:space="preserve"> </w:t>
      </w:r>
      <w:proofErr w:type="spellStart"/>
      <w:r w:rsidRPr="00283BC7">
        <w:t>valuable</w:t>
      </w:r>
      <w:proofErr w:type="spellEnd"/>
      <w:r w:rsidRPr="00283BC7">
        <w:t xml:space="preserve"> </w:t>
      </w:r>
      <w:proofErr w:type="spellStart"/>
      <w:r w:rsidRPr="00283BC7">
        <w:t>for</w:t>
      </w:r>
      <w:proofErr w:type="spellEnd"/>
      <w:r w:rsidRPr="00283BC7">
        <w:t xml:space="preserve"> </w:t>
      </w:r>
      <w:proofErr w:type="spellStart"/>
      <w:r w:rsidRPr="00283BC7">
        <w:t>advanced</w:t>
      </w:r>
      <w:proofErr w:type="spellEnd"/>
      <w:r w:rsidRPr="00283BC7">
        <w:t xml:space="preserve"> </w:t>
      </w:r>
      <w:proofErr w:type="spellStart"/>
      <w:r w:rsidRPr="00283BC7">
        <w:t>device</w:t>
      </w:r>
      <w:proofErr w:type="spellEnd"/>
      <w:r w:rsidRPr="00283BC7">
        <w:t xml:space="preserve"> </w:t>
      </w:r>
      <w:proofErr w:type="spellStart"/>
      <w:r w:rsidRPr="00283BC7">
        <w:t>applications</w:t>
      </w:r>
      <w:proofErr w:type="spellEnd"/>
      <w:r w:rsidRPr="00283BC7">
        <w:t xml:space="preserve">. </w:t>
      </w:r>
      <w:proofErr w:type="spellStart"/>
      <w:r w:rsidRPr="00283BC7">
        <w:t>CdTe</w:t>
      </w:r>
      <w:proofErr w:type="spellEnd"/>
      <w:r w:rsidRPr="00283BC7">
        <w:t xml:space="preserve"> </w:t>
      </w:r>
      <w:proofErr w:type="spellStart"/>
      <w:r w:rsidRPr="00283BC7">
        <w:t>is</w:t>
      </w:r>
      <w:proofErr w:type="spellEnd"/>
      <w:r w:rsidRPr="00283BC7">
        <w:t xml:space="preserve"> </w:t>
      </w:r>
      <w:proofErr w:type="spellStart"/>
      <w:r w:rsidRPr="00283BC7">
        <w:t>particularly</w:t>
      </w:r>
      <w:proofErr w:type="spellEnd"/>
      <w:r w:rsidRPr="00283BC7">
        <w:t xml:space="preserve"> </w:t>
      </w:r>
      <w:proofErr w:type="spellStart"/>
      <w:r w:rsidRPr="00283BC7">
        <w:t>suitable</w:t>
      </w:r>
      <w:proofErr w:type="spellEnd"/>
      <w:r w:rsidRPr="00283BC7">
        <w:t xml:space="preserve"> </w:t>
      </w:r>
      <w:proofErr w:type="spellStart"/>
      <w:r w:rsidRPr="00283BC7">
        <w:t>for</w:t>
      </w:r>
      <w:proofErr w:type="spellEnd"/>
      <w:r w:rsidRPr="00283BC7">
        <w:t xml:space="preserve"> </w:t>
      </w:r>
      <w:proofErr w:type="spellStart"/>
      <w:r w:rsidRPr="00283BC7">
        <w:t>photovoltaic</w:t>
      </w:r>
      <w:proofErr w:type="spellEnd"/>
      <w:r w:rsidRPr="00283BC7">
        <w:t xml:space="preserve"> </w:t>
      </w:r>
      <w:proofErr w:type="spellStart"/>
      <w:r w:rsidRPr="00283BC7">
        <w:t>converters</w:t>
      </w:r>
      <w:proofErr w:type="spellEnd"/>
      <w:r w:rsidRPr="00283BC7">
        <w:t xml:space="preserve">, </w:t>
      </w:r>
      <w:proofErr w:type="spellStart"/>
      <w:r w:rsidRPr="00283BC7">
        <w:t>with</w:t>
      </w:r>
      <w:proofErr w:type="spellEnd"/>
      <w:r w:rsidRPr="00283BC7">
        <w:t xml:space="preserve"> a </w:t>
      </w:r>
      <w:proofErr w:type="spellStart"/>
      <w:r w:rsidRPr="00283BC7">
        <w:t>theoretical</w:t>
      </w:r>
      <w:proofErr w:type="spellEnd"/>
      <w:r w:rsidRPr="00283BC7">
        <w:t xml:space="preserve"> </w:t>
      </w:r>
      <w:proofErr w:type="spellStart"/>
      <w:r w:rsidRPr="00283BC7">
        <w:t>efficiency</w:t>
      </w:r>
      <w:proofErr w:type="spellEnd"/>
      <w:r w:rsidRPr="00283BC7">
        <w:t xml:space="preserve"> </w:t>
      </w:r>
      <w:proofErr w:type="spellStart"/>
      <w:r w:rsidRPr="00283BC7">
        <w:t>of</w:t>
      </w:r>
      <w:proofErr w:type="spellEnd"/>
      <w:r w:rsidRPr="00283BC7">
        <w:t xml:space="preserve"> 29%, </w:t>
      </w:r>
      <w:proofErr w:type="spellStart"/>
      <w:r w:rsidRPr="00283BC7">
        <w:t>though</w:t>
      </w:r>
      <w:proofErr w:type="spellEnd"/>
      <w:r w:rsidRPr="00283BC7">
        <w:t xml:space="preserve"> </w:t>
      </w:r>
      <w:proofErr w:type="spellStart"/>
      <w:r w:rsidRPr="00283BC7">
        <w:t>practical</w:t>
      </w:r>
      <w:proofErr w:type="spellEnd"/>
      <w:r w:rsidRPr="00283BC7">
        <w:t xml:space="preserve"> </w:t>
      </w:r>
      <w:proofErr w:type="spellStart"/>
      <w:r w:rsidRPr="00283BC7">
        <w:t>values</w:t>
      </w:r>
      <w:proofErr w:type="spellEnd"/>
      <w:r w:rsidRPr="00283BC7">
        <w:t xml:space="preserve"> </w:t>
      </w:r>
      <w:proofErr w:type="spellStart"/>
      <w:r w:rsidRPr="00283BC7">
        <w:t>remain</w:t>
      </w:r>
      <w:proofErr w:type="spellEnd"/>
      <w:r w:rsidRPr="00283BC7">
        <w:t xml:space="preserve"> </w:t>
      </w:r>
      <w:proofErr w:type="spellStart"/>
      <w:r w:rsidRPr="00283BC7">
        <w:t>at</w:t>
      </w:r>
      <w:proofErr w:type="spellEnd"/>
      <w:r w:rsidRPr="00283BC7">
        <w:t xml:space="preserve"> 12% </w:t>
      </w:r>
      <w:proofErr w:type="spellStart"/>
      <w:r w:rsidRPr="00283BC7">
        <w:t>due</w:t>
      </w:r>
      <w:proofErr w:type="spellEnd"/>
      <w:r w:rsidRPr="00283BC7">
        <w:t xml:space="preserve"> </w:t>
      </w:r>
      <w:proofErr w:type="spellStart"/>
      <w:r w:rsidRPr="00283BC7">
        <w:t>to</w:t>
      </w:r>
      <w:proofErr w:type="spellEnd"/>
      <w:r w:rsidRPr="00283BC7">
        <w:t xml:space="preserve"> </w:t>
      </w:r>
      <w:proofErr w:type="spellStart"/>
      <w:r w:rsidRPr="00283BC7">
        <w:t>transport</w:t>
      </w:r>
      <w:proofErr w:type="spellEnd"/>
      <w:r w:rsidRPr="00283BC7">
        <w:t xml:space="preserve"> </w:t>
      </w:r>
      <w:proofErr w:type="spellStart"/>
      <w:r w:rsidRPr="00283BC7">
        <w:t>property</w:t>
      </w:r>
      <w:proofErr w:type="spellEnd"/>
      <w:r w:rsidRPr="00283BC7">
        <w:t xml:space="preserve"> </w:t>
      </w:r>
      <w:proofErr w:type="spellStart"/>
      <w:r w:rsidRPr="00283BC7">
        <w:t>limitations</w:t>
      </w:r>
      <w:proofErr w:type="spellEnd"/>
      <w:r w:rsidRPr="00283BC7">
        <w:t xml:space="preserve">. </w:t>
      </w:r>
      <w:proofErr w:type="spellStart"/>
      <w:r w:rsidRPr="00283BC7">
        <w:t>In</w:t>
      </w:r>
      <w:proofErr w:type="spellEnd"/>
      <w:r w:rsidRPr="00283BC7">
        <w:t xml:space="preserve"> </w:t>
      </w:r>
      <w:proofErr w:type="spellStart"/>
      <w:r w:rsidRPr="00283BC7">
        <w:t>contrast</w:t>
      </w:r>
      <w:proofErr w:type="spellEnd"/>
      <w:r w:rsidRPr="00283BC7">
        <w:t xml:space="preserve">, </w:t>
      </w:r>
      <w:proofErr w:type="spellStart"/>
      <w:r w:rsidRPr="00283BC7">
        <w:t>PbTe</w:t>
      </w:r>
      <w:proofErr w:type="spellEnd"/>
      <w:r w:rsidRPr="00283BC7">
        <w:t xml:space="preserve"> </w:t>
      </w:r>
      <w:proofErr w:type="spellStart"/>
      <w:r w:rsidRPr="00283BC7">
        <w:t>films</w:t>
      </w:r>
      <w:proofErr w:type="spellEnd"/>
      <w:r w:rsidRPr="00283BC7">
        <w:t xml:space="preserve"> </w:t>
      </w:r>
      <w:proofErr w:type="spellStart"/>
      <w:r w:rsidRPr="00283BC7">
        <w:t>show</w:t>
      </w:r>
      <w:proofErr w:type="spellEnd"/>
      <w:r w:rsidRPr="00283BC7">
        <w:t xml:space="preserve"> </w:t>
      </w:r>
      <w:proofErr w:type="spellStart"/>
      <w:r w:rsidRPr="00283BC7">
        <w:t>potential</w:t>
      </w:r>
      <w:proofErr w:type="spellEnd"/>
      <w:r w:rsidRPr="00283BC7">
        <w:t xml:space="preserve"> </w:t>
      </w:r>
      <w:proofErr w:type="spellStart"/>
      <w:r w:rsidRPr="00283BC7">
        <w:t>for</w:t>
      </w:r>
      <w:proofErr w:type="spellEnd"/>
      <w:r w:rsidRPr="00283BC7">
        <w:t xml:space="preserve"> </w:t>
      </w:r>
      <w:proofErr w:type="spellStart"/>
      <w:r w:rsidRPr="00283BC7">
        <w:t>thermoelectric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infrared</w:t>
      </w:r>
      <w:proofErr w:type="spellEnd"/>
      <w:r w:rsidRPr="00283BC7">
        <w:t xml:space="preserve"> </w:t>
      </w:r>
      <w:proofErr w:type="spellStart"/>
      <w:r w:rsidRPr="00283BC7">
        <w:t>applications</w:t>
      </w:r>
      <w:proofErr w:type="spellEnd"/>
      <w:r w:rsidRPr="00283BC7">
        <w:t xml:space="preserve">. </w:t>
      </w:r>
      <w:proofErr w:type="spellStart"/>
      <w:r w:rsidRPr="00283BC7">
        <w:t>Understanding</w:t>
      </w:r>
      <w:proofErr w:type="spellEnd"/>
      <w:r w:rsidRPr="00283BC7">
        <w:t xml:space="preserve"> </w:t>
      </w:r>
      <w:proofErr w:type="spellStart"/>
      <w:r w:rsidRPr="00283BC7">
        <w:t>the</w:t>
      </w:r>
      <w:proofErr w:type="spellEnd"/>
      <w:r w:rsidRPr="00283BC7">
        <w:t xml:space="preserve"> </w:t>
      </w:r>
      <w:proofErr w:type="spellStart"/>
      <w:r w:rsidRPr="00283BC7">
        <w:t>influence</w:t>
      </w:r>
      <w:proofErr w:type="spellEnd"/>
      <w:r w:rsidRPr="00283BC7">
        <w:t xml:space="preserve"> </w:t>
      </w:r>
      <w:proofErr w:type="spellStart"/>
      <w:r w:rsidRPr="00283BC7">
        <w:t>of</w:t>
      </w:r>
      <w:proofErr w:type="spellEnd"/>
      <w:r w:rsidRPr="00283BC7">
        <w:t xml:space="preserve"> </w:t>
      </w:r>
      <w:proofErr w:type="spellStart"/>
      <w:r w:rsidRPr="00283BC7">
        <w:t>film</w:t>
      </w:r>
      <w:proofErr w:type="spellEnd"/>
      <w:r w:rsidRPr="00283BC7">
        <w:t xml:space="preserve"> </w:t>
      </w:r>
      <w:proofErr w:type="spellStart"/>
      <w:r w:rsidRPr="00283BC7">
        <w:t>thickness</w:t>
      </w:r>
      <w:proofErr w:type="spellEnd"/>
      <w:r w:rsidRPr="00283BC7">
        <w:t xml:space="preserve"> </w:t>
      </w:r>
      <w:proofErr w:type="spellStart"/>
      <w:r w:rsidRPr="00283BC7">
        <w:t>and</w:t>
      </w:r>
      <w:proofErr w:type="spellEnd"/>
      <w:r w:rsidRPr="00283BC7">
        <w:t xml:space="preserve"> </w:t>
      </w:r>
      <w:proofErr w:type="spellStart"/>
      <w:r w:rsidRPr="00283BC7">
        <w:t>microstructure</w:t>
      </w:r>
      <w:proofErr w:type="spellEnd"/>
      <w:r w:rsidRPr="00283BC7">
        <w:t xml:space="preserve"> </w:t>
      </w:r>
      <w:proofErr w:type="spellStart"/>
      <w:r w:rsidRPr="00283BC7">
        <w:t>on</w:t>
      </w:r>
      <w:proofErr w:type="spellEnd"/>
      <w:r w:rsidRPr="00283BC7">
        <w:t xml:space="preserve"> </w:t>
      </w:r>
      <w:proofErr w:type="spellStart"/>
      <w:r w:rsidRPr="00283BC7">
        <w:t>charge</w:t>
      </w:r>
      <w:proofErr w:type="spellEnd"/>
      <w:r w:rsidRPr="00283BC7">
        <w:t xml:space="preserve"> </w:t>
      </w:r>
      <w:proofErr w:type="spellStart"/>
      <w:r w:rsidRPr="00283BC7">
        <w:t>transport</w:t>
      </w:r>
      <w:proofErr w:type="spellEnd"/>
      <w:r w:rsidRPr="00283BC7">
        <w:t xml:space="preserve"> </w:t>
      </w:r>
      <w:proofErr w:type="spellStart"/>
      <w:r w:rsidRPr="00283BC7">
        <w:t>is</w:t>
      </w:r>
      <w:proofErr w:type="spellEnd"/>
      <w:r w:rsidRPr="00283BC7">
        <w:t xml:space="preserve"> </w:t>
      </w:r>
      <w:proofErr w:type="spellStart"/>
      <w:r w:rsidRPr="00283BC7">
        <w:t>critical</w:t>
      </w:r>
      <w:proofErr w:type="spellEnd"/>
      <w:r w:rsidRPr="00283BC7">
        <w:t xml:space="preserve"> </w:t>
      </w:r>
      <w:proofErr w:type="spellStart"/>
      <w:r w:rsidRPr="00283BC7">
        <w:t>for</w:t>
      </w:r>
      <w:proofErr w:type="spellEnd"/>
      <w:r w:rsidRPr="00283BC7">
        <w:t xml:space="preserve"> </w:t>
      </w:r>
      <w:proofErr w:type="spellStart"/>
      <w:r w:rsidRPr="00283BC7">
        <w:t>optimizing</w:t>
      </w:r>
      <w:proofErr w:type="spellEnd"/>
      <w:r w:rsidRPr="00283BC7">
        <w:t xml:space="preserve"> </w:t>
      </w:r>
      <w:proofErr w:type="spellStart"/>
      <w:r w:rsidRPr="00283BC7">
        <w:t>these</w:t>
      </w:r>
      <w:proofErr w:type="spellEnd"/>
      <w:r w:rsidRPr="00283BC7">
        <w:t xml:space="preserve"> </w:t>
      </w:r>
      <w:proofErr w:type="spellStart"/>
      <w:r w:rsidRPr="00283BC7">
        <w:t>materials</w:t>
      </w:r>
      <w:proofErr w:type="spellEnd"/>
      <w:r w:rsidRPr="00283BC7">
        <w:t>.</w:t>
      </w:r>
    </w:p>
    <w:p w14:paraId="45240ED1" w14:textId="697AF9AB" w:rsidR="003A1D8E" w:rsidRDefault="003A1D8E" w:rsidP="003A1D8E">
      <w:pPr>
        <w:spacing w:after="0" w:line="360" w:lineRule="auto"/>
        <w:ind w:firstLine="708"/>
        <w:jc w:val="both"/>
        <w:rPr>
          <w:lang w:val="en-US"/>
        </w:rPr>
      </w:pP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films</w:t>
      </w:r>
      <w:proofErr w:type="spellEnd"/>
      <w:r w:rsidRPr="003A1D8E">
        <w:t xml:space="preserve"> </w:t>
      </w:r>
      <w:proofErr w:type="spellStart"/>
      <w:r w:rsidRPr="003A1D8E">
        <w:t>were</w:t>
      </w:r>
      <w:proofErr w:type="spellEnd"/>
      <w:r w:rsidRPr="003A1D8E">
        <w:t xml:space="preserve"> </w:t>
      </w:r>
      <w:proofErr w:type="spellStart"/>
      <w:r w:rsidRPr="003A1D8E">
        <w:t>obtained</w:t>
      </w:r>
      <w:proofErr w:type="spellEnd"/>
      <w:r w:rsidRPr="003A1D8E">
        <w:t xml:space="preserve"> </w:t>
      </w:r>
      <w:proofErr w:type="spellStart"/>
      <w:r w:rsidRPr="003A1D8E">
        <w:t>using</w:t>
      </w:r>
      <w:proofErr w:type="spellEnd"/>
      <w:r w:rsidRPr="003A1D8E">
        <w:t xml:space="preserve"> </w:t>
      </w: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hot</w:t>
      </w:r>
      <w:proofErr w:type="spellEnd"/>
      <w:r w:rsidRPr="003A1D8E">
        <w:t xml:space="preserve"> </w:t>
      </w:r>
      <w:proofErr w:type="spellStart"/>
      <w:r w:rsidRPr="003A1D8E">
        <w:t>wall</w:t>
      </w:r>
      <w:proofErr w:type="spellEnd"/>
      <w:r w:rsidRPr="003A1D8E">
        <w:t xml:space="preserve"> </w:t>
      </w:r>
      <w:proofErr w:type="spellStart"/>
      <w:r w:rsidRPr="003A1D8E">
        <w:t>method</w:t>
      </w:r>
      <w:proofErr w:type="spellEnd"/>
      <w:r w:rsidRPr="003A1D8E">
        <w:t xml:space="preserve">, </w:t>
      </w:r>
      <w:proofErr w:type="spellStart"/>
      <w:r w:rsidRPr="003A1D8E">
        <w:t>with</w:t>
      </w:r>
      <w:proofErr w:type="spellEnd"/>
      <w:r w:rsidRPr="003A1D8E">
        <w:t xml:space="preserve"> </w:t>
      </w:r>
      <w:proofErr w:type="spellStart"/>
      <w:r w:rsidRPr="003A1D8E">
        <w:t>deposition</w:t>
      </w:r>
      <w:proofErr w:type="spellEnd"/>
      <w:r w:rsidRPr="003A1D8E">
        <w:t xml:space="preserve"> </w:t>
      </w:r>
      <w:proofErr w:type="spellStart"/>
      <w:r w:rsidRPr="003A1D8E">
        <w:t>on</w:t>
      </w:r>
      <w:proofErr w:type="spellEnd"/>
      <w:r w:rsidRPr="003A1D8E">
        <w:t xml:space="preserve"> </w:t>
      </w:r>
      <w:proofErr w:type="spellStart"/>
      <w:r w:rsidRPr="003A1D8E">
        <w:t>glass</w:t>
      </w:r>
      <w:proofErr w:type="spellEnd"/>
      <w:r w:rsidRPr="003A1D8E">
        <w:t xml:space="preserve"> </w:t>
      </w:r>
      <w:proofErr w:type="spellStart"/>
      <w:r w:rsidRPr="003A1D8E">
        <w:t>substrates</w:t>
      </w:r>
      <w:proofErr w:type="spellEnd"/>
      <w:r w:rsidRPr="003A1D8E">
        <w:t xml:space="preserve">. </w:t>
      </w: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thickness</w:t>
      </w:r>
      <w:proofErr w:type="spellEnd"/>
      <w:r w:rsidRPr="003A1D8E">
        <w:t xml:space="preserve"> </w:t>
      </w:r>
      <w:proofErr w:type="spellStart"/>
      <w:r w:rsidRPr="003A1D8E">
        <w:t>was</w:t>
      </w:r>
      <w:proofErr w:type="spellEnd"/>
      <w:r w:rsidRPr="003A1D8E">
        <w:t xml:space="preserve"> </w:t>
      </w:r>
      <w:proofErr w:type="spellStart"/>
      <w:r w:rsidRPr="003A1D8E">
        <w:t>controlled</w:t>
      </w:r>
      <w:proofErr w:type="spellEnd"/>
      <w:r w:rsidRPr="003A1D8E">
        <w:t xml:space="preserve"> </w:t>
      </w:r>
      <w:proofErr w:type="spellStart"/>
      <w:r w:rsidRPr="003A1D8E">
        <w:t>by</w:t>
      </w:r>
      <w:proofErr w:type="spellEnd"/>
      <w:r w:rsidRPr="003A1D8E">
        <w:t xml:space="preserve"> </w:t>
      </w:r>
      <w:proofErr w:type="spellStart"/>
      <w:r w:rsidRPr="003A1D8E">
        <w:t>deposition</w:t>
      </w:r>
      <w:proofErr w:type="spellEnd"/>
      <w:r w:rsidRPr="003A1D8E">
        <w:t xml:space="preserve"> </w:t>
      </w:r>
      <w:proofErr w:type="spellStart"/>
      <w:r w:rsidRPr="003A1D8E">
        <w:t>time</w:t>
      </w:r>
      <w:proofErr w:type="spellEnd"/>
      <w:r w:rsidRPr="003A1D8E">
        <w:t xml:space="preserve">. </w:t>
      </w:r>
      <w:proofErr w:type="spellStart"/>
      <w:r w:rsidRPr="003A1D8E">
        <w:t>Structural</w:t>
      </w:r>
      <w:proofErr w:type="spellEnd"/>
      <w:r w:rsidRPr="003A1D8E">
        <w:t xml:space="preserve"> </w:t>
      </w:r>
      <w:proofErr w:type="spellStart"/>
      <w:r w:rsidRPr="003A1D8E">
        <w:t>studies</w:t>
      </w:r>
      <w:proofErr w:type="spellEnd"/>
      <w:r w:rsidRPr="003A1D8E">
        <w:t xml:space="preserve"> </w:t>
      </w:r>
      <w:proofErr w:type="spellStart"/>
      <w:r w:rsidRPr="003A1D8E">
        <w:t>were</w:t>
      </w:r>
      <w:proofErr w:type="spellEnd"/>
      <w:r w:rsidRPr="003A1D8E">
        <w:t xml:space="preserve"> </w:t>
      </w:r>
      <w:proofErr w:type="spellStart"/>
      <w:r w:rsidRPr="003A1D8E">
        <w:t>conducted</w:t>
      </w:r>
      <w:proofErr w:type="spellEnd"/>
      <w:r w:rsidRPr="003A1D8E">
        <w:t xml:space="preserve"> </w:t>
      </w:r>
      <w:proofErr w:type="spellStart"/>
      <w:r w:rsidRPr="003A1D8E">
        <w:t>via</w:t>
      </w:r>
      <w:proofErr w:type="spellEnd"/>
      <w:r w:rsidRPr="003A1D8E">
        <w:t xml:space="preserve"> X-</w:t>
      </w:r>
      <w:proofErr w:type="spellStart"/>
      <w:r w:rsidRPr="003A1D8E">
        <w:t>ray</w:t>
      </w:r>
      <w:proofErr w:type="spellEnd"/>
      <w:r w:rsidRPr="003A1D8E">
        <w:t xml:space="preserve"> </w:t>
      </w:r>
      <w:proofErr w:type="spellStart"/>
      <w:r w:rsidRPr="003A1D8E">
        <w:t>diffraction</w:t>
      </w:r>
      <w:proofErr w:type="spellEnd"/>
      <w:r w:rsidRPr="003A1D8E">
        <w:t xml:space="preserve">, </w:t>
      </w:r>
      <w:proofErr w:type="spellStart"/>
      <w:r w:rsidRPr="003A1D8E">
        <w:t>electron</w:t>
      </w:r>
      <w:proofErr w:type="spellEnd"/>
      <w:r w:rsidRPr="003A1D8E">
        <w:t xml:space="preserve"> </w:t>
      </w:r>
      <w:proofErr w:type="spellStart"/>
      <w:r w:rsidRPr="003A1D8E">
        <w:t>microscopy</w:t>
      </w:r>
      <w:proofErr w:type="spellEnd"/>
      <w:r w:rsidRPr="003A1D8E">
        <w:t xml:space="preserve">, </w:t>
      </w:r>
      <w:proofErr w:type="spellStart"/>
      <w:r w:rsidRPr="003A1D8E">
        <w:t>and</w:t>
      </w:r>
      <w:proofErr w:type="spellEnd"/>
      <w:r w:rsidRPr="003A1D8E">
        <w:t xml:space="preserve"> </w:t>
      </w:r>
      <w:proofErr w:type="spellStart"/>
      <w:r w:rsidRPr="003A1D8E">
        <w:t>optical</w:t>
      </w:r>
      <w:proofErr w:type="spellEnd"/>
      <w:r w:rsidRPr="003A1D8E">
        <w:t xml:space="preserve"> </w:t>
      </w:r>
      <w:proofErr w:type="spellStart"/>
      <w:r w:rsidRPr="003A1D8E">
        <w:t>metallography</w:t>
      </w:r>
      <w:proofErr w:type="spellEnd"/>
      <w:r w:rsidRPr="003A1D8E">
        <w:t xml:space="preserve">. </w:t>
      </w:r>
      <w:proofErr w:type="spellStart"/>
      <w:r w:rsidRPr="003A1D8E">
        <w:t>Electrical</w:t>
      </w:r>
      <w:proofErr w:type="spellEnd"/>
      <w:r w:rsidRPr="003A1D8E">
        <w:t xml:space="preserve"> </w:t>
      </w:r>
      <w:proofErr w:type="spellStart"/>
      <w:r w:rsidRPr="003A1D8E">
        <w:t>conductivity</w:t>
      </w:r>
      <w:proofErr w:type="spellEnd"/>
      <w:r w:rsidRPr="003A1D8E">
        <w:t xml:space="preserve"> </w:t>
      </w:r>
      <w:proofErr w:type="spellStart"/>
      <w:r w:rsidRPr="003A1D8E">
        <w:t>was</w:t>
      </w:r>
      <w:proofErr w:type="spellEnd"/>
      <w:r w:rsidRPr="003A1D8E">
        <w:t xml:space="preserve"> </w:t>
      </w:r>
      <w:proofErr w:type="spellStart"/>
      <w:r w:rsidRPr="003A1D8E">
        <w:t>measured</w:t>
      </w:r>
      <w:proofErr w:type="spellEnd"/>
      <w:r w:rsidRPr="003A1D8E">
        <w:t xml:space="preserve"> </w:t>
      </w:r>
      <w:proofErr w:type="spellStart"/>
      <w:r w:rsidRPr="003A1D8E">
        <w:t>in</w:t>
      </w:r>
      <w:proofErr w:type="spellEnd"/>
      <w:r w:rsidRPr="003A1D8E">
        <w:t xml:space="preserve"> </w:t>
      </w: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temperature</w:t>
      </w:r>
      <w:proofErr w:type="spellEnd"/>
      <w:r w:rsidRPr="003A1D8E">
        <w:t xml:space="preserve"> </w:t>
      </w:r>
      <w:proofErr w:type="spellStart"/>
      <w:r w:rsidRPr="003A1D8E">
        <w:t>range</w:t>
      </w:r>
      <w:proofErr w:type="spellEnd"/>
      <w:r w:rsidRPr="003A1D8E">
        <w:t xml:space="preserve"> </w:t>
      </w:r>
      <w:proofErr w:type="spellStart"/>
      <w:r w:rsidRPr="003A1D8E">
        <w:t>of</w:t>
      </w:r>
      <w:proofErr w:type="spellEnd"/>
      <w:r w:rsidRPr="003A1D8E">
        <w:t xml:space="preserve"> 77–300</w:t>
      </w:r>
      <w:r w:rsidR="002F28AD">
        <w:rPr>
          <w:lang w:val="en-US"/>
        </w:rPr>
        <w:t> </w:t>
      </w:r>
      <w:r w:rsidRPr="003A1D8E">
        <w:t xml:space="preserve">K </w:t>
      </w:r>
      <w:proofErr w:type="spellStart"/>
      <w:r w:rsidRPr="003A1D8E">
        <w:t>using</w:t>
      </w:r>
      <w:proofErr w:type="spellEnd"/>
      <w:r w:rsidRPr="003A1D8E">
        <w:t xml:space="preserve"> </w:t>
      </w: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compensation</w:t>
      </w:r>
      <w:proofErr w:type="spellEnd"/>
      <w:r w:rsidRPr="003A1D8E">
        <w:t xml:space="preserve"> </w:t>
      </w:r>
      <w:proofErr w:type="spellStart"/>
      <w:r w:rsidRPr="003A1D8E">
        <w:t>method</w:t>
      </w:r>
      <w:proofErr w:type="spellEnd"/>
      <w:r w:rsidRPr="003A1D8E">
        <w:t xml:space="preserve"> </w:t>
      </w:r>
      <w:proofErr w:type="spellStart"/>
      <w:r w:rsidRPr="003A1D8E">
        <w:t>in</w:t>
      </w:r>
      <w:proofErr w:type="spellEnd"/>
      <w:r w:rsidRPr="003A1D8E">
        <w:t xml:space="preserve"> </w:t>
      </w:r>
      <w:proofErr w:type="spellStart"/>
      <w:r w:rsidRPr="003A1D8E">
        <w:t>constant</w:t>
      </w:r>
      <w:proofErr w:type="spellEnd"/>
      <w:r w:rsidRPr="003A1D8E">
        <w:t xml:space="preserve"> </w:t>
      </w:r>
      <w:proofErr w:type="spellStart"/>
      <w:r w:rsidRPr="003A1D8E">
        <w:t>electric</w:t>
      </w:r>
      <w:proofErr w:type="spellEnd"/>
      <w:r w:rsidRPr="003A1D8E">
        <w:t xml:space="preserve"> </w:t>
      </w:r>
      <w:proofErr w:type="spellStart"/>
      <w:r w:rsidRPr="003A1D8E">
        <w:t>and</w:t>
      </w:r>
      <w:proofErr w:type="spellEnd"/>
      <w:r w:rsidRPr="003A1D8E">
        <w:t xml:space="preserve"> </w:t>
      </w:r>
      <w:proofErr w:type="spellStart"/>
      <w:r w:rsidRPr="003A1D8E">
        <w:t>magnetic</w:t>
      </w:r>
      <w:proofErr w:type="spellEnd"/>
      <w:r w:rsidRPr="003A1D8E">
        <w:t xml:space="preserve"> </w:t>
      </w:r>
      <w:proofErr w:type="spellStart"/>
      <w:r w:rsidRPr="003A1D8E">
        <w:t>fields</w:t>
      </w:r>
      <w:proofErr w:type="spellEnd"/>
      <w:r w:rsidRPr="003A1D8E">
        <w:t xml:space="preserve">. </w:t>
      </w:r>
      <w:proofErr w:type="spellStart"/>
      <w:r w:rsidRPr="003A1D8E">
        <w:t>The</w:t>
      </w:r>
      <w:proofErr w:type="spellEnd"/>
      <w:r w:rsidRPr="003A1D8E">
        <w:t xml:space="preserve"> </w:t>
      </w:r>
      <w:proofErr w:type="spellStart"/>
      <w:r w:rsidRPr="003A1D8E">
        <w:t>experimental</w:t>
      </w:r>
      <w:proofErr w:type="spellEnd"/>
      <w:r w:rsidRPr="003A1D8E">
        <w:t xml:space="preserve"> </w:t>
      </w:r>
      <w:proofErr w:type="spellStart"/>
      <w:r w:rsidRPr="003A1D8E">
        <w:t>setup</w:t>
      </w:r>
      <w:proofErr w:type="spellEnd"/>
      <w:r w:rsidRPr="003A1D8E">
        <w:t xml:space="preserve"> </w:t>
      </w:r>
      <w:proofErr w:type="spellStart"/>
      <w:r w:rsidRPr="003A1D8E">
        <w:t>included</w:t>
      </w:r>
      <w:proofErr w:type="spellEnd"/>
      <w:r w:rsidRPr="003A1D8E">
        <w:t xml:space="preserve"> </w:t>
      </w:r>
      <w:proofErr w:type="spellStart"/>
      <w:r w:rsidRPr="003A1D8E">
        <w:t>four</w:t>
      </w:r>
      <w:proofErr w:type="spellEnd"/>
      <w:r w:rsidRPr="003A1D8E">
        <w:t xml:space="preserve"> </w:t>
      </w:r>
      <w:proofErr w:type="spellStart"/>
      <w:r w:rsidRPr="003A1D8E">
        <w:t>Hall</w:t>
      </w:r>
      <w:proofErr w:type="spellEnd"/>
      <w:r w:rsidRPr="003A1D8E">
        <w:t xml:space="preserve"> </w:t>
      </w:r>
      <w:proofErr w:type="spellStart"/>
      <w:r w:rsidRPr="003A1D8E">
        <w:t>and</w:t>
      </w:r>
      <w:proofErr w:type="spellEnd"/>
      <w:r w:rsidRPr="003A1D8E">
        <w:t xml:space="preserve"> </w:t>
      </w:r>
      <w:proofErr w:type="spellStart"/>
      <w:r w:rsidRPr="003A1D8E">
        <w:t>two</w:t>
      </w:r>
      <w:proofErr w:type="spellEnd"/>
      <w:r w:rsidRPr="003A1D8E">
        <w:t xml:space="preserve"> </w:t>
      </w:r>
      <w:proofErr w:type="spellStart"/>
      <w:r w:rsidRPr="003A1D8E">
        <w:t>current</w:t>
      </w:r>
      <w:proofErr w:type="spellEnd"/>
      <w:r w:rsidRPr="003A1D8E">
        <w:t xml:space="preserve"> </w:t>
      </w:r>
      <w:proofErr w:type="spellStart"/>
      <w:r w:rsidRPr="003A1D8E">
        <w:t>contacts</w:t>
      </w:r>
      <w:proofErr w:type="spellEnd"/>
      <w:r w:rsidRPr="003A1D8E">
        <w:t xml:space="preserve">, </w:t>
      </w:r>
      <w:proofErr w:type="spellStart"/>
      <w:r w:rsidRPr="003A1D8E">
        <w:t>with</w:t>
      </w:r>
      <w:proofErr w:type="spellEnd"/>
      <w:r w:rsidRPr="003A1D8E">
        <w:t xml:space="preserve"> </w:t>
      </w:r>
      <w:proofErr w:type="spellStart"/>
      <w:r w:rsidRPr="003A1D8E">
        <w:t>measurements</w:t>
      </w:r>
      <w:proofErr w:type="spellEnd"/>
      <w:r w:rsidRPr="003A1D8E">
        <w:t xml:space="preserve"> </w:t>
      </w:r>
      <w:proofErr w:type="spellStart"/>
      <w:r w:rsidRPr="003A1D8E">
        <w:t>performed</w:t>
      </w:r>
      <w:proofErr w:type="spellEnd"/>
      <w:r w:rsidRPr="003A1D8E">
        <w:t xml:space="preserve"> </w:t>
      </w:r>
      <w:proofErr w:type="spellStart"/>
      <w:r w:rsidRPr="003A1D8E">
        <w:t>under</w:t>
      </w:r>
      <w:proofErr w:type="spellEnd"/>
      <w:r w:rsidRPr="003A1D8E">
        <w:t xml:space="preserve"> a </w:t>
      </w:r>
      <w:proofErr w:type="spellStart"/>
      <w:r w:rsidRPr="003A1D8E">
        <w:t>magnetic</w:t>
      </w:r>
      <w:proofErr w:type="spellEnd"/>
      <w:r w:rsidRPr="003A1D8E">
        <w:t xml:space="preserve"> </w:t>
      </w:r>
      <w:proofErr w:type="spellStart"/>
      <w:r w:rsidRPr="003A1D8E">
        <w:t>field</w:t>
      </w:r>
      <w:proofErr w:type="spellEnd"/>
      <w:r w:rsidRPr="003A1D8E">
        <w:t xml:space="preserve"> </w:t>
      </w:r>
      <w:proofErr w:type="spellStart"/>
      <w:r w:rsidRPr="003A1D8E">
        <w:t>of</w:t>
      </w:r>
      <w:proofErr w:type="spellEnd"/>
      <w:r w:rsidRPr="003A1D8E">
        <w:t xml:space="preserve"> 0.8</w:t>
      </w:r>
      <w:r w:rsidR="002F28AD">
        <w:rPr>
          <w:lang w:val="en-US"/>
        </w:rPr>
        <w:t> </w:t>
      </w:r>
      <w:r w:rsidRPr="003A1D8E">
        <w:t>T.</w:t>
      </w:r>
      <w:r w:rsidR="009776E1">
        <w:t xml:space="preserve"> </w:t>
      </w:r>
      <w:proofErr w:type="spellStart"/>
      <w:r w:rsidR="009776E1" w:rsidRPr="009776E1">
        <w:t>The</w:t>
      </w:r>
      <w:proofErr w:type="spellEnd"/>
      <w:r w:rsidR="009776E1" w:rsidRPr="009776E1">
        <w:t xml:space="preserve"> </w:t>
      </w:r>
      <w:proofErr w:type="spellStart"/>
      <w:r w:rsidR="009776E1" w:rsidRPr="009776E1">
        <w:t>measured</w:t>
      </w:r>
      <w:proofErr w:type="spellEnd"/>
      <w:r w:rsidR="009776E1" w:rsidRPr="009776E1">
        <w:t xml:space="preserve"> </w:t>
      </w:r>
      <w:proofErr w:type="spellStart"/>
      <w:r w:rsidR="009776E1" w:rsidRPr="009776E1">
        <w:t>sample</w:t>
      </w:r>
      <w:proofErr w:type="spellEnd"/>
      <w:r w:rsidR="009776E1" w:rsidRPr="009776E1">
        <w:t xml:space="preserve"> </w:t>
      </w:r>
      <w:proofErr w:type="spellStart"/>
      <w:r w:rsidR="009776E1" w:rsidRPr="009776E1">
        <w:t>had</w:t>
      </w:r>
      <w:proofErr w:type="spellEnd"/>
      <w:r w:rsidR="009776E1" w:rsidRPr="009776E1">
        <w:t xml:space="preserve"> </w:t>
      </w:r>
      <w:proofErr w:type="spellStart"/>
      <w:r w:rsidR="009776E1" w:rsidRPr="009776E1">
        <w:t>four</w:t>
      </w:r>
      <w:proofErr w:type="spellEnd"/>
      <w:r w:rsidR="009776E1" w:rsidRPr="009776E1">
        <w:t xml:space="preserve"> </w:t>
      </w:r>
      <w:proofErr w:type="spellStart"/>
      <w:r w:rsidR="009776E1" w:rsidRPr="009776E1">
        <w:t>Hall</w:t>
      </w:r>
      <w:proofErr w:type="spellEnd"/>
      <w:r w:rsidR="009776E1" w:rsidRPr="009776E1">
        <w:t xml:space="preserve"> </w:t>
      </w:r>
      <w:proofErr w:type="spellStart"/>
      <w:r w:rsidR="009776E1" w:rsidRPr="009776E1">
        <w:t>and</w:t>
      </w:r>
      <w:proofErr w:type="spellEnd"/>
      <w:r w:rsidR="009776E1" w:rsidRPr="009776E1">
        <w:t xml:space="preserve"> </w:t>
      </w:r>
      <w:proofErr w:type="spellStart"/>
      <w:r w:rsidR="009776E1" w:rsidRPr="009776E1">
        <w:t>two</w:t>
      </w:r>
      <w:proofErr w:type="spellEnd"/>
      <w:r w:rsidR="009776E1" w:rsidRPr="009776E1">
        <w:t xml:space="preserve"> </w:t>
      </w:r>
      <w:proofErr w:type="spellStart"/>
      <w:r w:rsidR="009776E1" w:rsidRPr="009776E1">
        <w:t>current</w:t>
      </w:r>
      <w:proofErr w:type="spellEnd"/>
      <w:r w:rsidR="009776E1" w:rsidRPr="009776E1">
        <w:t xml:space="preserve"> </w:t>
      </w:r>
      <w:proofErr w:type="spellStart"/>
      <w:r w:rsidR="009776E1" w:rsidRPr="009776E1">
        <w:t>contacts</w:t>
      </w:r>
      <w:proofErr w:type="spellEnd"/>
      <w:r w:rsidR="009776E1" w:rsidRPr="009776E1">
        <w:t>.</w:t>
      </w:r>
    </w:p>
    <w:p w14:paraId="1D039E71" w14:textId="15AB89AE" w:rsidR="00421E5B" w:rsidRDefault="002D2795" w:rsidP="003A1D8E">
      <w:pPr>
        <w:spacing w:after="0" w:line="360" w:lineRule="auto"/>
        <w:ind w:firstLine="708"/>
        <w:jc w:val="both"/>
      </w:pPr>
      <w:r w:rsidRPr="002D2795">
        <w:rPr>
          <w:lang w:val="en-US"/>
        </w:rPr>
        <w:lastRenderedPageBreak/>
        <w:t>The Hall mobility of PbTe films exhibits a sharp decrease as thickness is reduced below 0.1</w:t>
      </w:r>
      <w:r w:rsidR="002F28AD">
        <w:rPr>
          <w:lang w:val="en-US"/>
        </w:rPr>
        <w:t> </w:t>
      </w:r>
      <w:proofErr w:type="spellStart"/>
      <w:r w:rsidRPr="002D2795">
        <w:rPr>
          <w:lang w:val="en-US"/>
        </w:rPr>
        <w:t>μm</w:t>
      </w:r>
      <w:proofErr w:type="spellEnd"/>
      <w:r w:rsidRPr="002D2795">
        <w:rPr>
          <w:lang w:val="en-US"/>
        </w:rPr>
        <w:t xml:space="preserve">. This reduction is attributed to enhanced scattering mechanisms at grain boundaries and film surfaces. </w:t>
      </w:r>
    </w:p>
    <w:p w14:paraId="691BA5BC" w14:textId="20F974D4" w:rsidR="003A6815" w:rsidRDefault="002D2795" w:rsidP="003A1D8E">
      <w:pPr>
        <w:spacing w:after="0" w:line="360" w:lineRule="auto"/>
        <w:ind w:firstLine="708"/>
        <w:jc w:val="both"/>
      </w:pPr>
      <w:r w:rsidRPr="002D2795">
        <w:rPr>
          <w:lang w:val="en-US"/>
        </w:rPr>
        <w:t xml:space="preserve">The temperature dependence of the Hall mobility follows the power law </w:t>
      </w:r>
    </w:p>
    <w:p w14:paraId="1F78F0CE" w14:textId="63D5ED32" w:rsidR="003A6815" w:rsidRPr="00ED7B14" w:rsidRDefault="002D2795" w:rsidP="003A6815">
      <w:pPr>
        <w:spacing w:after="0" w:line="360" w:lineRule="auto"/>
        <w:ind w:firstLine="708"/>
        <w:jc w:val="center"/>
      </w:pPr>
      <w:r w:rsidRPr="00ED7B14">
        <w:rPr>
          <w:lang w:val="en-US"/>
        </w:rPr>
        <w:t>μ = μ</w:t>
      </w:r>
      <w:r w:rsidRPr="00ED7B14">
        <w:rPr>
          <w:vertAlign w:val="subscript"/>
          <w:lang w:val="en-US"/>
        </w:rPr>
        <w:t>0</w:t>
      </w:r>
      <w:r w:rsidR="00421E5B" w:rsidRPr="00ED7B14">
        <w:rPr>
          <w:bCs/>
        </w:rPr>
        <w:t>Т</w:t>
      </w:r>
      <w:r w:rsidR="00421E5B" w:rsidRPr="00ED7B14">
        <w:rPr>
          <w:bCs/>
          <w:vertAlign w:val="superscript"/>
        </w:rPr>
        <w:t>-</w:t>
      </w:r>
      <w:r w:rsidR="00421E5B" w:rsidRPr="00ED7B14">
        <w:rPr>
          <w:bCs/>
          <w:vertAlign w:val="superscript"/>
          <w:lang w:val="en-US"/>
        </w:rPr>
        <w:t>n</w:t>
      </w:r>
      <w:r w:rsidR="00421E5B" w:rsidRPr="00ED7B14">
        <w:rPr>
          <w:bCs/>
          <w:vertAlign w:val="superscript"/>
        </w:rPr>
        <w:t>(</w:t>
      </w:r>
      <w:r w:rsidR="00421E5B" w:rsidRPr="00ED7B14">
        <w:rPr>
          <w:bCs/>
          <w:vertAlign w:val="superscript"/>
          <w:lang w:val="en-US"/>
        </w:rPr>
        <w:t>d</w:t>
      </w:r>
      <w:r w:rsidR="00421E5B" w:rsidRPr="00ED7B14">
        <w:rPr>
          <w:bCs/>
          <w:vertAlign w:val="superscript"/>
        </w:rPr>
        <w:t>)</w:t>
      </w:r>
      <w:r w:rsidRPr="00ED7B14">
        <w:rPr>
          <w:lang w:val="en-US"/>
        </w:rPr>
        <w:t>,</w:t>
      </w:r>
    </w:p>
    <w:p w14:paraId="216F77B2" w14:textId="64B21914" w:rsidR="002D2795" w:rsidRDefault="002D2795" w:rsidP="003A1D8E">
      <w:pPr>
        <w:spacing w:after="0" w:line="360" w:lineRule="auto"/>
        <w:ind w:firstLine="708"/>
        <w:jc w:val="both"/>
        <w:rPr>
          <w:lang w:val="en-US"/>
        </w:rPr>
      </w:pPr>
      <w:r w:rsidRPr="002D2795">
        <w:rPr>
          <w:lang w:val="en-US"/>
        </w:rPr>
        <w:t xml:space="preserve">where </w:t>
      </w:r>
      <w:r w:rsidRPr="002F28AD">
        <w:rPr>
          <w:lang w:val="en-US"/>
        </w:rPr>
        <w:t>n(d)</w:t>
      </w:r>
      <w:r w:rsidRPr="002D2795">
        <w:rPr>
          <w:lang w:val="en-US"/>
        </w:rPr>
        <w:t xml:space="preserve"> depends on film thickness and dominant scattering mechanisms.</w:t>
      </w:r>
    </w:p>
    <w:p w14:paraId="184966FF" w14:textId="77777777" w:rsidR="001D22AF" w:rsidRDefault="001D22AF" w:rsidP="001D22AF">
      <w:pPr>
        <w:spacing w:after="0" w:line="360" w:lineRule="auto"/>
        <w:ind w:firstLine="708"/>
        <w:jc w:val="both"/>
        <w:rPr>
          <w:lang w:val="en-US"/>
        </w:rPr>
      </w:pPr>
      <w:proofErr w:type="spellStart"/>
      <w:r w:rsidRPr="001D22AF">
        <w:t>Carrier</w:t>
      </w:r>
      <w:proofErr w:type="spellEnd"/>
      <w:r w:rsidRPr="001D22AF">
        <w:t xml:space="preserve"> </w:t>
      </w:r>
      <w:proofErr w:type="spellStart"/>
      <w:r w:rsidRPr="001D22AF">
        <w:t>scattering</w:t>
      </w:r>
      <w:proofErr w:type="spellEnd"/>
      <w:r w:rsidRPr="001D22AF">
        <w:t xml:space="preserve">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primarily</w:t>
      </w:r>
      <w:proofErr w:type="spellEnd"/>
      <w:r w:rsidRPr="001D22AF">
        <w:t xml:space="preserve"> </w:t>
      </w:r>
      <w:proofErr w:type="spellStart"/>
      <w:r w:rsidRPr="001D22AF">
        <w:t>influenced</w:t>
      </w:r>
      <w:proofErr w:type="spellEnd"/>
      <w:r w:rsidRPr="001D22AF">
        <w:t xml:space="preserve"> </w:t>
      </w:r>
      <w:proofErr w:type="spellStart"/>
      <w:r w:rsidRPr="001D22AF">
        <w:t>by</w:t>
      </w:r>
      <w:proofErr w:type="spellEnd"/>
      <w:r w:rsidRPr="001D22AF">
        <w:t xml:space="preserve"> </w:t>
      </w:r>
      <w:proofErr w:type="spellStart"/>
      <w:r w:rsidRPr="001D22AF">
        <w:t>surface</w:t>
      </w:r>
      <w:proofErr w:type="spellEnd"/>
      <w:r w:rsidRPr="001D22AF">
        <w:t xml:space="preserve"> </w:t>
      </w:r>
      <w:proofErr w:type="spellStart"/>
      <w:r w:rsidRPr="001D22AF">
        <w:t>and</w:t>
      </w:r>
      <w:proofErr w:type="spellEnd"/>
      <w:r w:rsidRPr="001D22AF">
        <w:t xml:space="preserve"> </w:t>
      </w:r>
      <w:proofErr w:type="spellStart"/>
      <w:r w:rsidRPr="001D22AF">
        <w:t>grain</w:t>
      </w:r>
      <w:proofErr w:type="spellEnd"/>
      <w:r w:rsidRPr="001D22AF">
        <w:t xml:space="preserve"> </w:t>
      </w:r>
      <w:proofErr w:type="spellStart"/>
      <w:r w:rsidRPr="001D22AF">
        <w:t>boundary</w:t>
      </w:r>
      <w:proofErr w:type="spellEnd"/>
      <w:r w:rsidRPr="001D22AF">
        <w:t xml:space="preserve"> </w:t>
      </w:r>
      <w:proofErr w:type="spellStart"/>
      <w:r w:rsidRPr="001D22AF">
        <w:t>effects</w:t>
      </w:r>
      <w:proofErr w:type="spellEnd"/>
      <w:r w:rsidRPr="001D22AF">
        <w:t xml:space="preserve">, </w:t>
      </w:r>
      <w:proofErr w:type="spellStart"/>
      <w:r w:rsidRPr="001D22AF">
        <w:t>leading</w:t>
      </w:r>
      <w:proofErr w:type="spellEnd"/>
      <w:r w:rsidRPr="001D22AF">
        <w:t xml:space="preserve"> </w:t>
      </w:r>
      <w:proofErr w:type="spellStart"/>
      <w:r w:rsidRPr="001D22AF">
        <w:t>to</w:t>
      </w:r>
      <w:proofErr w:type="spellEnd"/>
      <w:r w:rsidRPr="001D22AF">
        <w:t xml:space="preserve"> a </w:t>
      </w:r>
      <w:proofErr w:type="spellStart"/>
      <w:r w:rsidRPr="001D22AF">
        <w:t>resistivity</w:t>
      </w:r>
      <w:proofErr w:type="spellEnd"/>
      <w:r w:rsidRPr="001D22AF">
        <w:t xml:space="preserve"> </w:t>
      </w:r>
      <w:proofErr w:type="spellStart"/>
      <w:r w:rsidRPr="001D22AF">
        <w:t>dependence</w:t>
      </w:r>
      <w:proofErr w:type="spellEnd"/>
      <w:r w:rsidRPr="001D22AF">
        <w:t xml:space="preserve"> </w:t>
      </w:r>
      <w:proofErr w:type="spellStart"/>
      <w:r w:rsidRPr="001D22AF">
        <w:t>described</w:t>
      </w:r>
      <w:proofErr w:type="spellEnd"/>
      <w:r w:rsidRPr="001D22AF">
        <w:t xml:space="preserve"> </w:t>
      </w:r>
      <w:proofErr w:type="spellStart"/>
      <w:r w:rsidRPr="001D22AF">
        <w:t>by</w:t>
      </w:r>
      <w:proofErr w:type="spellEnd"/>
      <w:r w:rsidRPr="001D22AF">
        <w:t xml:space="preserve"> </w:t>
      </w:r>
      <w:proofErr w:type="spellStart"/>
      <w:r w:rsidRPr="001D22AF">
        <w:t>Matthiessen’s</w:t>
      </w:r>
      <w:proofErr w:type="spellEnd"/>
      <w:r w:rsidRPr="001D22AF">
        <w:t xml:space="preserve"> </w:t>
      </w:r>
      <w:proofErr w:type="spellStart"/>
      <w:r w:rsidRPr="001D22AF">
        <w:t>rule</w:t>
      </w:r>
      <w:proofErr w:type="spellEnd"/>
      <w:r w:rsidRPr="001D22AF">
        <w:t>:</w:t>
      </w:r>
    </w:p>
    <w:p w14:paraId="6B2F14AF" w14:textId="7C231CCC" w:rsidR="001D22AF" w:rsidRPr="00ED7B14" w:rsidRDefault="002F28AD" w:rsidP="001D22AF">
      <w:pPr>
        <w:spacing w:after="0" w:line="360" w:lineRule="auto"/>
        <w:ind w:firstLine="708"/>
        <w:jc w:val="both"/>
        <w:rPr>
          <w:iCs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μ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bCs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,</m:t>
          </m:r>
        </m:oMath>
      </m:oMathPara>
    </w:p>
    <w:p w14:paraId="1BDE039E" w14:textId="77777777" w:rsidR="001D22AF" w:rsidRDefault="001D22AF" w:rsidP="001D22AF">
      <w:pPr>
        <w:spacing w:after="0" w:line="360" w:lineRule="auto"/>
        <w:ind w:firstLine="708"/>
        <w:jc w:val="both"/>
        <w:rPr>
          <w:lang w:val="en-US"/>
        </w:rPr>
      </w:pPr>
      <w:r w:rsidRPr="001D22AF">
        <w:t xml:space="preserve"> </w:t>
      </w:r>
      <w:proofErr w:type="spellStart"/>
      <w:r w:rsidRPr="001D22AF">
        <w:t>where</w:t>
      </w:r>
      <w:proofErr w:type="spellEnd"/>
      <w:r w:rsidRPr="001D22AF">
        <w:t xml:space="preserve"> </w:t>
      </w:r>
      <w:r w:rsidRPr="002F28AD">
        <w:t xml:space="preserve">μ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total</w:t>
      </w:r>
      <w:proofErr w:type="spellEnd"/>
      <w:r w:rsidRPr="001D22AF">
        <w:t xml:space="preserve"> </w:t>
      </w:r>
      <w:proofErr w:type="spellStart"/>
      <w:r w:rsidRPr="001D22AF">
        <w:t>mobility</w:t>
      </w:r>
      <w:proofErr w:type="spellEnd"/>
      <w:r w:rsidRPr="001D22AF">
        <w:t xml:space="preserve">, </w:t>
      </w:r>
      <w:proofErr w:type="spellStart"/>
      <w:r w:rsidRPr="001D22AF">
        <w:t>μs</w:t>
      </w:r>
      <w:proofErr w:type="spellEnd"/>
      <w:r w:rsidRPr="001D22AF">
        <w:t xml:space="preserve">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surface</w:t>
      </w:r>
      <w:proofErr w:type="spellEnd"/>
      <w:r w:rsidRPr="001D22AF">
        <w:t xml:space="preserve"> </w:t>
      </w:r>
      <w:proofErr w:type="spellStart"/>
      <w:r w:rsidRPr="001D22AF">
        <w:t>mobility</w:t>
      </w:r>
      <w:proofErr w:type="spellEnd"/>
      <w:r w:rsidRPr="001D22AF">
        <w:t xml:space="preserve">, </w:t>
      </w:r>
      <w:proofErr w:type="spellStart"/>
      <w:r w:rsidRPr="001D22AF">
        <w:t>and</w:t>
      </w:r>
      <w:proofErr w:type="spellEnd"/>
      <w:r w:rsidRPr="001D22AF">
        <w:t xml:space="preserve"> </w:t>
      </w:r>
      <w:proofErr w:type="spellStart"/>
      <w:r w:rsidRPr="001D22AF">
        <w:t>μb</w:t>
      </w:r>
      <w:proofErr w:type="spellEnd"/>
      <w:r w:rsidRPr="001D22AF">
        <w:t xml:space="preserve">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grain</w:t>
      </w:r>
      <w:proofErr w:type="spellEnd"/>
      <w:r w:rsidRPr="001D22AF">
        <w:t xml:space="preserve"> </w:t>
      </w:r>
      <w:proofErr w:type="spellStart"/>
      <w:r w:rsidRPr="001D22AF">
        <w:t>boundary</w:t>
      </w:r>
      <w:proofErr w:type="spellEnd"/>
      <w:r w:rsidRPr="001D22AF">
        <w:t xml:space="preserve"> </w:t>
      </w:r>
      <w:proofErr w:type="spellStart"/>
      <w:r w:rsidRPr="001D22AF">
        <w:t>mobility</w:t>
      </w:r>
      <w:proofErr w:type="spellEnd"/>
      <w:r w:rsidRPr="001D22AF">
        <w:t xml:space="preserve">. </w:t>
      </w:r>
      <w:proofErr w:type="spellStart"/>
      <w:r w:rsidRPr="001D22AF">
        <w:t>Surface</w:t>
      </w:r>
      <w:proofErr w:type="spellEnd"/>
      <w:r w:rsidRPr="001D22AF">
        <w:t xml:space="preserve"> </w:t>
      </w:r>
      <w:proofErr w:type="spellStart"/>
      <w:r w:rsidRPr="001D22AF">
        <w:t>mobility</w:t>
      </w:r>
      <w:proofErr w:type="spellEnd"/>
      <w:r w:rsidRPr="001D22AF">
        <w:t xml:space="preserve"> </w:t>
      </w:r>
      <w:proofErr w:type="spellStart"/>
      <w:r w:rsidRPr="001D22AF">
        <w:t>was</w:t>
      </w:r>
      <w:proofErr w:type="spellEnd"/>
      <w:r w:rsidRPr="001D22AF">
        <w:t xml:space="preserve"> </w:t>
      </w:r>
      <w:proofErr w:type="spellStart"/>
      <w:r w:rsidRPr="001D22AF">
        <w:t>estimated</w:t>
      </w:r>
      <w:proofErr w:type="spellEnd"/>
      <w:r w:rsidRPr="001D22AF">
        <w:t xml:space="preserve"> </w:t>
      </w:r>
      <w:proofErr w:type="spellStart"/>
      <w:r w:rsidRPr="001D22AF">
        <w:t>using</w:t>
      </w:r>
      <w:proofErr w:type="spellEnd"/>
      <w:r w:rsidRPr="001D22AF">
        <w:t>:</w:t>
      </w:r>
    </w:p>
    <w:p w14:paraId="670F5CCF" w14:textId="40450EF0" w:rsidR="001D22AF" w:rsidRDefault="002F28AD" w:rsidP="00A35EA1">
      <w:pPr>
        <w:spacing w:after="0" w:line="360" w:lineRule="auto"/>
        <w:ind w:firstLine="708"/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bCs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(1+ </m:t>
        </m:r>
        <m:f>
          <m:fPr>
            <m:type m:val="lin"/>
            <m:ctrlPr>
              <w:rPr>
                <w:rFonts w:ascii="Cambria Math" w:hAnsi="Cambria Math"/>
                <w:bCs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den>
        </m:f>
      </m:oMath>
      <w:r w:rsidR="00A35EA1" w:rsidRPr="00ED7B14">
        <w:rPr>
          <w:bCs/>
          <w:iCs/>
          <w:lang w:val="en-US"/>
        </w:rPr>
        <w:t>)</w:t>
      </w:r>
      <w:r w:rsidR="00A35EA1" w:rsidRPr="00ED7B14">
        <w:rPr>
          <w:bCs/>
          <w:iCs/>
          <w:vertAlign w:val="superscript"/>
          <w:lang w:val="en-US"/>
        </w:rPr>
        <w:t>-</w:t>
      </w:r>
      <w:r w:rsidR="00A35EA1">
        <w:rPr>
          <w:bCs/>
          <w:iCs/>
          <w:vertAlign w:val="superscript"/>
          <w:lang w:val="en-US"/>
        </w:rPr>
        <w:t>1</w:t>
      </w:r>
    </w:p>
    <w:p w14:paraId="3E8E27E2" w14:textId="1C5FE37A" w:rsidR="001D22AF" w:rsidRPr="001D22AF" w:rsidRDefault="001D22AF" w:rsidP="001D22AF">
      <w:pPr>
        <w:spacing w:after="0" w:line="360" w:lineRule="auto"/>
        <w:ind w:firstLine="708"/>
        <w:jc w:val="both"/>
      </w:pPr>
      <w:r w:rsidRPr="001D22AF">
        <w:t xml:space="preserve"> </w:t>
      </w:r>
      <w:proofErr w:type="spellStart"/>
      <w:r w:rsidRPr="001D22AF">
        <w:t>where</w:t>
      </w:r>
      <w:proofErr w:type="spellEnd"/>
      <w:r w:rsidRPr="001D22AF">
        <w:t xml:space="preserve"> </w:t>
      </w:r>
      <w:r w:rsidRPr="002F28AD">
        <w:t>λ</w:t>
      </w:r>
      <w:r w:rsidRPr="001D22AF">
        <w:t xml:space="preserve">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mean</w:t>
      </w:r>
      <w:proofErr w:type="spellEnd"/>
      <w:r w:rsidRPr="001D22AF">
        <w:t xml:space="preserve"> </w:t>
      </w:r>
      <w:proofErr w:type="spellStart"/>
      <w:r w:rsidRPr="001D22AF">
        <w:t>free</w:t>
      </w:r>
      <w:proofErr w:type="spellEnd"/>
      <w:r w:rsidRPr="001D22AF">
        <w:t xml:space="preserve"> </w:t>
      </w:r>
      <w:proofErr w:type="spellStart"/>
      <w:r w:rsidRPr="001D22AF">
        <w:t>path</w:t>
      </w:r>
      <w:proofErr w:type="spellEnd"/>
      <w:r w:rsidRPr="001D22AF">
        <w:t xml:space="preserve">, </w:t>
      </w:r>
      <w:proofErr w:type="spellStart"/>
      <w:r w:rsidRPr="001D22AF">
        <w:t>and</w:t>
      </w:r>
      <w:proofErr w:type="spellEnd"/>
      <w:r w:rsidRPr="001D22AF">
        <w:t xml:space="preserve"> </w:t>
      </w:r>
      <w:proofErr w:type="spellStart"/>
      <w:r w:rsidRPr="001D22AF">
        <w:rPr>
          <w:i/>
          <w:iCs/>
        </w:rPr>
        <w:t>μ</w:t>
      </w:r>
      <w:r w:rsidRPr="001D22AF">
        <w:rPr>
          <w:i/>
          <w:iCs/>
          <w:vertAlign w:val="subscript"/>
        </w:rPr>
        <w:t>V</w:t>
      </w:r>
      <w:proofErr w:type="spellEnd"/>
      <w:r w:rsidRPr="001D22AF">
        <w:t xml:space="preserve"> </w:t>
      </w:r>
      <w:proofErr w:type="spellStart"/>
      <w:r w:rsidRPr="001D22AF">
        <w:t>is</w:t>
      </w:r>
      <w:proofErr w:type="spellEnd"/>
      <w:r w:rsidRPr="001D22AF">
        <w:t xml:space="preserve">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bulk</w:t>
      </w:r>
      <w:proofErr w:type="spellEnd"/>
      <w:r w:rsidRPr="001D22AF">
        <w:t xml:space="preserve"> </w:t>
      </w:r>
      <w:proofErr w:type="spellStart"/>
      <w:r w:rsidRPr="001D22AF">
        <w:t>mobility</w:t>
      </w:r>
      <w:proofErr w:type="spellEnd"/>
      <w:r w:rsidRPr="001D22AF">
        <w:t xml:space="preserve">. </w:t>
      </w:r>
      <w:proofErr w:type="spellStart"/>
      <w:r w:rsidRPr="001D22AF">
        <w:t>The</w:t>
      </w:r>
      <w:proofErr w:type="spellEnd"/>
      <w:r w:rsidRPr="001D22AF">
        <w:t xml:space="preserve"> </w:t>
      </w:r>
      <w:proofErr w:type="spellStart"/>
      <w:r w:rsidRPr="001D22AF">
        <w:t>model</w:t>
      </w:r>
      <w:proofErr w:type="spellEnd"/>
      <w:r w:rsidRPr="001D22AF">
        <w:t xml:space="preserve"> </w:t>
      </w:r>
      <w:proofErr w:type="spellStart"/>
      <w:r w:rsidRPr="001D22AF">
        <w:t>shows</w:t>
      </w:r>
      <w:proofErr w:type="spellEnd"/>
      <w:r w:rsidRPr="001D22AF">
        <w:t xml:space="preserve"> </w:t>
      </w:r>
      <w:proofErr w:type="spellStart"/>
      <w:r w:rsidRPr="001D22AF">
        <w:t>good</w:t>
      </w:r>
      <w:proofErr w:type="spellEnd"/>
      <w:r w:rsidRPr="001D22AF">
        <w:t xml:space="preserve"> </w:t>
      </w:r>
      <w:proofErr w:type="spellStart"/>
      <w:r w:rsidRPr="001D22AF">
        <w:t>agreement</w:t>
      </w:r>
      <w:proofErr w:type="spellEnd"/>
      <w:r w:rsidRPr="001D22AF">
        <w:t xml:space="preserve"> </w:t>
      </w:r>
      <w:proofErr w:type="spellStart"/>
      <w:r w:rsidRPr="001D22AF">
        <w:t>with</w:t>
      </w:r>
      <w:proofErr w:type="spellEnd"/>
      <w:r w:rsidRPr="001D22AF">
        <w:t xml:space="preserve"> </w:t>
      </w:r>
      <w:proofErr w:type="spellStart"/>
      <w:r w:rsidRPr="001D22AF">
        <w:t>experimental</w:t>
      </w:r>
      <w:proofErr w:type="spellEnd"/>
      <w:r w:rsidRPr="001D22AF">
        <w:t xml:space="preserve"> </w:t>
      </w:r>
      <w:proofErr w:type="spellStart"/>
      <w:r w:rsidRPr="001D22AF">
        <w:t>data</w:t>
      </w:r>
      <w:proofErr w:type="spellEnd"/>
      <w:r w:rsidRPr="001D22AF">
        <w:t xml:space="preserve"> </w:t>
      </w:r>
      <w:proofErr w:type="spellStart"/>
      <w:r w:rsidRPr="001D22AF">
        <w:t>for</w:t>
      </w:r>
      <w:proofErr w:type="spellEnd"/>
      <w:r w:rsidRPr="001D22AF">
        <w:t xml:space="preserve"> </w:t>
      </w:r>
      <w:proofErr w:type="spellStart"/>
      <w:r w:rsidRPr="001D22AF">
        <w:t>films</w:t>
      </w:r>
      <w:proofErr w:type="spellEnd"/>
      <w:r w:rsidRPr="001D22AF">
        <w:t xml:space="preserve"> </w:t>
      </w:r>
      <w:proofErr w:type="spellStart"/>
      <w:r w:rsidRPr="001D22AF">
        <w:t>thinner</w:t>
      </w:r>
      <w:proofErr w:type="spellEnd"/>
      <w:r w:rsidRPr="001D22AF">
        <w:t xml:space="preserve"> </w:t>
      </w:r>
      <w:proofErr w:type="spellStart"/>
      <w:r w:rsidRPr="001D22AF">
        <w:t>than</w:t>
      </w:r>
      <w:proofErr w:type="spellEnd"/>
      <w:r w:rsidRPr="001D22AF">
        <w:t xml:space="preserve"> 0.1</w:t>
      </w:r>
      <w:r w:rsidR="002F28AD">
        <w:rPr>
          <w:lang w:val="en-US"/>
        </w:rPr>
        <w:t> </w:t>
      </w:r>
      <w:proofErr w:type="spellStart"/>
      <w:r w:rsidRPr="001D22AF">
        <w:t>μm</w:t>
      </w:r>
      <w:proofErr w:type="spellEnd"/>
      <w:r w:rsidRPr="001D22AF">
        <w:t>.</w:t>
      </w:r>
    </w:p>
    <w:p w14:paraId="211B9EDC" w14:textId="77777777" w:rsidR="00194EA0" w:rsidRDefault="00194EA0" w:rsidP="00194EA0">
      <w:pPr>
        <w:spacing w:after="0" w:line="360" w:lineRule="auto"/>
        <w:ind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crystallite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(D) </w:t>
      </w:r>
      <w:proofErr w:type="spellStart"/>
      <w:r>
        <w:t>in</w:t>
      </w:r>
      <w:proofErr w:type="spellEnd"/>
      <w:r>
        <w:t xml:space="preserve"> </w:t>
      </w:r>
      <w:proofErr w:type="spellStart"/>
      <w:r>
        <w:t>PbTe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:</w:t>
      </w:r>
    </w:p>
    <w:p w14:paraId="3BAA2CF9" w14:textId="1AB02AED" w:rsidR="00194EA0" w:rsidRDefault="00322C88" w:rsidP="00322C88">
      <w:pPr>
        <w:spacing w:after="0" w:line="360" w:lineRule="auto"/>
        <w:ind w:firstLine="708"/>
        <w:jc w:val="center"/>
      </w:pPr>
      <w:r w:rsidRPr="00322C88">
        <w:rPr>
          <w:bCs/>
          <w:lang w:val="en-US"/>
        </w:rPr>
        <w:t>D = 3,8 10</w:t>
      </w:r>
      <w:r w:rsidRPr="00322C88">
        <w:rPr>
          <w:bCs/>
          <w:vertAlign w:val="superscript"/>
          <w:lang w:val="en-US"/>
        </w:rPr>
        <w:t>-5</w:t>
      </w:r>
      <w:r w:rsidRPr="00322C88">
        <w:rPr>
          <w:bCs/>
          <w:lang w:val="en-US"/>
        </w:rPr>
        <w:t>d</w:t>
      </w:r>
      <w:r w:rsidRPr="00322C88">
        <w:rPr>
          <w:bCs/>
          <w:vertAlign w:val="superscript"/>
          <w:lang w:val="en-US"/>
        </w:rPr>
        <w:t>1/3</w:t>
      </w:r>
    </w:p>
    <w:p w14:paraId="1917E8AC" w14:textId="2F663010" w:rsidR="001D22AF" w:rsidRDefault="00194EA0" w:rsidP="00194EA0">
      <w:pPr>
        <w:spacing w:after="0" w:line="360" w:lineRule="auto"/>
        <w:ind w:firstLine="708"/>
        <w:jc w:val="both"/>
      </w:pPr>
      <w:proofErr w:type="spellStart"/>
      <w:r>
        <w:t>Smaller</w:t>
      </w:r>
      <w:proofErr w:type="spellEnd"/>
      <w:r>
        <w:t xml:space="preserve"> </w:t>
      </w:r>
      <w:proofErr w:type="spellStart"/>
      <w:r>
        <w:t>crystallites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.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proofErr w:type="spellStart"/>
      <w:r>
        <w:t>heights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0.09</w:t>
      </w:r>
      <w:r w:rsidR="002F28AD">
        <w:rPr>
          <w:lang w:val="en-US"/>
        </w:rPr>
        <w:t> </w:t>
      </w:r>
      <w:proofErr w:type="spellStart"/>
      <w:r>
        <w:t>eV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CdTe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0.06–0.1</w:t>
      </w:r>
      <w:r w:rsidR="002F28AD">
        <w:rPr>
          <w:lang w:val="en-US"/>
        </w:rPr>
        <w:t> </w:t>
      </w:r>
      <w:proofErr w:type="spellStart"/>
      <w:r>
        <w:t>eV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PbTe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crystallite</w:t>
      </w:r>
      <w:proofErr w:type="spellEnd"/>
      <w:r>
        <w:t xml:space="preserve"> </w:t>
      </w:r>
      <w:proofErr w:type="spellStart"/>
      <w:r>
        <w:t>size</w:t>
      </w:r>
      <w:proofErr w:type="spellEnd"/>
      <w:r w:rsidR="00922F07">
        <w:rPr>
          <w:lang w:val="en-US"/>
        </w:rPr>
        <w:t xml:space="preserve"> </w:t>
      </w:r>
      <w:r w:rsidR="00FA3CB5">
        <w:rPr>
          <w:lang w:val="en-US"/>
        </w:rPr>
        <w:t xml:space="preserve">(Fig. </w:t>
      </w:r>
      <w:r w:rsidR="002F28AD">
        <w:rPr>
          <w:lang w:val="en-US"/>
        </w:rPr>
        <w:t>1</w:t>
      </w:r>
      <w:r w:rsidR="00FA3CB5">
        <w:rPr>
          <w:lang w:val="en-US"/>
        </w:rPr>
        <w:t>)</w:t>
      </w:r>
      <w:r>
        <w:t>.</w:t>
      </w:r>
    </w:p>
    <w:p w14:paraId="25E81470" w14:textId="65B34525" w:rsidR="00421E5B" w:rsidRPr="00421E5B" w:rsidRDefault="00421E5B" w:rsidP="00194EA0">
      <w:pPr>
        <w:spacing w:after="0" w:line="360" w:lineRule="auto"/>
        <w:ind w:firstLine="708"/>
        <w:jc w:val="both"/>
      </w:pPr>
      <w:proofErr w:type="spellStart"/>
      <w:r w:rsidRPr="00421E5B">
        <w:t>The</w:t>
      </w:r>
      <w:proofErr w:type="spellEnd"/>
      <w:r w:rsidRPr="00421E5B">
        <w:t xml:space="preserve"> </w:t>
      </w:r>
      <w:proofErr w:type="spellStart"/>
      <w:r w:rsidRPr="00421E5B">
        <w:t>conductivity</w:t>
      </w:r>
      <w:proofErr w:type="spellEnd"/>
      <w:r w:rsidRPr="00421E5B">
        <w:t xml:space="preserve"> </w:t>
      </w:r>
      <w:proofErr w:type="spellStart"/>
      <w:r w:rsidRPr="00421E5B">
        <w:t>of</w:t>
      </w:r>
      <w:proofErr w:type="spellEnd"/>
      <w:r w:rsidRPr="00421E5B">
        <w:t xml:space="preserve"> </w:t>
      </w:r>
      <w:proofErr w:type="spellStart"/>
      <w:r w:rsidRPr="00421E5B">
        <w:t>PbTe</w:t>
      </w:r>
      <w:proofErr w:type="spellEnd"/>
      <w:r w:rsidRPr="00421E5B">
        <w:t xml:space="preserve"> </w:t>
      </w:r>
      <w:proofErr w:type="spellStart"/>
      <w:r w:rsidRPr="00421E5B">
        <w:t>and</w:t>
      </w:r>
      <w:proofErr w:type="spellEnd"/>
      <w:r w:rsidRPr="00421E5B">
        <w:t xml:space="preserve"> </w:t>
      </w:r>
      <w:proofErr w:type="spellStart"/>
      <w:r w:rsidRPr="00421E5B">
        <w:t>CdTe</w:t>
      </w:r>
      <w:proofErr w:type="spellEnd"/>
      <w:r w:rsidRPr="00421E5B">
        <w:t xml:space="preserve"> </w:t>
      </w:r>
      <w:proofErr w:type="spellStart"/>
      <w:r w:rsidRPr="00421E5B">
        <w:t>films</w:t>
      </w:r>
      <w:proofErr w:type="spellEnd"/>
      <w:r w:rsidRPr="00421E5B">
        <w:t xml:space="preserve"> </w:t>
      </w:r>
      <w:proofErr w:type="spellStart"/>
      <w:r w:rsidRPr="00421E5B">
        <w:t>decreases</w:t>
      </w:r>
      <w:proofErr w:type="spellEnd"/>
      <w:r w:rsidRPr="00421E5B">
        <w:t xml:space="preserve"> </w:t>
      </w:r>
      <w:proofErr w:type="spellStart"/>
      <w:r w:rsidRPr="00421E5B">
        <w:t>with</w:t>
      </w:r>
      <w:proofErr w:type="spellEnd"/>
      <w:r w:rsidRPr="00421E5B">
        <w:t xml:space="preserve"> </w:t>
      </w:r>
      <w:proofErr w:type="spellStart"/>
      <w:r w:rsidRPr="00421E5B">
        <w:t>decreasing</w:t>
      </w:r>
      <w:proofErr w:type="spellEnd"/>
      <w:r w:rsidRPr="00421E5B">
        <w:t xml:space="preserve"> </w:t>
      </w:r>
      <w:proofErr w:type="spellStart"/>
      <w:r w:rsidRPr="00421E5B">
        <w:t>temperature</w:t>
      </w:r>
      <w:proofErr w:type="spellEnd"/>
      <w:r w:rsidRPr="00421E5B">
        <w:t xml:space="preserve"> </w:t>
      </w:r>
      <w:proofErr w:type="spellStart"/>
      <w:r w:rsidRPr="00421E5B">
        <w:t>due</w:t>
      </w:r>
      <w:proofErr w:type="spellEnd"/>
      <w:r w:rsidRPr="00421E5B">
        <w:t xml:space="preserve"> </w:t>
      </w:r>
      <w:proofErr w:type="spellStart"/>
      <w:r w:rsidRPr="00421E5B">
        <w:t>to</w:t>
      </w:r>
      <w:proofErr w:type="spellEnd"/>
      <w:r w:rsidRPr="00421E5B">
        <w:t xml:space="preserve"> </w:t>
      </w:r>
      <w:proofErr w:type="spellStart"/>
      <w:r w:rsidRPr="00421E5B">
        <w:t>enhanced</w:t>
      </w:r>
      <w:proofErr w:type="spellEnd"/>
      <w:r w:rsidRPr="00421E5B">
        <w:t xml:space="preserve"> </w:t>
      </w:r>
      <w:proofErr w:type="spellStart"/>
      <w:r w:rsidRPr="00421E5B">
        <w:t>scattering</w:t>
      </w:r>
      <w:proofErr w:type="spellEnd"/>
      <w:r w:rsidRPr="00421E5B">
        <w:t xml:space="preserve"> </w:t>
      </w:r>
      <w:proofErr w:type="spellStart"/>
      <w:r w:rsidRPr="00421E5B">
        <w:t>at</w:t>
      </w:r>
      <w:proofErr w:type="spellEnd"/>
      <w:r w:rsidRPr="00421E5B">
        <w:t xml:space="preserve"> </w:t>
      </w:r>
      <w:proofErr w:type="spellStart"/>
      <w:r w:rsidRPr="00421E5B">
        <w:t>grain</w:t>
      </w:r>
      <w:proofErr w:type="spellEnd"/>
      <w:r w:rsidRPr="00421E5B">
        <w:t xml:space="preserve"> </w:t>
      </w:r>
      <w:proofErr w:type="spellStart"/>
      <w:r w:rsidRPr="00421E5B">
        <w:t>boundaries</w:t>
      </w:r>
      <w:proofErr w:type="spellEnd"/>
      <w:r w:rsidRPr="00421E5B">
        <w:t xml:space="preserve">. </w:t>
      </w:r>
      <w:proofErr w:type="spellStart"/>
      <w:r w:rsidRPr="00421E5B">
        <w:t>The</w:t>
      </w:r>
      <w:proofErr w:type="spellEnd"/>
      <w:r w:rsidRPr="00421E5B">
        <w:t xml:space="preserve"> </w:t>
      </w:r>
      <w:proofErr w:type="spellStart"/>
      <w:r w:rsidRPr="00421E5B">
        <w:t>observed</w:t>
      </w:r>
      <w:proofErr w:type="spellEnd"/>
      <w:r w:rsidRPr="00421E5B">
        <w:t xml:space="preserve"> </w:t>
      </w:r>
      <w:proofErr w:type="spellStart"/>
      <w:r w:rsidRPr="00421E5B">
        <w:t>activation</w:t>
      </w:r>
      <w:proofErr w:type="spellEnd"/>
      <w:r w:rsidRPr="00421E5B">
        <w:t xml:space="preserve"> </w:t>
      </w:r>
      <w:proofErr w:type="spellStart"/>
      <w:r w:rsidRPr="00421E5B">
        <w:t>energies</w:t>
      </w:r>
      <w:proofErr w:type="spellEnd"/>
      <w:r w:rsidRPr="00421E5B">
        <w:t xml:space="preserve"> </w:t>
      </w:r>
      <w:proofErr w:type="spellStart"/>
      <w:r w:rsidRPr="00421E5B">
        <w:t>suggest</w:t>
      </w:r>
      <w:proofErr w:type="spellEnd"/>
      <w:r w:rsidRPr="00421E5B">
        <w:t xml:space="preserve"> </w:t>
      </w:r>
      <w:proofErr w:type="spellStart"/>
      <w:r w:rsidRPr="00421E5B">
        <w:t>that</w:t>
      </w:r>
      <w:proofErr w:type="spellEnd"/>
      <w:r w:rsidRPr="00421E5B">
        <w:t xml:space="preserve"> </w:t>
      </w:r>
      <w:proofErr w:type="spellStart"/>
      <w:r w:rsidRPr="00421E5B">
        <w:t>thermionic</w:t>
      </w:r>
      <w:proofErr w:type="spellEnd"/>
      <w:r w:rsidRPr="00421E5B">
        <w:t xml:space="preserve"> </w:t>
      </w:r>
      <w:proofErr w:type="spellStart"/>
      <w:r w:rsidRPr="00421E5B">
        <w:t>emission</w:t>
      </w:r>
      <w:proofErr w:type="spellEnd"/>
      <w:r w:rsidRPr="00421E5B">
        <w:t xml:space="preserve"> </w:t>
      </w:r>
      <w:proofErr w:type="spellStart"/>
      <w:r w:rsidRPr="00421E5B">
        <w:t>over</w:t>
      </w:r>
      <w:proofErr w:type="spellEnd"/>
      <w:r w:rsidRPr="00421E5B">
        <w:t xml:space="preserve"> </w:t>
      </w:r>
      <w:proofErr w:type="spellStart"/>
      <w:r w:rsidRPr="00421E5B">
        <w:t>grain</w:t>
      </w:r>
      <w:proofErr w:type="spellEnd"/>
      <w:r w:rsidRPr="00421E5B">
        <w:t xml:space="preserve"> </w:t>
      </w:r>
      <w:proofErr w:type="spellStart"/>
      <w:r w:rsidRPr="00421E5B">
        <w:t>boundary</w:t>
      </w:r>
      <w:proofErr w:type="spellEnd"/>
      <w:r w:rsidRPr="00421E5B">
        <w:t xml:space="preserve"> </w:t>
      </w:r>
      <w:proofErr w:type="spellStart"/>
      <w:r w:rsidRPr="00421E5B">
        <w:t>potential</w:t>
      </w:r>
      <w:proofErr w:type="spellEnd"/>
      <w:r w:rsidRPr="00421E5B">
        <w:t xml:space="preserve"> </w:t>
      </w:r>
      <w:proofErr w:type="spellStart"/>
      <w:r w:rsidRPr="00421E5B">
        <w:t>barriers</w:t>
      </w:r>
      <w:proofErr w:type="spellEnd"/>
      <w:r w:rsidRPr="00421E5B">
        <w:t xml:space="preserve"> </w:t>
      </w:r>
      <w:proofErr w:type="spellStart"/>
      <w:r w:rsidRPr="00421E5B">
        <w:t>dominates</w:t>
      </w:r>
      <w:proofErr w:type="spellEnd"/>
      <w:r w:rsidRPr="00421E5B">
        <w:t xml:space="preserve"> </w:t>
      </w:r>
      <w:proofErr w:type="spellStart"/>
      <w:r w:rsidRPr="00421E5B">
        <w:t>carrier</w:t>
      </w:r>
      <w:proofErr w:type="spellEnd"/>
      <w:r w:rsidRPr="00421E5B">
        <w:t xml:space="preserve"> </w:t>
      </w:r>
      <w:proofErr w:type="spellStart"/>
      <w:r w:rsidRPr="00421E5B">
        <w:t>transport</w:t>
      </w:r>
      <w:proofErr w:type="spellEnd"/>
      <w:r w:rsidRPr="00421E5B">
        <w:t xml:space="preserve">. A </w:t>
      </w:r>
      <w:proofErr w:type="spellStart"/>
      <w:r w:rsidRPr="00421E5B">
        <w:t>decrease</w:t>
      </w:r>
      <w:proofErr w:type="spellEnd"/>
      <w:r w:rsidRPr="00421E5B">
        <w:t xml:space="preserve"> </w:t>
      </w:r>
      <w:proofErr w:type="spellStart"/>
      <w:r w:rsidRPr="00421E5B">
        <w:t>in</w:t>
      </w:r>
      <w:proofErr w:type="spellEnd"/>
      <w:r w:rsidRPr="00421E5B">
        <w:t xml:space="preserve"> </w:t>
      </w:r>
      <w:proofErr w:type="spellStart"/>
      <w:r w:rsidRPr="00421E5B">
        <w:t>crystallite</w:t>
      </w:r>
      <w:proofErr w:type="spellEnd"/>
      <w:r w:rsidRPr="00421E5B">
        <w:t xml:space="preserve"> </w:t>
      </w:r>
      <w:proofErr w:type="spellStart"/>
      <w:r w:rsidRPr="00421E5B">
        <w:t>size</w:t>
      </w:r>
      <w:proofErr w:type="spellEnd"/>
      <w:r w:rsidRPr="00421E5B">
        <w:t xml:space="preserve"> </w:t>
      </w:r>
      <w:proofErr w:type="spellStart"/>
      <w:r w:rsidRPr="00421E5B">
        <w:t>increases</w:t>
      </w:r>
      <w:proofErr w:type="spellEnd"/>
      <w:r w:rsidRPr="00421E5B">
        <w:t xml:space="preserve"> </w:t>
      </w:r>
      <w:proofErr w:type="spellStart"/>
      <w:r w:rsidRPr="00421E5B">
        <w:t>the</w:t>
      </w:r>
      <w:proofErr w:type="spellEnd"/>
      <w:r w:rsidRPr="00421E5B">
        <w:t xml:space="preserve"> </w:t>
      </w:r>
      <w:proofErr w:type="spellStart"/>
      <w:r w:rsidRPr="00421E5B">
        <w:t>barrier</w:t>
      </w:r>
      <w:proofErr w:type="spellEnd"/>
      <w:r w:rsidRPr="00421E5B">
        <w:t xml:space="preserve"> </w:t>
      </w:r>
      <w:proofErr w:type="spellStart"/>
      <w:r w:rsidRPr="00421E5B">
        <w:t>height</w:t>
      </w:r>
      <w:proofErr w:type="spellEnd"/>
      <w:r w:rsidRPr="00421E5B">
        <w:t xml:space="preserve">, </w:t>
      </w:r>
      <w:proofErr w:type="spellStart"/>
      <w:r w:rsidRPr="00421E5B">
        <w:t>further</w:t>
      </w:r>
      <w:proofErr w:type="spellEnd"/>
      <w:r w:rsidRPr="00421E5B">
        <w:t xml:space="preserve"> </w:t>
      </w:r>
      <w:proofErr w:type="spellStart"/>
      <w:r w:rsidRPr="00421E5B">
        <w:t>reducing</w:t>
      </w:r>
      <w:proofErr w:type="spellEnd"/>
      <w:r w:rsidRPr="00421E5B">
        <w:t xml:space="preserve"> </w:t>
      </w:r>
      <w:proofErr w:type="spellStart"/>
      <w:r w:rsidRPr="00421E5B">
        <w:t>mobility</w:t>
      </w:r>
      <w:proofErr w:type="spellEnd"/>
      <w:r w:rsidRPr="00421E5B">
        <w:t xml:space="preserve">. </w:t>
      </w:r>
      <w:proofErr w:type="spellStart"/>
      <w:r w:rsidRPr="00421E5B">
        <w:t>The</w:t>
      </w:r>
      <w:proofErr w:type="spellEnd"/>
      <w:r w:rsidRPr="00421E5B">
        <w:t xml:space="preserve"> </w:t>
      </w:r>
      <w:proofErr w:type="spellStart"/>
      <w:r w:rsidRPr="00421E5B">
        <w:t>temperature</w:t>
      </w:r>
      <w:proofErr w:type="spellEnd"/>
      <w:r w:rsidRPr="00421E5B">
        <w:t xml:space="preserve"> </w:t>
      </w:r>
      <w:proofErr w:type="spellStart"/>
      <w:r w:rsidRPr="00421E5B">
        <w:t>dependence</w:t>
      </w:r>
      <w:proofErr w:type="spellEnd"/>
      <w:r w:rsidRPr="00421E5B">
        <w:t xml:space="preserve"> </w:t>
      </w:r>
      <w:proofErr w:type="spellStart"/>
      <w:r w:rsidRPr="00421E5B">
        <w:t>of</w:t>
      </w:r>
      <w:proofErr w:type="spellEnd"/>
      <w:r w:rsidRPr="00421E5B">
        <w:t xml:space="preserve"> </w:t>
      </w:r>
      <w:proofErr w:type="spellStart"/>
      <w:r w:rsidRPr="00421E5B">
        <w:t>carrier</w:t>
      </w:r>
      <w:proofErr w:type="spellEnd"/>
      <w:r w:rsidRPr="00421E5B">
        <w:t xml:space="preserve"> </w:t>
      </w:r>
      <w:proofErr w:type="spellStart"/>
      <w:r w:rsidRPr="00421E5B">
        <w:t>concentration</w:t>
      </w:r>
      <w:proofErr w:type="spellEnd"/>
      <w:r w:rsidRPr="00421E5B">
        <w:t xml:space="preserve"> </w:t>
      </w:r>
      <w:proofErr w:type="spellStart"/>
      <w:r w:rsidRPr="00421E5B">
        <w:t>indicates</w:t>
      </w:r>
      <w:proofErr w:type="spellEnd"/>
      <w:r w:rsidRPr="00421E5B">
        <w:t xml:space="preserve"> </w:t>
      </w:r>
      <w:proofErr w:type="spellStart"/>
      <w:r w:rsidRPr="00421E5B">
        <w:t>that</w:t>
      </w:r>
      <w:proofErr w:type="spellEnd"/>
      <w:r w:rsidRPr="00421E5B">
        <w:t xml:space="preserve"> </w:t>
      </w:r>
      <w:proofErr w:type="spellStart"/>
      <w:r w:rsidRPr="00421E5B">
        <w:t>acceptor</w:t>
      </w:r>
      <w:proofErr w:type="spellEnd"/>
      <w:r w:rsidRPr="00421E5B">
        <w:t xml:space="preserve"> </w:t>
      </w:r>
      <w:proofErr w:type="spellStart"/>
      <w:r w:rsidRPr="00421E5B">
        <w:t>levels</w:t>
      </w:r>
      <w:proofErr w:type="spellEnd"/>
      <w:r w:rsidRPr="00421E5B">
        <w:t xml:space="preserve"> </w:t>
      </w:r>
      <w:proofErr w:type="spellStart"/>
      <w:r w:rsidRPr="00421E5B">
        <w:t>are</w:t>
      </w:r>
      <w:proofErr w:type="spellEnd"/>
      <w:r w:rsidRPr="00421E5B">
        <w:t xml:space="preserve"> </w:t>
      </w:r>
      <w:proofErr w:type="spellStart"/>
      <w:r w:rsidRPr="00421E5B">
        <w:t>fully</w:t>
      </w:r>
      <w:proofErr w:type="spellEnd"/>
      <w:r w:rsidRPr="00421E5B">
        <w:t xml:space="preserve"> </w:t>
      </w:r>
      <w:proofErr w:type="spellStart"/>
      <w:r w:rsidRPr="00421E5B">
        <w:t>ionized</w:t>
      </w:r>
      <w:proofErr w:type="spellEnd"/>
      <w:r w:rsidRPr="00421E5B">
        <w:t xml:space="preserve"> </w:t>
      </w:r>
      <w:proofErr w:type="spellStart"/>
      <w:r w:rsidRPr="00421E5B">
        <w:t>in</w:t>
      </w:r>
      <w:proofErr w:type="spellEnd"/>
      <w:r w:rsidRPr="00421E5B">
        <w:t xml:space="preserve"> </w:t>
      </w:r>
      <w:proofErr w:type="spellStart"/>
      <w:r w:rsidRPr="00421E5B">
        <w:t>the</w:t>
      </w:r>
      <w:proofErr w:type="spellEnd"/>
      <w:r w:rsidRPr="00421E5B">
        <w:t xml:space="preserve"> </w:t>
      </w:r>
      <w:proofErr w:type="spellStart"/>
      <w:r w:rsidRPr="00421E5B">
        <w:t>studied</w:t>
      </w:r>
      <w:proofErr w:type="spellEnd"/>
      <w:r w:rsidRPr="00421E5B">
        <w:t xml:space="preserve"> </w:t>
      </w:r>
      <w:proofErr w:type="spellStart"/>
      <w:r w:rsidRPr="00421E5B">
        <w:t>temperature</w:t>
      </w:r>
      <w:proofErr w:type="spellEnd"/>
      <w:r w:rsidRPr="00421E5B">
        <w:t xml:space="preserve"> </w:t>
      </w:r>
      <w:proofErr w:type="spellStart"/>
      <w:r w:rsidRPr="00421E5B">
        <w:t>range</w:t>
      </w:r>
      <w:proofErr w:type="spellEnd"/>
      <w:r w:rsidRPr="00421E5B">
        <w:t xml:space="preserve">, </w:t>
      </w:r>
      <w:proofErr w:type="spellStart"/>
      <w:r w:rsidRPr="00421E5B">
        <w:t>ruling</w:t>
      </w:r>
      <w:proofErr w:type="spellEnd"/>
      <w:r w:rsidRPr="00421E5B">
        <w:t xml:space="preserve"> </w:t>
      </w:r>
      <w:proofErr w:type="spellStart"/>
      <w:r w:rsidRPr="00421E5B">
        <w:t>out</w:t>
      </w:r>
      <w:proofErr w:type="spellEnd"/>
      <w:r w:rsidRPr="00421E5B">
        <w:t xml:space="preserve"> </w:t>
      </w:r>
      <w:proofErr w:type="spellStart"/>
      <w:r w:rsidRPr="00421E5B">
        <w:t>their</w:t>
      </w:r>
      <w:proofErr w:type="spellEnd"/>
      <w:r w:rsidRPr="00421E5B">
        <w:t xml:space="preserve"> </w:t>
      </w:r>
      <w:proofErr w:type="spellStart"/>
      <w:r w:rsidRPr="00421E5B">
        <w:t>contribution</w:t>
      </w:r>
      <w:proofErr w:type="spellEnd"/>
      <w:r w:rsidRPr="00421E5B">
        <w:t xml:space="preserve"> </w:t>
      </w:r>
      <w:proofErr w:type="spellStart"/>
      <w:r w:rsidRPr="00421E5B">
        <w:t>to</w:t>
      </w:r>
      <w:proofErr w:type="spellEnd"/>
      <w:r w:rsidRPr="00421E5B">
        <w:t xml:space="preserve"> </w:t>
      </w:r>
      <w:proofErr w:type="spellStart"/>
      <w:r w:rsidRPr="00421E5B">
        <w:t>conductivity</w:t>
      </w:r>
      <w:proofErr w:type="spellEnd"/>
      <w:r w:rsidRPr="00421E5B">
        <w:t xml:space="preserve"> </w:t>
      </w:r>
      <w:proofErr w:type="spellStart"/>
      <w:r w:rsidRPr="00421E5B">
        <w:t>changes</w:t>
      </w:r>
      <w:proofErr w:type="spellEnd"/>
      <w:r w:rsidRPr="00421E5B">
        <w:t>.</w:t>
      </w:r>
    </w:p>
    <w:p w14:paraId="67441574" w14:textId="72533B86" w:rsidR="00FA3CB5" w:rsidRDefault="00E63594" w:rsidP="00194EA0">
      <w:pPr>
        <w:spacing w:after="0" w:line="360" w:lineRule="auto"/>
        <w:ind w:firstLine="708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3F93FFB" wp14:editId="71C56A29">
            <wp:extent cx="2474836" cy="2053988"/>
            <wp:effectExtent l="0" t="0" r="1905" b="3810"/>
            <wp:docPr id="1833564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69" cy="2067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D9D">
        <w:rPr>
          <w:noProof/>
          <w:lang w:val="en-US"/>
        </w:rPr>
        <w:drawing>
          <wp:inline distT="0" distB="0" distL="0" distR="0" wp14:anchorId="669E7BF0" wp14:editId="6BFA618F">
            <wp:extent cx="2674344" cy="2210883"/>
            <wp:effectExtent l="0" t="0" r="0" b="0"/>
            <wp:docPr id="67120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97" cy="22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ACDFB" w14:textId="29F21FA5" w:rsidR="00247E44" w:rsidRDefault="00247E44" w:rsidP="00194EA0">
      <w:pPr>
        <w:spacing w:after="0" w:line="360" w:lineRule="auto"/>
        <w:ind w:firstLine="708"/>
        <w:jc w:val="both"/>
        <w:rPr>
          <w:lang w:val="en-US"/>
        </w:rPr>
      </w:pPr>
      <w:r w:rsidRPr="00247E44">
        <w:rPr>
          <w:b/>
          <w:bCs/>
          <w:lang w:val="en-US"/>
        </w:rPr>
        <w:t xml:space="preserve">Fig. </w:t>
      </w:r>
      <w:r w:rsidR="002F28AD">
        <w:rPr>
          <w:b/>
          <w:bCs/>
          <w:lang w:val="en-US"/>
        </w:rPr>
        <w:t>1</w:t>
      </w:r>
      <w:r w:rsidRPr="00247E44">
        <w:rPr>
          <w:b/>
          <w:bCs/>
          <w:lang w:val="en-US"/>
        </w:rPr>
        <w:t>.</w:t>
      </w:r>
      <w:r w:rsidRPr="00247E44">
        <w:rPr>
          <w:lang w:val="en-US"/>
        </w:rPr>
        <w:t xml:space="preserve"> Temperature dependence of electrical conductivity of p-CdTe (a)  (L = 10</w:t>
      </w:r>
      <w:r w:rsidRPr="00247E44">
        <w:rPr>
          <w:vertAlign w:val="superscript"/>
          <w:lang w:val="en-US"/>
        </w:rPr>
        <w:t>-4</w:t>
      </w:r>
      <w:r w:rsidRPr="00247E44">
        <w:rPr>
          <w:lang w:val="en-US"/>
        </w:rPr>
        <w:t> </w:t>
      </w:r>
      <w:r w:rsidRPr="00247E44">
        <w:rPr>
          <w:lang w:val="ru-RU"/>
        </w:rPr>
        <w:t>с</w:t>
      </w:r>
      <w:r w:rsidRPr="00247E44">
        <w:rPr>
          <w:lang w:val="en-US"/>
        </w:rPr>
        <w:t xml:space="preserve">m, </w:t>
      </w:r>
      <w:r w:rsidRPr="00247E44">
        <w:rPr>
          <w:lang w:val="ru-RU"/>
        </w:rPr>
        <w:t>Е</w:t>
      </w:r>
      <w:r w:rsidRPr="00247E44">
        <w:rPr>
          <w:vertAlign w:val="subscript"/>
          <w:lang w:val="en-US"/>
        </w:rPr>
        <w:t>b</w:t>
      </w:r>
      <w:r w:rsidRPr="00247E44">
        <w:rPr>
          <w:lang w:val="en-US"/>
        </w:rPr>
        <w:t> = 0.09 eV),  p-PbTe films (b) (L, cm: ● – 1 10</w:t>
      </w:r>
      <w:r w:rsidRPr="00247E44">
        <w:rPr>
          <w:vertAlign w:val="superscript"/>
          <w:lang w:val="en-US"/>
        </w:rPr>
        <w:t>-6</w:t>
      </w:r>
      <w:r w:rsidRPr="00247E44">
        <w:rPr>
          <w:lang w:val="en-US"/>
        </w:rPr>
        <w:t>, ▲ – 2 10</w:t>
      </w:r>
      <w:r w:rsidRPr="00247E44">
        <w:rPr>
          <w:vertAlign w:val="superscript"/>
          <w:lang w:val="en-US"/>
        </w:rPr>
        <w:t>-7</w:t>
      </w:r>
      <w:r w:rsidRPr="00247E44">
        <w:rPr>
          <w:lang w:val="en-US"/>
        </w:rPr>
        <w:t xml:space="preserve">; </w:t>
      </w:r>
      <w:r w:rsidRPr="00247E44">
        <w:rPr>
          <w:lang w:val="ru-RU"/>
        </w:rPr>
        <w:t>Е</w:t>
      </w:r>
      <w:r w:rsidRPr="00247E44">
        <w:rPr>
          <w:vertAlign w:val="subscript"/>
          <w:lang w:val="en-US"/>
        </w:rPr>
        <w:t>b</w:t>
      </w:r>
      <w:r w:rsidRPr="00247E44">
        <w:rPr>
          <w:lang w:val="en-US"/>
        </w:rPr>
        <w:t xml:space="preserve">, eV: ● </w:t>
      </w:r>
      <w:r w:rsidRPr="00247E44">
        <w:t>–</w:t>
      </w:r>
      <w:r w:rsidRPr="00247E44">
        <w:rPr>
          <w:lang w:val="en-US"/>
        </w:rPr>
        <w:t xml:space="preserve"> 0.04, ▲ </w:t>
      </w:r>
      <w:r w:rsidRPr="00247E44">
        <w:t>–</w:t>
      </w:r>
      <w:r w:rsidRPr="00247E44">
        <w:rPr>
          <w:lang w:val="en-US"/>
        </w:rPr>
        <w:t xml:space="preserve"> 0.1) with different sizes of crystallites.</w:t>
      </w:r>
    </w:p>
    <w:p w14:paraId="55222153" w14:textId="50E25529" w:rsidR="001667EA" w:rsidRPr="003A1D8E" w:rsidRDefault="001667EA" w:rsidP="008210BB">
      <w:pPr>
        <w:spacing w:after="0" w:line="360" w:lineRule="auto"/>
        <w:ind w:firstLine="708"/>
        <w:jc w:val="both"/>
      </w:pPr>
      <w:proofErr w:type="spellStart"/>
      <w:r w:rsidRPr="001667EA">
        <w:t>The</w:t>
      </w:r>
      <w:proofErr w:type="spellEnd"/>
      <w:r w:rsidRPr="001667EA">
        <w:t xml:space="preserve"> </w:t>
      </w:r>
      <w:proofErr w:type="spellStart"/>
      <w:r w:rsidRPr="001667EA">
        <w:t>temperature</w:t>
      </w:r>
      <w:proofErr w:type="spellEnd"/>
      <w:r w:rsidRPr="001667EA">
        <w:t xml:space="preserve"> </w:t>
      </w:r>
      <w:proofErr w:type="spellStart"/>
      <w:r w:rsidRPr="001667EA">
        <w:t>dependence</w:t>
      </w:r>
      <w:proofErr w:type="spellEnd"/>
      <w:r w:rsidRPr="001667EA">
        <w:t xml:space="preserve"> </w:t>
      </w:r>
      <w:proofErr w:type="spellStart"/>
      <w:r w:rsidRPr="001667EA">
        <w:t>of</w:t>
      </w:r>
      <w:proofErr w:type="spellEnd"/>
      <w:r w:rsidRPr="001667EA">
        <w:t xml:space="preserve"> </w:t>
      </w:r>
      <w:proofErr w:type="spellStart"/>
      <w:r w:rsidRPr="001667EA">
        <w:t>transport</w:t>
      </w:r>
      <w:proofErr w:type="spellEnd"/>
      <w:r w:rsidRPr="001667EA">
        <w:t xml:space="preserve"> </w:t>
      </w:r>
      <w:proofErr w:type="spellStart"/>
      <w:r w:rsidRPr="001667EA">
        <w:t>coefficients</w:t>
      </w:r>
      <w:proofErr w:type="spellEnd"/>
      <w:r w:rsidRPr="001667EA">
        <w:t xml:space="preserve"> </w:t>
      </w:r>
      <w:proofErr w:type="spellStart"/>
      <w:r w:rsidRPr="001667EA">
        <w:t>in</w:t>
      </w:r>
      <w:proofErr w:type="spellEnd"/>
      <w:r w:rsidRPr="001667EA">
        <w:t xml:space="preserve"> p-</w:t>
      </w:r>
      <w:proofErr w:type="spellStart"/>
      <w:r w:rsidRPr="001667EA">
        <w:t>CdTe</w:t>
      </w:r>
      <w:proofErr w:type="spellEnd"/>
      <w:r w:rsidRPr="001667EA">
        <w:t xml:space="preserve"> </w:t>
      </w:r>
      <w:proofErr w:type="spellStart"/>
      <w:r w:rsidRPr="001667EA">
        <w:t>and</w:t>
      </w:r>
      <w:proofErr w:type="spellEnd"/>
      <w:r w:rsidRPr="001667EA">
        <w:t xml:space="preserve"> p-</w:t>
      </w:r>
      <w:proofErr w:type="spellStart"/>
      <w:r w:rsidRPr="001667EA">
        <w:t>PbTe</w:t>
      </w:r>
      <w:proofErr w:type="spellEnd"/>
      <w:r w:rsidRPr="001667EA">
        <w:t xml:space="preserve"> </w:t>
      </w:r>
      <w:proofErr w:type="spellStart"/>
      <w:r w:rsidRPr="001667EA">
        <w:t>thin</w:t>
      </w:r>
      <w:proofErr w:type="spellEnd"/>
      <w:r w:rsidRPr="001667EA">
        <w:t xml:space="preserve"> </w:t>
      </w:r>
      <w:proofErr w:type="spellStart"/>
      <w:r w:rsidRPr="001667EA">
        <w:t>films</w:t>
      </w:r>
      <w:proofErr w:type="spellEnd"/>
      <w:r w:rsidRPr="001667EA">
        <w:t xml:space="preserve"> </w:t>
      </w:r>
      <w:proofErr w:type="spellStart"/>
      <w:r w:rsidRPr="001667EA">
        <w:t>was</w:t>
      </w:r>
      <w:proofErr w:type="spellEnd"/>
      <w:r w:rsidRPr="001667EA">
        <w:t xml:space="preserve"> </w:t>
      </w:r>
      <w:proofErr w:type="spellStart"/>
      <w:r w:rsidRPr="001667EA">
        <w:t>analyzed</w:t>
      </w:r>
      <w:proofErr w:type="spellEnd"/>
      <w:r w:rsidRPr="001667EA">
        <w:t>.</w:t>
      </w:r>
      <w:r w:rsidR="006643A7">
        <w:t xml:space="preserve"> </w:t>
      </w:r>
      <w:proofErr w:type="spellStart"/>
      <w:r w:rsidRPr="001667EA">
        <w:t>The</w:t>
      </w:r>
      <w:proofErr w:type="spellEnd"/>
      <w:r w:rsidRPr="001667EA">
        <w:t xml:space="preserve"> </w:t>
      </w:r>
      <w:proofErr w:type="spellStart"/>
      <w:r w:rsidRPr="001667EA">
        <w:t>activation</w:t>
      </w:r>
      <w:proofErr w:type="spellEnd"/>
      <w:r w:rsidRPr="001667EA">
        <w:t xml:space="preserve"> </w:t>
      </w:r>
      <w:proofErr w:type="spellStart"/>
      <w:r w:rsidRPr="001667EA">
        <w:t>energies</w:t>
      </w:r>
      <w:proofErr w:type="spellEnd"/>
      <w:r w:rsidRPr="001667EA">
        <w:t xml:space="preserve"> </w:t>
      </w:r>
      <w:proofErr w:type="spellStart"/>
      <w:r w:rsidRPr="001667EA">
        <w:t>of</w:t>
      </w:r>
      <w:proofErr w:type="spellEnd"/>
      <w:r w:rsidRPr="001667EA">
        <w:t xml:space="preserve"> </w:t>
      </w:r>
      <w:proofErr w:type="spellStart"/>
      <w:r w:rsidRPr="001667EA">
        <w:t>intergrain</w:t>
      </w:r>
      <w:proofErr w:type="spellEnd"/>
      <w:r w:rsidRPr="001667EA">
        <w:t xml:space="preserve"> </w:t>
      </w:r>
      <w:proofErr w:type="spellStart"/>
      <w:r w:rsidRPr="001667EA">
        <w:t>potential</w:t>
      </w:r>
      <w:proofErr w:type="spellEnd"/>
      <w:r w:rsidRPr="001667EA">
        <w:t xml:space="preserve"> </w:t>
      </w:r>
      <w:proofErr w:type="spellStart"/>
      <w:r w:rsidRPr="001667EA">
        <w:t>barriers</w:t>
      </w:r>
      <w:proofErr w:type="spellEnd"/>
      <w:r w:rsidRPr="001667EA">
        <w:t xml:space="preserve"> </w:t>
      </w:r>
      <w:proofErr w:type="spellStart"/>
      <w:r w:rsidRPr="001667EA">
        <w:t>were</w:t>
      </w:r>
      <w:proofErr w:type="spellEnd"/>
      <w:r w:rsidRPr="001667EA">
        <w:t xml:space="preserve"> </w:t>
      </w:r>
      <w:proofErr w:type="spellStart"/>
      <w:r w:rsidRPr="001667EA">
        <w:t>determined</w:t>
      </w:r>
      <w:proofErr w:type="spellEnd"/>
      <w:r w:rsidRPr="001667EA">
        <w:t xml:space="preserve"> </w:t>
      </w:r>
      <w:proofErr w:type="spellStart"/>
      <w:r w:rsidRPr="001667EA">
        <w:t>to</w:t>
      </w:r>
      <w:proofErr w:type="spellEnd"/>
      <w:r w:rsidRPr="001667EA">
        <w:t xml:space="preserve"> </w:t>
      </w:r>
      <w:proofErr w:type="spellStart"/>
      <w:r w:rsidRPr="001667EA">
        <w:t>be</w:t>
      </w:r>
      <w:proofErr w:type="spellEnd"/>
      <w:r w:rsidRPr="001667EA">
        <w:t xml:space="preserve"> 0.09</w:t>
      </w:r>
      <w:r w:rsidR="002F28AD">
        <w:rPr>
          <w:lang w:val="en-US"/>
        </w:rPr>
        <w:t> </w:t>
      </w:r>
      <w:proofErr w:type="spellStart"/>
      <w:r w:rsidRPr="001667EA">
        <w:t>eV</w:t>
      </w:r>
      <w:proofErr w:type="spellEnd"/>
      <w:r w:rsidRPr="001667EA">
        <w:t xml:space="preserve"> </w:t>
      </w:r>
      <w:proofErr w:type="spellStart"/>
      <w:r w:rsidRPr="001667EA">
        <w:t>for</w:t>
      </w:r>
      <w:proofErr w:type="spellEnd"/>
      <w:r w:rsidRPr="001667EA">
        <w:t xml:space="preserve"> p-</w:t>
      </w:r>
      <w:proofErr w:type="spellStart"/>
      <w:r w:rsidRPr="001667EA">
        <w:t>CdTe</w:t>
      </w:r>
      <w:proofErr w:type="spellEnd"/>
      <w:r w:rsidRPr="001667EA">
        <w:t xml:space="preserve"> </w:t>
      </w:r>
      <w:proofErr w:type="spellStart"/>
      <w:r w:rsidRPr="001667EA">
        <w:t>films</w:t>
      </w:r>
      <w:proofErr w:type="spellEnd"/>
      <w:r w:rsidRPr="001667EA">
        <w:t xml:space="preserve"> </w:t>
      </w:r>
      <w:proofErr w:type="spellStart"/>
      <w:r w:rsidRPr="001667EA">
        <w:t>and</w:t>
      </w:r>
      <w:proofErr w:type="spellEnd"/>
      <w:r w:rsidRPr="001667EA">
        <w:t xml:space="preserve"> 0.06–0.1</w:t>
      </w:r>
      <w:r w:rsidR="002F28AD">
        <w:rPr>
          <w:lang w:val="en-US"/>
        </w:rPr>
        <w:t> </w:t>
      </w:r>
      <w:proofErr w:type="spellStart"/>
      <w:r w:rsidRPr="001667EA">
        <w:t>eV</w:t>
      </w:r>
      <w:proofErr w:type="spellEnd"/>
      <w:r w:rsidRPr="001667EA">
        <w:t xml:space="preserve"> </w:t>
      </w:r>
      <w:proofErr w:type="spellStart"/>
      <w:r w:rsidRPr="001667EA">
        <w:t>for</w:t>
      </w:r>
      <w:proofErr w:type="spellEnd"/>
      <w:r w:rsidRPr="001667EA">
        <w:t xml:space="preserve"> p-</w:t>
      </w:r>
      <w:proofErr w:type="spellStart"/>
      <w:r w:rsidRPr="001667EA">
        <w:t>PbTe</w:t>
      </w:r>
      <w:proofErr w:type="spellEnd"/>
      <w:r w:rsidRPr="001667EA">
        <w:t xml:space="preserve"> </w:t>
      </w:r>
      <w:proofErr w:type="spellStart"/>
      <w:r w:rsidRPr="001667EA">
        <w:t>films</w:t>
      </w:r>
      <w:proofErr w:type="spellEnd"/>
      <w:r w:rsidRPr="001667EA">
        <w:t>.</w:t>
      </w:r>
      <w:r w:rsidR="006643A7">
        <w:t xml:space="preserve"> </w:t>
      </w:r>
      <w:proofErr w:type="spellStart"/>
      <w:r w:rsidRPr="001667EA">
        <w:t>It</w:t>
      </w:r>
      <w:proofErr w:type="spellEnd"/>
      <w:r w:rsidRPr="001667EA">
        <w:t xml:space="preserve"> </w:t>
      </w:r>
      <w:proofErr w:type="spellStart"/>
      <w:r w:rsidRPr="001667EA">
        <w:t>was</w:t>
      </w:r>
      <w:proofErr w:type="spellEnd"/>
      <w:r w:rsidRPr="001667EA">
        <w:t xml:space="preserve"> </w:t>
      </w:r>
      <w:proofErr w:type="spellStart"/>
      <w:r w:rsidRPr="001667EA">
        <w:t>demonstrated</w:t>
      </w:r>
      <w:proofErr w:type="spellEnd"/>
      <w:r w:rsidRPr="001667EA">
        <w:t xml:space="preserve"> </w:t>
      </w:r>
      <w:proofErr w:type="spellStart"/>
      <w:r w:rsidRPr="001667EA">
        <w:t>that</w:t>
      </w:r>
      <w:proofErr w:type="spellEnd"/>
      <w:r w:rsidRPr="001667EA">
        <w:t xml:space="preserve"> </w:t>
      </w:r>
      <w:proofErr w:type="spellStart"/>
      <w:r w:rsidRPr="001667EA">
        <w:t>the</w:t>
      </w:r>
      <w:proofErr w:type="spellEnd"/>
      <w:r w:rsidRPr="001667EA">
        <w:t xml:space="preserve"> </w:t>
      </w:r>
      <w:proofErr w:type="spellStart"/>
      <w:r w:rsidRPr="001667EA">
        <w:t>potential</w:t>
      </w:r>
      <w:proofErr w:type="spellEnd"/>
      <w:r w:rsidRPr="001667EA">
        <w:t xml:space="preserve"> </w:t>
      </w:r>
      <w:proofErr w:type="spellStart"/>
      <w:r w:rsidRPr="001667EA">
        <w:t>barrier</w:t>
      </w:r>
      <w:proofErr w:type="spellEnd"/>
      <w:r w:rsidRPr="001667EA">
        <w:t xml:space="preserve"> </w:t>
      </w:r>
      <w:proofErr w:type="spellStart"/>
      <w:r w:rsidRPr="001667EA">
        <w:t>model</w:t>
      </w:r>
      <w:proofErr w:type="spellEnd"/>
      <w:r w:rsidRPr="001667EA">
        <w:t xml:space="preserve"> </w:t>
      </w:r>
      <w:proofErr w:type="spellStart"/>
      <w:r w:rsidRPr="001667EA">
        <w:t>with</w:t>
      </w:r>
      <w:proofErr w:type="spellEnd"/>
      <w:r w:rsidRPr="001667EA">
        <w:t xml:space="preserve"> </w:t>
      </w:r>
      <w:proofErr w:type="spellStart"/>
      <w:r w:rsidRPr="001667EA">
        <w:t>traps</w:t>
      </w:r>
      <w:proofErr w:type="spellEnd"/>
      <w:r w:rsidRPr="001667EA">
        <w:t xml:space="preserve">, </w:t>
      </w:r>
      <w:proofErr w:type="spellStart"/>
      <w:r w:rsidRPr="001667EA">
        <w:t>considering</w:t>
      </w:r>
      <w:proofErr w:type="spellEnd"/>
      <w:r w:rsidRPr="001667EA">
        <w:t xml:space="preserve"> </w:t>
      </w:r>
      <w:proofErr w:type="spellStart"/>
      <w:r w:rsidRPr="001667EA">
        <w:t>thermionic</w:t>
      </w:r>
      <w:proofErr w:type="spellEnd"/>
      <w:r w:rsidRPr="001667EA">
        <w:t xml:space="preserve"> </w:t>
      </w:r>
      <w:proofErr w:type="spellStart"/>
      <w:r w:rsidRPr="001667EA">
        <w:t>emission</w:t>
      </w:r>
      <w:proofErr w:type="spellEnd"/>
      <w:r w:rsidRPr="001667EA">
        <w:t xml:space="preserve"> </w:t>
      </w:r>
      <w:proofErr w:type="spellStart"/>
      <w:r w:rsidRPr="001667EA">
        <w:t>of</w:t>
      </w:r>
      <w:proofErr w:type="spellEnd"/>
      <w:r w:rsidRPr="001667EA">
        <w:t xml:space="preserve"> </w:t>
      </w:r>
      <w:proofErr w:type="spellStart"/>
      <w:r w:rsidRPr="001667EA">
        <w:t>charge</w:t>
      </w:r>
      <w:proofErr w:type="spellEnd"/>
      <w:r w:rsidRPr="001667EA">
        <w:t xml:space="preserve"> </w:t>
      </w:r>
      <w:proofErr w:type="spellStart"/>
      <w:r w:rsidRPr="001667EA">
        <w:t>carriers</w:t>
      </w:r>
      <w:proofErr w:type="spellEnd"/>
      <w:r w:rsidRPr="001667EA">
        <w:t xml:space="preserve">, </w:t>
      </w:r>
      <w:proofErr w:type="spellStart"/>
      <w:r w:rsidRPr="001667EA">
        <w:t>effectively</w:t>
      </w:r>
      <w:proofErr w:type="spellEnd"/>
      <w:r w:rsidRPr="001667EA">
        <w:t xml:space="preserve"> </w:t>
      </w:r>
      <w:proofErr w:type="spellStart"/>
      <w:r w:rsidRPr="001667EA">
        <w:t>describes</w:t>
      </w:r>
      <w:proofErr w:type="spellEnd"/>
      <w:r w:rsidRPr="001667EA">
        <w:t xml:space="preserve"> </w:t>
      </w:r>
      <w:proofErr w:type="spellStart"/>
      <w:r w:rsidRPr="001667EA">
        <w:t>transport</w:t>
      </w:r>
      <w:proofErr w:type="spellEnd"/>
      <w:r w:rsidRPr="001667EA">
        <w:t xml:space="preserve"> </w:t>
      </w:r>
      <w:proofErr w:type="spellStart"/>
      <w:r w:rsidRPr="001667EA">
        <w:t>phenomena</w:t>
      </w:r>
      <w:proofErr w:type="spellEnd"/>
      <w:r w:rsidRPr="001667EA">
        <w:t xml:space="preserve"> </w:t>
      </w:r>
      <w:proofErr w:type="spellStart"/>
      <w:r w:rsidRPr="001667EA">
        <w:t>in</w:t>
      </w:r>
      <w:proofErr w:type="spellEnd"/>
      <w:r w:rsidRPr="001667EA">
        <w:t xml:space="preserve"> </w:t>
      </w:r>
      <w:proofErr w:type="spellStart"/>
      <w:r w:rsidRPr="001667EA">
        <w:t>these</w:t>
      </w:r>
      <w:proofErr w:type="spellEnd"/>
      <w:r w:rsidRPr="001667EA">
        <w:t xml:space="preserve"> </w:t>
      </w:r>
      <w:proofErr w:type="spellStart"/>
      <w:r w:rsidRPr="001667EA">
        <w:t>films</w:t>
      </w:r>
      <w:proofErr w:type="spellEnd"/>
      <w:r w:rsidRPr="001667EA">
        <w:t>.</w:t>
      </w:r>
      <w:r w:rsidR="006643A7">
        <w:t xml:space="preserve"> </w:t>
      </w:r>
      <w:proofErr w:type="spellStart"/>
      <w:r w:rsidRPr="001667EA">
        <w:t>The</w:t>
      </w:r>
      <w:proofErr w:type="spellEnd"/>
      <w:r w:rsidRPr="001667EA">
        <w:t xml:space="preserve"> </w:t>
      </w:r>
      <w:proofErr w:type="spellStart"/>
      <w:r w:rsidRPr="001667EA">
        <w:t>results</w:t>
      </w:r>
      <w:proofErr w:type="spellEnd"/>
      <w:r w:rsidRPr="001667EA">
        <w:t xml:space="preserve"> </w:t>
      </w:r>
      <w:proofErr w:type="spellStart"/>
      <w:r w:rsidRPr="001667EA">
        <w:t>provide</w:t>
      </w:r>
      <w:proofErr w:type="spellEnd"/>
      <w:r w:rsidRPr="001667EA">
        <w:t xml:space="preserve"> </w:t>
      </w:r>
      <w:proofErr w:type="spellStart"/>
      <w:r w:rsidRPr="001667EA">
        <w:t>insight</w:t>
      </w:r>
      <w:proofErr w:type="spellEnd"/>
      <w:r w:rsidRPr="001667EA">
        <w:t xml:space="preserve"> </w:t>
      </w:r>
      <w:proofErr w:type="spellStart"/>
      <w:r w:rsidRPr="001667EA">
        <w:t>into</w:t>
      </w:r>
      <w:proofErr w:type="spellEnd"/>
      <w:r w:rsidRPr="001667EA">
        <w:t xml:space="preserve"> </w:t>
      </w:r>
      <w:proofErr w:type="spellStart"/>
      <w:r w:rsidRPr="001667EA">
        <w:t>optimizing</w:t>
      </w:r>
      <w:proofErr w:type="spellEnd"/>
      <w:r w:rsidRPr="001667EA">
        <w:t xml:space="preserve"> </w:t>
      </w:r>
      <w:proofErr w:type="spellStart"/>
      <w:r w:rsidRPr="001667EA">
        <w:t>polycrystalline</w:t>
      </w:r>
      <w:proofErr w:type="spellEnd"/>
      <w:r w:rsidRPr="001667EA">
        <w:t xml:space="preserve"> </w:t>
      </w:r>
      <w:proofErr w:type="spellStart"/>
      <w:r w:rsidRPr="001667EA">
        <w:t>thin</w:t>
      </w:r>
      <w:proofErr w:type="spellEnd"/>
      <w:r w:rsidRPr="001667EA">
        <w:t xml:space="preserve"> </w:t>
      </w:r>
      <w:proofErr w:type="spellStart"/>
      <w:r w:rsidRPr="001667EA">
        <w:t>films</w:t>
      </w:r>
      <w:proofErr w:type="spellEnd"/>
      <w:r w:rsidRPr="001667EA">
        <w:t xml:space="preserve"> </w:t>
      </w:r>
      <w:proofErr w:type="spellStart"/>
      <w:r w:rsidRPr="001667EA">
        <w:t>for</w:t>
      </w:r>
      <w:proofErr w:type="spellEnd"/>
      <w:r w:rsidRPr="001667EA">
        <w:t xml:space="preserve"> </w:t>
      </w:r>
      <w:proofErr w:type="spellStart"/>
      <w:r w:rsidRPr="001667EA">
        <w:t>improved</w:t>
      </w:r>
      <w:proofErr w:type="spellEnd"/>
      <w:r w:rsidRPr="001667EA">
        <w:t xml:space="preserve"> </w:t>
      </w:r>
      <w:proofErr w:type="spellStart"/>
      <w:r w:rsidRPr="001667EA">
        <w:t>electronic</w:t>
      </w:r>
      <w:proofErr w:type="spellEnd"/>
      <w:r w:rsidRPr="001667EA">
        <w:t xml:space="preserve"> </w:t>
      </w:r>
      <w:proofErr w:type="spellStart"/>
      <w:r w:rsidRPr="001667EA">
        <w:t>and</w:t>
      </w:r>
      <w:proofErr w:type="spellEnd"/>
      <w:r w:rsidRPr="001667EA">
        <w:t xml:space="preserve"> </w:t>
      </w:r>
      <w:proofErr w:type="spellStart"/>
      <w:r w:rsidRPr="001667EA">
        <w:t>thermoelectric</w:t>
      </w:r>
      <w:proofErr w:type="spellEnd"/>
      <w:r w:rsidRPr="001667EA">
        <w:t xml:space="preserve"> </w:t>
      </w:r>
      <w:proofErr w:type="spellStart"/>
      <w:r w:rsidRPr="001667EA">
        <w:t>performance</w:t>
      </w:r>
      <w:proofErr w:type="spellEnd"/>
      <w:r w:rsidRPr="001667EA">
        <w:t xml:space="preserve">, </w:t>
      </w:r>
      <w:proofErr w:type="spellStart"/>
      <w:r w:rsidRPr="001667EA">
        <w:t>highlighting</w:t>
      </w:r>
      <w:proofErr w:type="spellEnd"/>
      <w:r w:rsidRPr="001667EA">
        <w:t xml:space="preserve"> </w:t>
      </w:r>
      <w:proofErr w:type="spellStart"/>
      <w:r w:rsidRPr="001667EA">
        <w:t>the</w:t>
      </w:r>
      <w:proofErr w:type="spellEnd"/>
      <w:r w:rsidRPr="001667EA">
        <w:t xml:space="preserve"> </w:t>
      </w:r>
      <w:proofErr w:type="spellStart"/>
      <w:r w:rsidRPr="001667EA">
        <w:t>role</w:t>
      </w:r>
      <w:proofErr w:type="spellEnd"/>
      <w:r w:rsidRPr="001667EA">
        <w:t xml:space="preserve"> </w:t>
      </w:r>
      <w:proofErr w:type="spellStart"/>
      <w:r w:rsidRPr="001667EA">
        <w:t>of</w:t>
      </w:r>
      <w:proofErr w:type="spellEnd"/>
      <w:r w:rsidRPr="001667EA">
        <w:t xml:space="preserve"> </w:t>
      </w:r>
      <w:proofErr w:type="spellStart"/>
      <w:r w:rsidRPr="001667EA">
        <w:t>microstructural</w:t>
      </w:r>
      <w:proofErr w:type="spellEnd"/>
      <w:r w:rsidRPr="001667EA">
        <w:t xml:space="preserve"> </w:t>
      </w:r>
      <w:proofErr w:type="spellStart"/>
      <w:r w:rsidRPr="001667EA">
        <w:t>control</w:t>
      </w:r>
      <w:proofErr w:type="spellEnd"/>
      <w:r w:rsidRPr="001667EA">
        <w:t xml:space="preserve"> </w:t>
      </w:r>
      <w:proofErr w:type="spellStart"/>
      <w:r w:rsidRPr="001667EA">
        <w:t>in</w:t>
      </w:r>
      <w:proofErr w:type="spellEnd"/>
      <w:r w:rsidRPr="001667EA">
        <w:t xml:space="preserve"> </w:t>
      </w:r>
      <w:proofErr w:type="spellStart"/>
      <w:r w:rsidRPr="001667EA">
        <w:t>enhancing</w:t>
      </w:r>
      <w:proofErr w:type="spellEnd"/>
      <w:r w:rsidRPr="001667EA">
        <w:t xml:space="preserve"> </w:t>
      </w:r>
      <w:proofErr w:type="spellStart"/>
      <w:r w:rsidRPr="001667EA">
        <w:t>material</w:t>
      </w:r>
      <w:proofErr w:type="spellEnd"/>
      <w:r w:rsidRPr="001667EA">
        <w:t xml:space="preserve"> </w:t>
      </w:r>
      <w:proofErr w:type="spellStart"/>
      <w:r w:rsidRPr="001667EA">
        <w:t>properties</w:t>
      </w:r>
      <w:proofErr w:type="spellEnd"/>
      <w:r w:rsidRPr="001667EA">
        <w:t>.</w:t>
      </w:r>
    </w:p>
    <w:p w14:paraId="24B7C912" w14:textId="77777777" w:rsidR="00E03152" w:rsidRPr="006F70F2" w:rsidRDefault="00E03152" w:rsidP="00E03152">
      <w:pPr>
        <w:spacing w:after="0" w:line="360" w:lineRule="auto"/>
        <w:ind w:firstLine="708"/>
        <w:jc w:val="center"/>
        <w:rPr>
          <w:b/>
          <w:bCs/>
          <w:sz w:val="24"/>
          <w:szCs w:val="24"/>
          <w:lang w:val="en-US"/>
        </w:rPr>
      </w:pPr>
      <w:proofErr w:type="spellStart"/>
      <w:r w:rsidRPr="006F70F2">
        <w:rPr>
          <w:b/>
          <w:bCs/>
          <w:sz w:val="24"/>
          <w:szCs w:val="24"/>
        </w:rPr>
        <w:t>References</w:t>
      </w:r>
      <w:proofErr w:type="spellEnd"/>
    </w:p>
    <w:p w14:paraId="304C0A23" w14:textId="5F2D34AC" w:rsidR="000D4C68" w:rsidRPr="006F70F2" w:rsidRDefault="007B3329" w:rsidP="005D20FD">
      <w:pPr>
        <w:spacing w:after="0" w:line="360" w:lineRule="auto"/>
        <w:ind w:firstLine="708"/>
        <w:jc w:val="both"/>
        <w:rPr>
          <w:sz w:val="24"/>
          <w:szCs w:val="24"/>
        </w:rPr>
      </w:pPr>
      <w:r w:rsidRPr="006F70F2">
        <w:rPr>
          <w:iCs/>
          <w:sz w:val="24"/>
          <w:szCs w:val="24"/>
          <w:lang w:bidi="en-US"/>
        </w:rPr>
        <w:t xml:space="preserve">1. </w:t>
      </w:r>
      <w:r w:rsidR="008F3804" w:rsidRPr="006F70F2">
        <w:rPr>
          <w:sz w:val="24"/>
          <w:szCs w:val="24"/>
          <w:lang w:val="en-US"/>
        </w:rPr>
        <w:t xml:space="preserve">F.F. Sizov. Solid solutions of lead and tin chalcogenides and photodetectors based on them. </w:t>
      </w:r>
      <w:r w:rsidR="008F3804" w:rsidRPr="006F70F2">
        <w:rPr>
          <w:i/>
          <w:iCs/>
          <w:sz w:val="24"/>
          <w:szCs w:val="24"/>
          <w:lang w:val="en-US"/>
        </w:rPr>
        <w:t>Foreign electronic equipment</w:t>
      </w:r>
      <w:r w:rsidR="00437332">
        <w:rPr>
          <w:i/>
          <w:iCs/>
          <w:sz w:val="24"/>
          <w:szCs w:val="24"/>
        </w:rPr>
        <w:t>,</w:t>
      </w:r>
      <w:r w:rsidR="008F3804" w:rsidRPr="006F70F2">
        <w:rPr>
          <w:sz w:val="24"/>
          <w:szCs w:val="24"/>
          <w:lang w:val="en-US"/>
        </w:rPr>
        <w:t xml:space="preserve"> 24, 31-48</w:t>
      </w:r>
      <w:r w:rsidR="001570C1">
        <w:rPr>
          <w:sz w:val="24"/>
          <w:szCs w:val="24"/>
        </w:rPr>
        <w:t>,</w:t>
      </w:r>
      <w:r w:rsidR="001570C1" w:rsidRPr="001570C1">
        <w:rPr>
          <w:sz w:val="24"/>
          <w:szCs w:val="24"/>
          <w:lang w:val="en-US"/>
        </w:rPr>
        <w:t xml:space="preserve"> </w:t>
      </w:r>
      <w:r w:rsidR="001570C1" w:rsidRPr="001570C1">
        <w:rPr>
          <w:sz w:val="24"/>
          <w:szCs w:val="24"/>
          <w:lang w:val="en-US"/>
        </w:rPr>
        <w:t>1977.</w:t>
      </w:r>
    </w:p>
    <w:p w14:paraId="28372B44" w14:textId="500A2DA6" w:rsidR="00604564" w:rsidRDefault="00F0573F" w:rsidP="00BD164E">
      <w:pPr>
        <w:spacing w:after="0" w:line="360" w:lineRule="auto"/>
        <w:ind w:firstLine="708"/>
        <w:jc w:val="both"/>
        <w:rPr>
          <w:sz w:val="24"/>
          <w:szCs w:val="24"/>
          <w:lang w:bidi="en-US"/>
        </w:rPr>
      </w:pPr>
      <w:r w:rsidRPr="006F70F2">
        <w:rPr>
          <w:sz w:val="24"/>
          <w:szCs w:val="24"/>
        </w:rPr>
        <w:t>2.</w:t>
      </w:r>
      <w:r w:rsidR="000D4C68" w:rsidRPr="006F70F2">
        <w:rPr>
          <w:sz w:val="24"/>
          <w:szCs w:val="24"/>
        </w:rPr>
        <w:t xml:space="preserve"> </w:t>
      </w:r>
      <w:r w:rsidR="00604564" w:rsidRPr="006F70F2">
        <w:rPr>
          <w:sz w:val="24"/>
          <w:szCs w:val="24"/>
          <w:lang w:val="en-US" w:bidi="en-US"/>
        </w:rPr>
        <w:t>T</w:t>
      </w:r>
      <w:r w:rsidR="00604564" w:rsidRPr="00437332">
        <w:rPr>
          <w:sz w:val="24"/>
          <w:szCs w:val="24"/>
          <w:lang w:bidi="en-US"/>
        </w:rPr>
        <w:t>.</w:t>
      </w:r>
      <w:r w:rsidR="00604564" w:rsidRPr="006F70F2">
        <w:rPr>
          <w:sz w:val="24"/>
          <w:szCs w:val="24"/>
          <w:lang w:val="en-US" w:bidi="en-US"/>
        </w:rPr>
        <w:t>M</w:t>
      </w:r>
      <w:r w:rsidR="00604564" w:rsidRPr="00437332">
        <w:rPr>
          <w:sz w:val="24"/>
          <w:szCs w:val="24"/>
          <w:lang w:bidi="en-US"/>
        </w:rPr>
        <w:t xml:space="preserve">. </w:t>
      </w:r>
      <w:r w:rsidR="00604564" w:rsidRPr="006F70F2">
        <w:rPr>
          <w:sz w:val="24"/>
          <w:szCs w:val="24"/>
          <w:lang w:val="en-US" w:bidi="en-US"/>
        </w:rPr>
        <w:t>Mazur</w:t>
      </w:r>
      <w:r w:rsidR="00604564" w:rsidRPr="00437332">
        <w:rPr>
          <w:sz w:val="24"/>
          <w:szCs w:val="24"/>
          <w:lang w:bidi="en-US"/>
        </w:rPr>
        <w:t xml:space="preserve">, </w:t>
      </w:r>
      <w:r w:rsidR="00604564" w:rsidRPr="006F70F2">
        <w:rPr>
          <w:sz w:val="24"/>
          <w:szCs w:val="24"/>
          <w:lang w:val="en-US" w:bidi="en-US"/>
        </w:rPr>
        <w:t>V</w:t>
      </w:r>
      <w:r w:rsidR="00604564" w:rsidRPr="00437332">
        <w:rPr>
          <w:sz w:val="24"/>
          <w:szCs w:val="24"/>
          <w:lang w:bidi="en-US"/>
        </w:rPr>
        <w:t>.</w:t>
      </w:r>
      <w:r w:rsidR="00604564" w:rsidRPr="006F70F2">
        <w:rPr>
          <w:sz w:val="24"/>
          <w:szCs w:val="24"/>
          <w:lang w:val="en-US" w:bidi="en-US"/>
        </w:rPr>
        <w:t>V</w:t>
      </w:r>
      <w:r w:rsidR="00604564" w:rsidRPr="00437332">
        <w:rPr>
          <w:sz w:val="24"/>
          <w:szCs w:val="24"/>
          <w:lang w:bidi="en-US"/>
        </w:rPr>
        <w:t xml:space="preserve">. </w:t>
      </w:r>
      <w:proofErr w:type="spellStart"/>
      <w:r w:rsidR="00604564" w:rsidRPr="006F70F2">
        <w:rPr>
          <w:sz w:val="24"/>
          <w:szCs w:val="24"/>
          <w:lang w:val="en-US" w:bidi="en-US"/>
        </w:rPr>
        <w:t>Prokopiv</w:t>
      </w:r>
      <w:proofErr w:type="spellEnd"/>
      <w:r w:rsidR="00604564" w:rsidRPr="00437332">
        <w:rPr>
          <w:sz w:val="24"/>
          <w:szCs w:val="24"/>
          <w:lang w:bidi="en-US"/>
        </w:rPr>
        <w:t>,</w:t>
      </w:r>
      <w:r w:rsidR="00604564" w:rsidRPr="006F70F2">
        <w:rPr>
          <w:sz w:val="24"/>
          <w:szCs w:val="24"/>
          <w:lang w:bidi="en-US"/>
        </w:rPr>
        <w:t xml:space="preserve"> </w:t>
      </w:r>
      <w:r w:rsidR="00604564" w:rsidRPr="006F70F2">
        <w:rPr>
          <w:sz w:val="24"/>
          <w:szCs w:val="24"/>
          <w:lang w:val="en-US" w:bidi="en-US"/>
        </w:rPr>
        <w:t>M</w:t>
      </w:r>
      <w:r w:rsidR="00604564" w:rsidRPr="00437332">
        <w:rPr>
          <w:sz w:val="24"/>
          <w:szCs w:val="24"/>
          <w:lang w:bidi="en-US"/>
        </w:rPr>
        <w:t>.</w:t>
      </w:r>
      <w:r w:rsidR="00604564" w:rsidRPr="006F70F2">
        <w:rPr>
          <w:sz w:val="24"/>
          <w:szCs w:val="24"/>
          <w:lang w:val="en-US" w:bidi="en-US"/>
        </w:rPr>
        <w:t>P</w:t>
      </w:r>
      <w:r w:rsidR="00604564" w:rsidRPr="00437332">
        <w:rPr>
          <w:sz w:val="24"/>
          <w:szCs w:val="24"/>
          <w:lang w:bidi="en-US"/>
        </w:rPr>
        <w:t xml:space="preserve">. </w:t>
      </w:r>
      <w:r w:rsidR="00604564" w:rsidRPr="006F70F2">
        <w:rPr>
          <w:sz w:val="24"/>
          <w:szCs w:val="24"/>
          <w:lang w:val="en-US" w:bidi="en-US"/>
        </w:rPr>
        <w:t>Mazur</w:t>
      </w:r>
      <w:r w:rsidR="00604564" w:rsidRPr="00437332">
        <w:rPr>
          <w:sz w:val="24"/>
          <w:szCs w:val="24"/>
          <w:lang w:bidi="en-US"/>
        </w:rPr>
        <w:t>,</w:t>
      </w:r>
      <w:r w:rsidR="00604564" w:rsidRPr="006F70F2">
        <w:rPr>
          <w:sz w:val="24"/>
          <w:szCs w:val="24"/>
          <w:lang w:bidi="en-US"/>
        </w:rPr>
        <w:t xml:space="preserve"> </w:t>
      </w:r>
      <w:r w:rsidR="00604564" w:rsidRPr="006F70F2">
        <w:rPr>
          <w:sz w:val="24"/>
          <w:szCs w:val="24"/>
          <w:lang w:val="en-US" w:bidi="en-US"/>
        </w:rPr>
        <w:t>U</w:t>
      </w:r>
      <w:r w:rsidR="00604564" w:rsidRPr="00437332">
        <w:rPr>
          <w:sz w:val="24"/>
          <w:szCs w:val="24"/>
          <w:lang w:bidi="en-US"/>
        </w:rPr>
        <w:t>.</w:t>
      </w:r>
      <w:r w:rsidR="00604564" w:rsidRPr="006F70F2">
        <w:rPr>
          <w:sz w:val="24"/>
          <w:szCs w:val="24"/>
          <w:lang w:val="en-US" w:bidi="en-US"/>
        </w:rPr>
        <w:t>M</w:t>
      </w:r>
      <w:r w:rsidR="00604564" w:rsidRPr="00437332">
        <w:rPr>
          <w:sz w:val="24"/>
          <w:szCs w:val="24"/>
          <w:lang w:bidi="en-US"/>
        </w:rPr>
        <w:t xml:space="preserve">. </w:t>
      </w:r>
      <w:proofErr w:type="spellStart"/>
      <w:r w:rsidR="00604564" w:rsidRPr="006F70F2">
        <w:rPr>
          <w:sz w:val="24"/>
          <w:szCs w:val="24"/>
          <w:lang w:val="en-US" w:bidi="en-US"/>
        </w:rPr>
        <w:t>Pysklynets</w:t>
      </w:r>
      <w:proofErr w:type="spellEnd"/>
      <w:r w:rsidR="00437332">
        <w:rPr>
          <w:sz w:val="24"/>
          <w:szCs w:val="24"/>
          <w:lang w:bidi="en-US"/>
        </w:rPr>
        <w:t>.</w:t>
      </w:r>
      <w:r w:rsidR="00604564" w:rsidRPr="00437332">
        <w:rPr>
          <w:sz w:val="24"/>
          <w:szCs w:val="24"/>
          <w:lang w:bidi="en-US"/>
        </w:rPr>
        <w:t xml:space="preserve"> </w:t>
      </w:r>
      <w:r w:rsidR="00604564" w:rsidRPr="006F70F2">
        <w:rPr>
          <w:bCs/>
          <w:sz w:val="24"/>
          <w:szCs w:val="24"/>
          <w:lang w:val="en-US" w:bidi="en-US"/>
        </w:rPr>
        <w:t>Solar cells based on CdTe thin films</w:t>
      </w:r>
      <w:r w:rsidR="00501645">
        <w:rPr>
          <w:bCs/>
          <w:sz w:val="24"/>
          <w:szCs w:val="24"/>
          <w:lang w:bidi="en-US"/>
        </w:rPr>
        <w:t>.</w:t>
      </w:r>
      <w:r w:rsidR="00604564" w:rsidRPr="006F70F2">
        <w:rPr>
          <w:bCs/>
          <w:sz w:val="24"/>
          <w:szCs w:val="24"/>
          <w:lang w:val="en-US"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Physics</w:t>
      </w:r>
      <w:proofErr w:type="spellEnd"/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and</w:t>
      </w:r>
      <w:proofErr w:type="spellEnd"/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chemistry</w:t>
      </w:r>
      <w:proofErr w:type="spellEnd"/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of</w:t>
      </w:r>
      <w:proofErr w:type="spellEnd"/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solid</w:t>
      </w:r>
      <w:proofErr w:type="spellEnd"/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proofErr w:type="spellStart"/>
      <w:r w:rsidR="00604564" w:rsidRPr="006F70F2">
        <w:rPr>
          <w:i/>
          <w:iCs/>
          <w:sz w:val="24"/>
          <w:szCs w:val="24"/>
          <w:lang w:bidi="en-US"/>
        </w:rPr>
        <w:t>state</w:t>
      </w:r>
      <w:proofErr w:type="spellEnd"/>
      <w:r w:rsidR="00437332">
        <w:rPr>
          <w:i/>
          <w:iCs/>
          <w:sz w:val="24"/>
          <w:szCs w:val="24"/>
          <w:lang w:bidi="en-US"/>
        </w:rPr>
        <w:t>,</w:t>
      </w:r>
      <w:r w:rsidR="00604564" w:rsidRPr="006F70F2">
        <w:rPr>
          <w:i/>
          <w:iCs/>
          <w:sz w:val="24"/>
          <w:szCs w:val="24"/>
          <w:lang w:bidi="en-US"/>
        </w:rPr>
        <w:t xml:space="preserve"> </w:t>
      </w:r>
      <w:r w:rsidR="00604564" w:rsidRPr="006F70F2">
        <w:rPr>
          <w:sz w:val="24"/>
          <w:szCs w:val="24"/>
          <w:lang w:bidi="en-US"/>
        </w:rPr>
        <w:t>22</w:t>
      </w:r>
      <w:r w:rsidR="009D729F">
        <w:rPr>
          <w:sz w:val="24"/>
          <w:szCs w:val="24"/>
          <w:lang w:bidi="en-US"/>
        </w:rPr>
        <w:t>(</w:t>
      </w:r>
      <w:r w:rsidR="00604564" w:rsidRPr="006F70F2">
        <w:rPr>
          <w:sz w:val="24"/>
          <w:szCs w:val="24"/>
          <w:lang w:bidi="en-US"/>
        </w:rPr>
        <w:t>4</w:t>
      </w:r>
      <w:r w:rsidR="009D729F">
        <w:rPr>
          <w:sz w:val="24"/>
          <w:szCs w:val="24"/>
          <w:lang w:bidi="en-US"/>
        </w:rPr>
        <w:t>)</w:t>
      </w:r>
      <w:r w:rsidR="00501645">
        <w:rPr>
          <w:sz w:val="24"/>
          <w:szCs w:val="24"/>
          <w:lang w:bidi="en-US"/>
        </w:rPr>
        <w:t>,</w:t>
      </w:r>
      <w:r w:rsidR="00501645" w:rsidRPr="00501645">
        <w:t xml:space="preserve"> </w:t>
      </w:r>
      <w:r w:rsidR="00501645" w:rsidRPr="00501645">
        <w:rPr>
          <w:sz w:val="24"/>
          <w:szCs w:val="24"/>
          <w:lang w:bidi="en-US"/>
        </w:rPr>
        <w:t>817–827</w:t>
      </w:r>
      <w:r w:rsidR="00501645">
        <w:rPr>
          <w:sz w:val="24"/>
          <w:szCs w:val="24"/>
          <w:lang w:bidi="en-US"/>
        </w:rPr>
        <w:t>,</w:t>
      </w:r>
      <w:r w:rsidR="00604564" w:rsidRPr="006F70F2">
        <w:rPr>
          <w:sz w:val="24"/>
          <w:szCs w:val="24"/>
          <w:lang w:bidi="en-US"/>
        </w:rPr>
        <w:t xml:space="preserve"> </w:t>
      </w:r>
      <w:r w:rsidR="001570C1" w:rsidRPr="006F70F2">
        <w:rPr>
          <w:sz w:val="24"/>
          <w:szCs w:val="24"/>
          <w:lang w:bidi="en-US"/>
        </w:rPr>
        <w:t>2021</w:t>
      </w:r>
      <w:r w:rsidR="001570C1">
        <w:rPr>
          <w:sz w:val="24"/>
          <w:szCs w:val="24"/>
          <w:lang w:bidi="en-US"/>
        </w:rPr>
        <w:t>.</w:t>
      </w:r>
      <w:r w:rsidR="007356EE" w:rsidRPr="007356EE">
        <w:t xml:space="preserve"> </w:t>
      </w:r>
      <w:hyperlink r:id="rId10" w:history="1">
        <w:r w:rsidR="007356EE" w:rsidRPr="00E271BB">
          <w:rPr>
            <w:rStyle w:val="a3"/>
            <w:sz w:val="24"/>
            <w:szCs w:val="24"/>
            <w:lang w:bidi="en-US"/>
          </w:rPr>
          <w:t>https://doi.org/10.15330/pcss.22.4.817-827</w:t>
        </w:r>
      </w:hyperlink>
      <w:r w:rsidR="00501645">
        <w:rPr>
          <w:sz w:val="24"/>
          <w:szCs w:val="24"/>
          <w:lang w:bidi="en-US"/>
        </w:rPr>
        <w:t>.</w:t>
      </w:r>
    </w:p>
    <w:p w14:paraId="1B1205B5" w14:textId="02F1DD94" w:rsidR="008B23B2" w:rsidRPr="006F70F2" w:rsidRDefault="000D4C68" w:rsidP="00BD164E">
      <w:pPr>
        <w:spacing w:after="0" w:line="360" w:lineRule="auto"/>
        <w:ind w:firstLine="708"/>
        <w:jc w:val="both"/>
        <w:rPr>
          <w:sz w:val="24"/>
          <w:szCs w:val="24"/>
          <w:lang w:val="en-US"/>
        </w:rPr>
      </w:pPr>
      <w:r w:rsidRPr="006F70F2">
        <w:rPr>
          <w:sz w:val="24"/>
          <w:szCs w:val="24"/>
          <w:lang w:bidi="en-US"/>
        </w:rPr>
        <w:t>3</w:t>
      </w:r>
      <w:r w:rsidR="003B54FB" w:rsidRPr="006F70F2">
        <w:rPr>
          <w:sz w:val="24"/>
          <w:szCs w:val="24"/>
          <w:lang w:bidi="en-US"/>
        </w:rPr>
        <w:t>.</w:t>
      </w:r>
      <w:r w:rsidR="002A7213" w:rsidRPr="006F70F2">
        <w:rPr>
          <w:sz w:val="24"/>
          <w:szCs w:val="24"/>
          <w:lang w:bidi="en-US"/>
        </w:rPr>
        <w:t xml:space="preserve"> </w:t>
      </w:r>
      <w:r w:rsidR="00877B99" w:rsidRPr="00432C03">
        <w:rPr>
          <w:sz w:val="24"/>
          <w:szCs w:val="24"/>
          <w:lang w:val="pl-PL" w:bidi="en-US"/>
        </w:rPr>
        <w:t>D.M. Freik, B. S. Dzundza, G. D. Mateik, Yu. V. Klanichka</w:t>
      </w:r>
      <w:r w:rsidR="00432C03">
        <w:rPr>
          <w:sz w:val="24"/>
          <w:szCs w:val="24"/>
          <w:lang w:bidi="en-US"/>
        </w:rPr>
        <w:t>.</w:t>
      </w:r>
      <w:r w:rsidR="00877B99" w:rsidRPr="00432C03">
        <w:rPr>
          <w:sz w:val="24"/>
          <w:szCs w:val="24"/>
          <w:lang w:val="pl-PL" w:bidi="en-US"/>
        </w:rPr>
        <w:t xml:space="preserve"> </w:t>
      </w:r>
      <w:r w:rsidR="00877B99" w:rsidRPr="006F70F2">
        <w:rPr>
          <w:sz w:val="24"/>
          <w:szCs w:val="24"/>
          <w:lang w:val="en-US" w:bidi="en-US"/>
        </w:rPr>
        <w:t>Charge Carrier Transport in Low-disperse Cadmium and Lead Tellurides Films.</w:t>
      </w:r>
      <w:r w:rsidR="00877B99" w:rsidRPr="006F70F2">
        <w:rPr>
          <w:i/>
          <w:iCs/>
          <w:sz w:val="24"/>
          <w:szCs w:val="24"/>
          <w:lang w:val="en-US" w:bidi="en-US"/>
        </w:rPr>
        <w:t xml:space="preserve"> Physics and chemistry of solid state</w:t>
      </w:r>
      <w:r w:rsidR="00437332">
        <w:rPr>
          <w:i/>
          <w:iCs/>
          <w:sz w:val="24"/>
          <w:szCs w:val="24"/>
          <w:lang w:bidi="en-US"/>
        </w:rPr>
        <w:t>,</w:t>
      </w:r>
      <w:r w:rsidR="00877B99" w:rsidRPr="006F70F2">
        <w:rPr>
          <w:sz w:val="24"/>
          <w:szCs w:val="24"/>
          <w:lang w:val="en-US" w:bidi="en-US"/>
        </w:rPr>
        <w:t xml:space="preserve"> 7</w:t>
      </w:r>
      <w:r w:rsidR="001570C1">
        <w:rPr>
          <w:sz w:val="24"/>
          <w:szCs w:val="24"/>
          <w:lang w:bidi="en-US"/>
        </w:rPr>
        <w:t>(</w:t>
      </w:r>
      <w:r w:rsidR="00877B99" w:rsidRPr="006F70F2">
        <w:rPr>
          <w:sz w:val="24"/>
          <w:szCs w:val="24"/>
          <w:lang w:val="en-US" w:bidi="en-US"/>
        </w:rPr>
        <w:t>2</w:t>
      </w:r>
      <w:r w:rsidR="001570C1">
        <w:rPr>
          <w:sz w:val="24"/>
          <w:szCs w:val="24"/>
          <w:lang w:bidi="en-US"/>
        </w:rPr>
        <w:t>),</w:t>
      </w:r>
      <w:r w:rsidR="00877B99" w:rsidRPr="006F70F2">
        <w:rPr>
          <w:sz w:val="24"/>
          <w:szCs w:val="24"/>
          <w:lang w:val="en-US" w:bidi="en-US"/>
        </w:rPr>
        <w:t xml:space="preserve"> 245-248</w:t>
      </w:r>
      <w:r w:rsidR="00432C03">
        <w:rPr>
          <w:sz w:val="24"/>
          <w:szCs w:val="24"/>
          <w:lang w:bidi="en-US"/>
        </w:rPr>
        <w:t xml:space="preserve">, </w:t>
      </w:r>
      <w:r w:rsidR="00432C03" w:rsidRPr="006F70F2">
        <w:rPr>
          <w:sz w:val="24"/>
          <w:szCs w:val="24"/>
          <w:lang w:val="en-US" w:bidi="en-US"/>
        </w:rPr>
        <w:t>2006.</w:t>
      </w:r>
    </w:p>
    <w:p w14:paraId="15068B3B" w14:textId="6714DFBF" w:rsidR="00877B99" w:rsidRPr="00877B99" w:rsidRDefault="00877B99" w:rsidP="00BD164E">
      <w:pPr>
        <w:spacing w:after="0" w:line="360" w:lineRule="auto"/>
        <w:ind w:firstLine="708"/>
        <w:jc w:val="both"/>
        <w:rPr>
          <w:sz w:val="24"/>
          <w:szCs w:val="24"/>
          <w:lang w:val="en-US"/>
        </w:rPr>
      </w:pPr>
      <w:r w:rsidRPr="006F70F2">
        <w:rPr>
          <w:sz w:val="24"/>
          <w:szCs w:val="24"/>
          <w:lang w:val="en-US"/>
        </w:rPr>
        <w:t xml:space="preserve">4. </w:t>
      </w:r>
      <w:r w:rsidR="00B04171" w:rsidRPr="006F70F2">
        <w:rPr>
          <w:sz w:val="24"/>
          <w:szCs w:val="24"/>
          <w:lang w:val="en-US"/>
        </w:rPr>
        <w:t>O.A.</w:t>
      </w:r>
      <w:r w:rsidR="00B04171" w:rsidRPr="006F70F2">
        <w:rPr>
          <w:sz w:val="24"/>
          <w:szCs w:val="24"/>
        </w:rPr>
        <w:t xml:space="preserve"> </w:t>
      </w:r>
      <w:r w:rsidR="00B04171" w:rsidRPr="006F70F2">
        <w:rPr>
          <w:sz w:val="24"/>
          <w:szCs w:val="24"/>
          <w:lang w:val="en-US"/>
        </w:rPr>
        <w:t xml:space="preserve">Alexandrova, R.Ts. </w:t>
      </w:r>
      <w:proofErr w:type="spellStart"/>
      <w:r w:rsidR="00B04171" w:rsidRPr="006F70F2">
        <w:rPr>
          <w:sz w:val="24"/>
          <w:szCs w:val="24"/>
          <w:lang w:val="en-US"/>
        </w:rPr>
        <w:t>Bondokov</w:t>
      </w:r>
      <w:proofErr w:type="spellEnd"/>
      <w:r w:rsidR="00B04171" w:rsidRPr="006F70F2">
        <w:rPr>
          <w:sz w:val="24"/>
          <w:szCs w:val="24"/>
          <w:lang w:val="en-US"/>
        </w:rPr>
        <w:t xml:space="preserve">, N.V. </w:t>
      </w:r>
      <w:proofErr w:type="spellStart"/>
      <w:r w:rsidR="00B04171" w:rsidRPr="006F70F2">
        <w:rPr>
          <w:sz w:val="24"/>
          <w:szCs w:val="24"/>
          <w:lang w:val="en-US"/>
        </w:rPr>
        <w:t>Saunin</w:t>
      </w:r>
      <w:proofErr w:type="spellEnd"/>
      <w:r w:rsidR="00B04171" w:rsidRPr="006F70F2">
        <w:rPr>
          <w:sz w:val="24"/>
          <w:szCs w:val="24"/>
          <w:lang w:val="en-US"/>
        </w:rPr>
        <w:t xml:space="preserve">, </w:t>
      </w:r>
      <w:proofErr w:type="spellStart"/>
      <w:r w:rsidR="00B04171" w:rsidRPr="006F70F2">
        <w:rPr>
          <w:sz w:val="24"/>
          <w:szCs w:val="24"/>
          <w:lang w:val="en-US"/>
        </w:rPr>
        <w:t>Yu.M</w:t>
      </w:r>
      <w:proofErr w:type="spellEnd"/>
      <w:r w:rsidR="00B04171" w:rsidRPr="006F70F2">
        <w:rPr>
          <w:sz w:val="24"/>
          <w:szCs w:val="24"/>
          <w:lang w:val="en-US"/>
        </w:rPr>
        <w:t>. Tairov. Mobility of charge carriers in two-layer structures PbTe/</w:t>
      </w:r>
      <w:proofErr w:type="spellStart"/>
      <w:r w:rsidR="00B04171" w:rsidRPr="006F70F2">
        <w:rPr>
          <w:sz w:val="24"/>
          <w:szCs w:val="24"/>
          <w:lang w:val="en-US"/>
        </w:rPr>
        <w:t>PbS</w:t>
      </w:r>
      <w:proofErr w:type="spellEnd"/>
      <w:r w:rsidR="00B04171" w:rsidRPr="006F70F2">
        <w:rPr>
          <w:sz w:val="24"/>
          <w:szCs w:val="24"/>
          <w:lang w:val="en-US"/>
        </w:rPr>
        <w:t xml:space="preserve">. </w:t>
      </w:r>
      <w:r w:rsidR="00B04171" w:rsidRPr="006F70F2">
        <w:rPr>
          <w:i/>
          <w:iCs/>
          <w:sz w:val="24"/>
          <w:szCs w:val="24"/>
          <w:lang w:val="en-US"/>
        </w:rPr>
        <w:t>Physics and technology of semiconductors</w:t>
      </w:r>
      <w:r w:rsidR="00437332">
        <w:rPr>
          <w:i/>
          <w:iCs/>
          <w:sz w:val="24"/>
          <w:szCs w:val="24"/>
        </w:rPr>
        <w:t>,</w:t>
      </w:r>
      <w:r w:rsidR="00B04171" w:rsidRPr="006F70F2">
        <w:rPr>
          <w:sz w:val="24"/>
          <w:szCs w:val="24"/>
          <w:lang w:val="en-US"/>
        </w:rPr>
        <w:t xml:space="preserve"> 32(9), 1064–1068</w:t>
      </w:r>
      <w:r w:rsidR="00432C03">
        <w:rPr>
          <w:sz w:val="24"/>
          <w:szCs w:val="24"/>
        </w:rPr>
        <w:t>,</w:t>
      </w:r>
      <w:r w:rsidR="00432C03" w:rsidRPr="00432C03">
        <w:rPr>
          <w:sz w:val="24"/>
          <w:szCs w:val="24"/>
          <w:lang w:val="en-US"/>
        </w:rPr>
        <w:t xml:space="preserve"> </w:t>
      </w:r>
      <w:r w:rsidR="00432C03" w:rsidRPr="006F70F2">
        <w:rPr>
          <w:sz w:val="24"/>
          <w:szCs w:val="24"/>
          <w:lang w:val="en-US"/>
        </w:rPr>
        <w:t>1998.</w:t>
      </w:r>
    </w:p>
    <w:sectPr w:rsidR="00877B99" w:rsidRPr="00877B99" w:rsidSect="001742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3A6B" w14:textId="77777777" w:rsidR="00174260" w:rsidRDefault="00174260" w:rsidP="00704AA9">
      <w:pPr>
        <w:spacing w:after="0" w:line="240" w:lineRule="auto"/>
      </w:pPr>
      <w:r>
        <w:separator/>
      </w:r>
    </w:p>
  </w:endnote>
  <w:endnote w:type="continuationSeparator" w:id="0">
    <w:p w14:paraId="6B6DAF94" w14:textId="77777777" w:rsidR="00174260" w:rsidRDefault="00174260" w:rsidP="0070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A111" w14:textId="77777777" w:rsidR="00174260" w:rsidRDefault="00174260" w:rsidP="00704AA9">
      <w:pPr>
        <w:spacing w:after="0" w:line="240" w:lineRule="auto"/>
      </w:pPr>
      <w:r>
        <w:separator/>
      </w:r>
    </w:p>
  </w:footnote>
  <w:footnote w:type="continuationSeparator" w:id="0">
    <w:p w14:paraId="7B0069C5" w14:textId="77777777" w:rsidR="00174260" w:rsidRDefault="00174260" w:rsidP="0070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01C5"/>
    <w:multiLevelType w:val="multilevel"/>
    <w:tmpl w:val="32B2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B1DB1"/>
    <w:multiLevelType w:val="multilevel"/>
    <w:tmpl w:val="82A0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817544">
    <w:abstractNumId w:val="0"/>
  </w:num>
  <w:num w:numId="2" w16cid:durableId="204605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6"/>
    <w:rsid w:val="00001DF5"/>
    <w:rsid w:val="00004A03"/>
    <w:rsid w:val="00005F39"/>
    <w:rsid w:val="000120ED"/>
    <w:rsid w:val="00013CA7"/>
    <w:rsid w:val="00015121"/>
    <w:rsid w:val="00020E99"/>
    <w:rsid w:val="00023986"/>
    <w:rsid w:val="00024316"/>
    <w:rsid w:val="000245AF"/>
    <w:rsid w:val="00030F90"/>
    <w:rsid w:val="00042B84"/>
    <w:rsid w:val="00047DC3"/>
    <w:rsid w:val="000503A4"/>
    <w:rsid w:val="00060962"/>
    <w:rsid w:val="000704AD"/>
    <w:rsid w:val="00074609"/>
    <w:rsid w:val="00077D15"/>
    <w:rsid w:val="00080F8B"/>
    <w:rsid w:val="00091B8E"/>
    <w:rsid w:val="00092DA6"/>
    <w:rsid w:val="000B74A3"/>
    <w:rsid w:val="000C58A7"/>
    <w:rsid w:val="000D4C68"/>
    <w:rsid w:val="000D6357"/>
    <w:rsid w:val="000E441C"/>
    <w:rsid w:val="00105EEF"/>
    <w:rsid w:val="00112FEF"/>
    <w:rsid w:val="00114277"/>
    <w:rsid w:val="00115013"/>
    <w:rsid w:val="00117A82"/>
    <w:rsid w:val="001224EE"/>
    <w:rsid w:val="0012362A"/>
    <w:rsid w:val="001303C1"/>
    <w:rsid w:val="00130890"/>
    <w:rsid w:val="001374EB"/>
    <w:rsid w:val="00140B28"/>
    <w:rsid w:val="0014316A"/>
    <w:rsid w:val="001439FE"/>
    <w:rsid w:val="0014435A"/>
    <w:rsid w:val="00144F7F"/>
    <w:rsid w:val="00150FDC"/>
    <w:rsid w:val="00153C95"/>
    <w:rsid w:val="0015413D"/>
    <w:rsid w:val="00154671"/>
    <w:rsid w:val="00155934"/>
    <w:rsid w:val="00156DAF"/>
    <w:rsid w:val="001570C1"/>
    <w:rsid w:val="001645F2"/>
    <w:rsid w:val="001667EA"/>
    <w:rsid w:val="001706EE"/>
    <w:rsid w:val="00172E92"/>
    <w:rsid w:val="001739AC"/>
    <w:rsid w:val="00174260"/>
    <w:rsid w:val="00176BE4"/>
    <w:rsid w:val="00181E31"/>
    <w:rsid w:val="00182C86"/>
    <w:rsid w:val="001851E8"/>
    <w:rsid w:val="00193722"/>
    <w:rsid w:val="00194EA0"/>
    <w:rsid w:val="00197D56"/>
    <w:rsid w:val="001A1647"/>
    <w:rsid w:val="001A5A41"/>
    <w:rsid w:val="001B2119"/>
    <w:rsid w:val="001B36AC"/>
    <w:rsid w:val="001B7A20"/>
    <w:rsid w:val="001C4678"/>
    <w:rsid w:val="001C4BDA"/>
    <w:rsid w:val="001C4C39"/>
    <w:rsid w:val="001C5962"/>
    <w:rsid w:val="001D0558"/>
    <w:rsid w:val="001D17AE"/>
    <w:rsid w:val="001D22AF"/>
    <w:rsid w:val="001D4769"/>
    <w:rsid w:val="001E08EE"/>
    <w:rsid w:val="001E2F32"/>
    <w:rsid w:val="001E5551"/>
    <w:rsid w:val="001E6CF2"/>
    <w:rsid w:val="001F04A1"/>
    <w:rsid w:val="001F05A5"/>
    <w:rsid w:val="001F31AE"/>
    <w:rsid w:val="001F7049"/>
    <w:rsid w:val="002012EA"/>
    <w:rsid w:val="002032E6"/>
    <w:rsid w:val="002051A0"/>
    <w:rsid w:val="00206AC3"/>
    <w:rsid w:val="00207F47"/>
    <w:rsid w:val="00214E06"/>
    <w:rsid w:val="00214E31"/>
    <w:rsid w:val="002160F1"/>
    <w:rsid w:val="00217B6C"/>
    <w:rsid w:val="0022013B"/>
    <w:rsid w:val="00221985"/>
    <w:rsid w:val="002332ED"/>
    <w:rsid w:val="0023542A"/>
    <w:rsid w:val="002355EF"/>
    <w:rsid w:val="00236F63"/>
    <w:rsid w:val="002435F0"/>
    <w:rsid w:val="002440E4"/>
    <w:rsid w:val="002450D0"/>
    <w:rsid w:val="00247E44"/>
    <w:rsid w:val="00251E51"/>
    <w:rsid w:val="00252D29"/>
    <w:rsid w:val="0025536F"/>
    <w:rsid w:val="00263A08"/>
    <w:rsid w:val="0027127F"/>
    <w:rsid w:val="00272294"/>
    <w:rsid w:val="00274CA2"/>
    <w:rsid w:val="002756DB"/>
    <w:rsid w:val="00276042"/>
    <w:rsid w:val="002773D2"/>
    <w:rsid w:val="002774B7"/>
    <w:rsid w:val="00283BC7"/>
    <w:rsid w:val="00284D12"/>
    <w:rsid w:val="00287877"/>
    <w:rsid w:val="00293749"/>
    <w:rsid w:val="00294A7B"/>
    <w:rsid w:val="0029545F"/>
    <w:rsid w:val="002963C2"/>
    <w:rsid w:val="002A413E"/>
    <w:rsid w:val="002A5BA4"/>
    <w:rsid w:val="002A7213"/>
    <w:rsid w:val="002B310E"/>
    <w:rsid w:val="002B4E76"/>
    <w:rsid w:val="002B536D"/>
    <w:rsid w:val="002B72C8"/>
    <w:rsid w:val="002C1B57"/>
    <w:rsid w:val="002C5380"/>
    <w:rsid w:val="002D2795"/>
    <w:rsid w:val="002D3E0F"/>
    <w:rsid w:val="002D58CE"/>
    <w:rsid w:val="002D693A"/>
    <w:rsid w:val="002E6B1B"/>
    <w:rsid w:val="002F28AD"/>
    <w:rsid w:val="002F4D75"/>
    <w:rsid w:val="002F6077"/>
    <w:rsid w:val="00302462"/>
    <w:rsid w:val="00312154"/>
    <w:rsid w:val="0032008C"/>
    <w:rsid w:val="0032281D"/>
    <w:rsid w:val="00322C88"/>
    <w:rsid w:val="0032304C"/>
    <w:rsid w:val="00327B30"/>
    <w:rsid w:val="003352AB"/>
    <w:rsid w:val="00336196"/>
    <w:rsid w:val="003525E4"/>
    <w:rsid w:val="00353C00"/>
    <w:rsid w:val="00354B45"/>
    <w:rsid w:val="003631BA"/>
    <w:rsid w:val="00371167"/>
    <w:rsid w:val="0037160A"/>
    <w:rsid w:val="00374601"/>
    <w:rsid w:val="00374FA5"/>
    <w:rsid w:val="00381535"/>
    <w:rsid w:val="003837B4"/>
    <w:rsid w:val="0038740B"/>
    <w:rsid w:val="00393F44"/>
    <w:rsid w:val="00394B5A"/>
    <w:rsid w:val="003978E5"/>
    <w:rsid w:val="003A1D8E"/>
    <w:rsid w:val="003A2DD3"/>
    <w:rsid w:val="003A440A"/>
    <w:rsid w:val="003A44B7"/>
    <w:rsid w:val="003A6815"/>
    <w:rsid w:val="003B0DA1"/>
    <w:rsid w:val="003B54FB"/>
    <w:rsid w:val="003B5CF4"/>
    <w:rsid w:val="003B67E9"/>
    <w:rsid w:val="003B6CC0"/>
    <w:rsid w:val="003B6F02"/>
    <w:rsid w:val="003C7D2C"/>
    <w:rsid w:val="003C7F18"/>
    <w:rsid w:val="003E60B0"/>
    <w:rsid w:val="003E65B7"/>
    <w:rsid w:val="003E7944"/>
    <w:rsid w:val="003E7E89"/>
    <w:rsid w:val="003F0AA9"/>
    <w:rsid w:val="003F3295"/>
    <w:rsid w:val="003F53F1"/>
    <w:rsid w:val="00403444"/>
    <w:rsid w:val="004052CC"/>
    <w:rsid w:val="00415908"/>
    <w:rsid w:val="00416C10"/>
    <w:rsid w:val="00417A5A"/>
    <w:rsid w:val="00421E5B"/>
    <w:rsid w:val="00421FD4"/>
    <w:rsid w:val="00425681"/>
    <w:rsid w:val="00430A57"/>
    <w:rsid w:val="00430F97"/>
    <w:rsid w:val="00432C03"/>
    <w:rsid w:val="00437332"/>
    <w:rsid w:val="00452283"/>
    <w:rsid w:val="00457C2E"/>
    <w:rsid w:val="00461D2A"/>
    <w:rsid w:val="004634B8"/>
    <w:rsid w:val="004637C1"/>
    <w:rsid w:val="0046498F"/>
    <w:rsid w:val="0046735E"/>
    <w:rsid w:val="00480CA0"/>
    <w:rsid w:val="004822CB"/>
    <w:rsid w:val="00483B0C"/>
    <w:rsid w:val="00483EB2"/>
    <w:rsid w:val="00483F7F"/>
    <w:rsid w:val="004844CD"/>
    <w:rsid w:val="00491D9D"/>
    <w:rsid w:val="0049355C"/>
    <w:rsid w:val="004A14C8"/>
    <w:rsid w:val="004A2094"/>
    <w:rsid w:val="004A5F89"/>
    <w:rsid w:val="004A6AD5"/>
    <w:rsid w:val="004B241A"/>
    <w:rsid w:val="004B52FE"/>
    <w:rsid w:val="004C0435"/>
    <w:rsid w:val="004C25D5"/>
    <w:rsid w:val="004C3289"/>
    <w:rsid w:val="004C43FF"/>
    <w:rsid w:val="004C4E03"/>
    <w:rsid w:val="004C7805"/>
    <w:rsid w:val="004D143A"/>
    <w:rsid w:val="004D61BD"/>
    <w:rsid w:val="004E316D"/>
    <w:rsid w:val="004E79B1"/>
    <w:rsid w:val="004F18C2"/>
    <w:rsid w:val="004F247C"/>
    <w:rsid w:val="00501645"/>
    <w:rsid w:val="005133B1"/>
    <w:rsid w:val="00515E94"/>
    <w:rsid w:val="0052600A"/>
    <w:rsid w:val="00536FED"/>
    <w:rsid w:val="00547451"/>
    <w:rsid w:val="00554B48"/>
    <w:rsid w:val="0056129A"/>
    <w:rsid w:val="0056640D"/>
    <w:rsid w:val="005676CA"/>
    <w:rsid w:val="00570E8D"/>
    <w:rsid w:val="0057724F"/>
    <w:rsid w:val="00581772"/>
    <w:rsid w:val="00583DD4"/>
    <w:rsid w:val="00584AA1"/>
    <w:rsid w:val="00585B72"/>
    <w:rsid w:val="00586AA8"/>
    <w:rsid w:val="005A21C2"/>
    <w:rsid w:val="005C144B"/>
    <w:rsid w:val="005C17F9"/>
    <w:rsid w:val="005C3145"/>
    <w:rsid w:val="005D20FD"/>
    <w:rsid w:val="005D6E4D"/>
    <w:rsid w:val="005E1033"/>
    <w:rsid w:val="005E21A1"/>
    <w:rsid w:val="005E779A"/>
    <w:rsid w:val="005F73A9"/>
    <w:rsid w:val="00600D81"/>
    <w:rsid w:val="00602C7F"/>
    <w:rsid w:val="00602ED1"/>
    <w:rsid w:val="00604564"/>
    <w:rsid w:val="006150F6"/>
    <w:rsid w:val="00621477"/>
    <w:rsid w:val="006228B5"/>
    <w:rsid w:val="00623B16"/>
    <w:rsid w:val="006469D7"/>
    <w:rsid w:val="00651224"/>
    <w:rsid w:val="006534EC"/>
    <w:rsid w:val="006603DF"/>
    <w:rsid w:val="006643A7"/>
    <w:rsid w:val="00672141"/>
    <w:rsid w:val="006722A9"/>
    <w:rsid w:val="00673978"/>
    <w:rsid w:val="00676116"/>
    <w:rsid w:val="00680D26"/>
    <w:rsid w:val="006810F5"/>
    <w:rsid w:val="00681196"/>
    <w:rsid w:val="00681442"/>
    <w:rsid w:val="00684A37"/>
    <w:rsid w:val="00685E39"/>
    <w:rsid w:val="0068648B"/>
    <w:rsid w:val="00687B1F"/>
    <w:rsid w:val="00696CDE"/>
    <w:rsid w:val="006A3522"/>
    <w:rsid w:val="006A5031"/>
    <w:rsid w:val="006A6281"/>
    <w:rsid w:val="006A6A20"/>
    <w:rsid w:val="006B290C"/>
    <w:rsid w:val="006C2E69"/>
    <w:rsid w:val="006C6F08"/>
    <w:rsid w:val="006D0151"/>
    <w:rsid w:val="006D35FD"/>
    <w:rsid w:val="006E219D"/>
    <w:rsid w:val="006F3533"/>
    <w:rsid w:val="006F3909"/>
    <w:rsid w:val="006F5CC0"/>
    <w:rsid w:val="006F70F2"/>
    <w:rsid w:val="00704AA9"/>
    <w:rsid w:val="00706D1D"/>
    <w:rsid w:val="00706F33"/>
    <w:rsid w:val="007143AB"/>
    <w:rsid w:val="007153C2"/>
    <w:rsid w:val="00720137"/>
    <w:rsid w:val="00723CD0"/>
    <w:rsid w:val="0072692C"/>
    <w:rsid w:val="007270F7"/>
    <w:rsid w:val="007270FD"/>
    <w:rsid w:val="00735032"/>
    <w:rsid w:val="0073505D"/>
    <w:rsid w:val="007356EE"/>
    <w:rsid w:val="00735DB7"/>
    <w:rsid w:val="007403C1"/>
    <w:rsid w:val="007424A2"/>
    <w:rsid w:val="007452F9"/>
    <w:rsid w:val="00751C98"/>
    <w:rsid w:val="00754CF2"/>
    <w:rsid w:val="007551EB"/>
    <w:rsid w:val="00755BD3"/>
    <w:rsid w:val="00757861"/>
    <w:rsid w:val="00763A13"/>
    <w:rsid w:val="007669DC"/>
    <w:rsid w:val="00775492"/>
    <w:rsid w:val="00776FFE"/>
    <w:rsid w:val="00782FD5"/>
    <w:rsid w:val="00786BA9"/>
    <w:rsid w:val="00786DAC"/>
    <w:rsid w:val="007922A9"/>
    <w:rsid w:val="007A1F34"/>
    <w:rsid w:val="007A2766"/>
    <w:rsid w:val="007A31B9"/>
    <w:rsid w:val="007A3F2E"/>
    <w:rsid w:val="007B03FE"/>
    <w:rsid w:val="007B3329"/>
    <w:rsid w:val="007C089F"/>
    <w:rsid w:val="007C3E3F"/>
    <w:rsid w:val="007C41BE"/>
    <w:rsid w:val="007C5581"/>
    <w:rsid w:val="007C7CEA"/>
    <w:rsid w:val="007D3B33"/>
    <w:rsid w:val="007D3E6C"/>
    <w:rsid w:val="007D4EE5"/>
    <w:rsid w:val="007E3637"/>
    <w:rsid w:val="007F0595"/>
    <w:rsid w:val="0080587A"/>
    <w:rsid w:val="00814512"/>
    <w:rsid w:val="0081633D"/>
    <w:rsid w:val="008200B3"/>
    <w:rsid w:val="008210BB"/>
    <w:rsid w:val="0083033E"/>
    <w:rsid w:val="00831346"/>
    <w:rsid w:val="00834465"/>
    <w:rsid w:val="00844697"/>
    <w:rsid w:val="0084670F"/>
    <w:rsid w:val="008600EA"/>
    <w:rsid w:val="00860498"/>
    <w:rsid w:val="008611BF"/>
    <w:rsid w:val="008673FF"/>
    <w:rsid w:val="00874C7E"/>
    <w:rsid w:val="00875795"/>
    <w:rsid w:val="00877B99"/>
    <w:rsid w:val="008974BD"/>
    <w:rsid w:val="0089779A"/>
    <w:rsid w:val="008A1573"/>
    <w:rsid w:val="008B1048"/>
    <w:rsid w:val="008B23B2"/>
    <w:rsid w:val="008B7491"/>
    <w:rsid w:val="008C032E"/>
    <w:rsid w:val="008C1BDF"/>
    <w:rsid w:val="008C5784"/>
    <w:rsid w:val="008C616C"/>
    <w:rsid w:val="008C72F2"/>
    <w:rsid w:val="008D3178"/>
    <w:rsid w:val="008D38C6"/>
    <w:rsid w:val="008D3DCA"/>
    <w:rsid w:val="008D7345"/>
    <w:rsid w:val="008D7A59"/>
    <w:rsid w:val="008E588F"/>
    <w:rsid w:val="008E6D4D"/>
    <w:rsid w:val="008F245E"/>
    <w:rsid w:val="008F3804"/>
    <w:rsid w:val="008F6CE5"/>
    <w:rsid w:val="009009FC"/>
    <w:rsid w:val="00905780"/>
    <w:rsid w:val="00911947"/>
    <w:rsid w:val="0091208C"/>
    <w:rsid w:val="00921AC9"/>
    <w:rsid w:val="00922F07"/>
    <w:rsid w:val="009301F7"/>
    <w:rsid w:val="009329E4"/>
    <w:rsid w:val="00934259"/>
    <w:rsid w:val="00935F86"/>
    <w:rsid w:val="009414B1"/>
    <w:rsid w:val="00943B33"/>
    <w:rsid w:val="00946A52"/>
    <w:rsid w:val="00947D0E"/>
    <w:rsid w:val="00951EAE"/>
    <w:rsid w:val="00953DB8"/>
    <w:rsid w:val="009549DD"/>
    <w:rsid w:val="0095530B"/>
    <w:rsid w:val="00955473"/>
    <w:rsid w:val="009630DB"/>
    <w:rsid w:val="00963296"/>
    <w:rsid w:val="00965F0B"/>
    <w:rsid w:val="009703BA"/>
    <w:rsid w:val="00974EC7"/>
    <w:rsid w:val="00976E18"/>
    <w:rsid w:val="009776E1"/>
    <w:rsid w:val="00981EA2"/>
    <w:rsid w:val="0098215C"/>
    <w:rsid w:val="00982BB4"/>
    <w:rsid w:val="009860B2"/>
    <w:rsid w:val="00993D72"/>
    <w:rsid w:val="009A48A5"/>
    <w:rsid w:val="009B3D34"/>
    <w:rsid w:val="009B47E3"/>
    <w:rsid w:val="009C0DB2"/>
    <w:rsid w:val="009C3B6F"/>
    <w:rsid w:val="009C5FF5"/>
    <w:rsid w:val="009D27BA"/>
    <w:rsid w:val="009D729F"/>
    <w:rsid w:val="009E69E6"/>
    <w:rsid w:val="009E6F34"/>
    <w:rsid w:val="009F0332"/>
    <w:rsid w:val="009F0E6C"/>
    <w:rsid w:val="009F28B2"/>
    <w:rsid w:val="009F7967"/>
    <w:rsid w:val="00A0686F"/>
    <w:rsid w:val="00A07598"/>
    <w:rsid w:val="00A13405"/>
    <w:rsid w:val="00A17692"/>
    <w:rsid w:val="00A20E5D"/>
    <w:rsid w:val="00A21403"/>
    <w:rsid w:val="00A21DB0"/>
    <w:rsid w:val="00A30991"/>
    <w:rsid w:val="00A32D9B"/>
    <w:rsid w:val="00A35503"/>
    <w:rsid w:val="00A35EA1"/>
    <w:rsid w:val="00A43668"/>
    <w:rsid w:val="00A43E66"/>
    <w:rsid w:val="00A46CD2"/>
    <w:rsid w:val="00A505D3"/>
    <w:rsid w:val="00A66A4C"/>
    <w:rsid w:val="00A77521"/>
    <w:rsid w:val="00A82C18"/>
    <w:rsid w:val="00A9516F"/>
    <w:rsid w:val="00A9723D"/>
    <w:rsid w:val="00AA0763"/>
    <w:rsid w:val="00AA306A"/>
    <w:rsid w:val="00AA53DE"/>
    <w:rsid w:val="00AB3CF0"/>
    <w:rsid w:val="00AB3F0E"/>
    <w:rsid w:val="00AB580C"/>
    <w:rsid w:val="00AB5CD1"/>
    <w:rsid w:val="00AC4577"/>
    <w:rsid w:val="00AC516C"/>
    <w:rsid w:val="00AD0901"/>
    <w:rsid w:val="00AE2C81"/>
    <w:rsid w:val="00AE7DA8"/>
    <w:rsid w:val="00AF1052"/>
    <w:rsid w:val="00AF1286"/>
    <w:rsid w:val="00AF3B34"/>
    <w:rsid w:val="00AF5F6A"/>
    <w:rsid w:val="00AF7622"/>
    <w:rsid w:val="00B00B7B"/>
    <w:rsid w:val="00B04171"/>
    <w:rsid w:val="00B05ED5"/>
    <w:rsid w:val="00B1049E"/>
    <w:rsid w:val="00B11037"/>
    <w:rsid w:val="00B14760"/>
    <w:rsid w:val="00B22C6B"/>
    <w:rsid w:val="00B23EBB"/>
    <w:rsid w:val="00B3204C"/>
    <w:rsid w:val="00B333F6"/>
    <w:rsid w:val="00B34F0D"/>
    <w:rsid w:val="00B378F3"/>
    <w:rsid w:val="00B42024"/>
    <w:rsid w:val="00B42F2A"/>
    <w:rsid w:val="00B43640"/>
    <w:rsid w:val="00B51B4E"/>
    <w:rsid w:val="00B701A5"/>
    <w:rsid w:val="00B73538"/>
    <w:rsid w:val="00B77238"/>
    <w:rsid w:val="00B8591A"/>
    <w:rsid w:val="00B86429"/>
    <w:rsid w:val="00B90DEA"/>
    <w:rsid w:val="00B94566"/>
    <w:rsid w:val="00B94F63"/>
    <w:rsid w:val="00B95CA6"/>
    <w:rsid w:val="00B973C2"/>
    <w:rsid w:val="00BA3F7D"/>
    <w:rsid w:val="00BA520B"/>
    <w:rsid w:val="00BA6075"/>
    <w:rsid w:val="00BA73D8"/>
    <w:rsid w:val="00BB0CDF"/>
    <w:rsid w:val="00BB1711"/>
    <w:rsid w:val="00BB4530"/>
    <w:rsid w:val="00BC1074"/>
    <w:rsid w:val="00BC7B9E"/>
    <w:rsid w:val="00BC7BF5"/>
    <w:rsid w:val="00BD164E"/>
    <w:rsid w:val="00BD578A"/>
    <w:rsid w:val="00BD66A0"/>
    <w:rsid w:val="00BD746D"/>
    <w:rsid w:val="00BE3CF6"/>
    <w:rsid w:val="00BE415E"/>
    <w:rsid w:val="00C02178"/>
    <w:rsid w:val="00C050B4"/>
    <w:rsid w:val="00C05C40"/>
    <w:rsid w:val="00C10647"/>
    <w:rsid w:val="00C1099A"/>
    <w:rsid w:val="00C14159"/>
    <w:rsid w:val="00C214A2"/>
    <w:rsid w:val="00C2260E"/>
    <w:rsid w:val="00C26BD7"/>
    <w:rsid w:val="00C27B7C"/>
    <w:rsid w:val="00C3494F"/>
    <w:rsid w:val="00C34D01"/>
    <w:rsid w:val="00C36227"/>
    <w:rsid w:val="00C42810"/>
    <w:rsid w:val="00C45954"/>
    <w:rsid w:val="00C4606B"/>
    <w:rsid w:val="00C54D4B"/>
    <w:rsid w:val="00C55A5C"/>
    <w:rsid w:val="00C5640E"/>
    <w:rsid w:val="00C57384"/>
    <w:rsid w:val="00C641B7"/>
    <w:rsid w:val="00C653D4"/>
    <w:rsid w:val="00C6694F"/>
    <w:rsid w:val="00C77957"/>
    <w:rsid w:val="00C8614B"/>
    <w:rsid w:val="00C87A31"/>
    <w:rsid w:val="00C97278"/>
    <w:rsid w:val="00C9768B"/>
    <w:rsid w:val="00CA3552"/>
    <w:rsid w:val="00CA7CEE"/>
    <w:rsid w:val="00CB00E6"/>
    <w:rsid w:val="00CB304B"/>
    <w:rsid w:val="00CB7097"/>
    <w:rsid w:val="00CC38D1"/>
    <w:rsid w:val="00CC41B9"/>
    <w:rsid w:val="00CC4E8A"/>
    <w:rsid w:val="00CD2D41"/>
    <w:rsid w:val="00CD770B"/>
    <w:rsid w:val="00CE2760"/>
    <w:rsid w:val="00CE3973"/>
    <w:rsid w:val="00CE531C"/>
    <w:rsid w:val="00CE6639"/>
    <w:rsid w:val="00CE7F1B"/>
    <w:rsid w:val="00CF0E2B"/>
    <w:rsid w:val="00CF399F"/>
    <w:rsid w:val="00CF56CB"/>
    <w:rsid w:val="00D01857"/>
    <w:rsid w:val="00D02F96"/>
    <w:rsid w:val="00D05431"/>
    <w:rsid w:val="00D11E93"/>
    <w:rsid w:val="00D12312"/>
    <w:rsid w:val="00D14D4C"/>
    <w:rsid w:val="00D154E0"/>
    <w:rsid w:val="00D16475"/>
    <w:rsid w:val="00D17D7A"/>
    <w:rsid w:val="00D20A82"/>
    <w:rsid w:val="00D20AC3"/>
    <w:rsid w:val="00D20E80"/>
    <w:rsid w:val="00D21FA9"/>
    <w:rsid w:val="00D30759"/>
    <w:rsid w:val="00D31D40"/>
    <w:rsid w:val="00D33837"/>
    <w:rsid w:val="00D5176F"/>
    <w:rsid w:val="00D53725"/>
    <w:rsid w:val="00D62EE4"/>
    <w:rsid w:val="00D64B98"/>
    <w:rsid w:val="00D66E55"/>
    <w:rsid w:val="00D72B37"/>
    <w:rsid w:val="00D739E8"/>
    <w:rsid w:val="00D753C7"/>
    <w:rsid w:val="00D838A6"/>
    <w:rsid w:val="00D86E46"/>
    <w:rsid w:val="00D87BE8"/>
    <w:rsid w:val="00D95111"/>
    <w:rsid w:val="00DA1C71"/>
    <w:rsid w:val="00DA28DF"/>
    <w:rsid w:val="00DA3207"/>
    <w:rsid w:val="00DA5170"/>
    <w:rsid w:val="00DA79F5"/>
    <w:rsid w:val="00DB054E"/>
    <w:rsid w:val="00DB0601"/>
    <w:rsid w:val="00DC217C"/>
    <w:rsid w:val="00DC42F2"/>
    <w:rsid w:val="00DD1598"/>
    <w:rsid w:val="00DD316F"/>
    <w:rsid w:val="00DD447F"/>
    <w:rsid w:val="00DD6329"/>
    <w:rsid w:val="00DD7924"/>
    <w:rsid w:val="00DD7A00"/>
    <w:rsid w:val="00DD7E49"/>
    <w:rsid w:val="00DE0D44"/>
    <w:rsid w:val="00DE42DE"/>
    <w:rsid w:val="00DF5BE1"/>
    <w:rsid w:val="00E0207C"/>
    <w:rsid w:val="00E03152"/>
    <w:rsid w:val="00E13648"/>
    <w:rsid w:val="00E26718"/>
    <w:rsid w:val="00E301A0"/>
    <w:rsid w:val="00E30F97"/>
    <w:rsid w:val="00E3111D"/>
    <w:rsid w:val="00E33EF0"/>
    <w:rsid w:val="00E347CE"/>
    <w:rsid w:val="00E34C77"/>
    <w:rsid w:val="00E37257"/>
    <w:rsid w:val="00E44BD1"/>
    <w:rsid w:val="00E51A4E"/>
    <w:rsid w:val="00E52EE6"/>
    <w:rsid w:val="00E534DC"/>
    <w:rsid w:val="00E6245F"/>
    <w:rsid w:val="00E63594"/>
    <w:rsid w:val="00E64CCA"/>
    <w:rsid w:val="00E66C61"/>
    <w:rsid w:val="00E9008E"/>
    <w:rsid w:val="00E91CEB"/>
    <w:rsid w:val="00E93B2B"/>
    <w:rsid w:val="00EA2AF2"/>
    <w:rsid w:val="00EA3C9F"/>
    <w:rsid w:val="00EB4082"/>
    <w:rsid w:val="00EB6764"/>
    <w:rsid w:val="00EC19B2"/>
    <w:rsid w:val="00EC20DB"/>
    <w:rsid w:val="00EC3C10"/>
    <w:rsid w:val="00EC6958"/>
    <w:rsid w:val="00ED1C66"/>
    <w:rsid w:val="00ED7B14"/>
    <w:rsid w:val="00EE2BB4"/>
    <w:rsid w:val="00EE5ED0"/>
    <w:rsid w:val="00EE6FBF"/>
    <w:rsid w:val="00EF5CC7"/>
    <w:rsid w:val="00F0230E"/>
    <w:rsid w:val="00F0573F"/>
    <w:rsid w:val="00F0702F"/>
    <w:rsid w:val="00F10903"/>
    <w:rsid w:val="00F11F33"/>
    <w:rsid w:val="00F23596"/>
    <w:rsid w:val="00F30755"/>
    <w:rsid w:val="00F30CF6"/>
    <w:rsid w:val="00F40F6F"/>
    <w:rsid w:val="00F45817"/>
    <w:rsid w:val="00F51B06"/>
    <w:rsid w:val="00F62316"/>
    <w:rsid w:val="00F633D6"/>
    <w:rsid w:val="00F674C5"/>
    <w:rsid w:val="00F71246"/>
    <w:rsid w:val="00F76C64"/>
    <w:rsid w:val="00F770FF"/>
    <w:rsid w:val="00F83464"/>
    <w:rsid w:val="00F8689A"/>
    <w:rsid w:val="00F87361"/>
    <w:rsid w:val="00F87A97"/>
    <w:rsid w:val="00F92EF8"/>
    <w:rsid w:val="00FA1225"/>
    <w:rsid w:val="00FA332E"/>
    <w:rsid w:val="00FA3CB5"/>
    <w:rsid w:val="00FB0A3A"/>
    <w:rsid w:val="00FB2124"/>
    <w:rsid w:val="00FB3377"/>
    <w:rsid w:val="00FC0F2D"/>
    <w:rsid w:val="00FC23D0"/>
    <w:rsid w:val="00FC707A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F40"/>
  <w15:chartTrackingRefBased/>
  <w15:docId w15:val="{746D08C5-2892-46C7-8997-28F2D85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3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63C2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2355EF"/>
    <w:rPr>
      <w:color w:val="808080"/>
    </w:rPr>
  </w:style>
  <w:style w:type="paragraph" w:styleId="a6">
    <w:name w:val="List Paragraph"/>
    <w:basedOn w:val="a"/>
    <w:uiPriority w:val="34"/>
    <w:qFormat/>
    <w:rsid w:val="009C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0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84124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94719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2740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7077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40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79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04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989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55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515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0821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34052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9527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2702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62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25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46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040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830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330/pcss.22.4.817-82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2789-A475-412A-9325-7966773D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3517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Mazur</dc:creator>
  <cp:keywords/>
  <dc:description/>
  <cp:lastModifiedBy>Тетяна Мазур</cp:lastModifiedBy>
  <cp:revision>100</cp:revision>
  <dcterms:created xsi:type="dcterms:W3CDTF">2024-03-11T12:40:00Z</dcterms:created>
  <dcterms:modified xsi:type="dcterms:W3CDTF">2025-02-10T20:18:00Z</dcterms:modified>
</cp:coreProperties>
</file>