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44" w:rsidRPr="005A7644" w:rsidRDefault="005A7644" w:rsidP="00385BC0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5A7644">
        <w:rPr>
          <w:sz w:val="28"/>
          <w:szCs w:val="28"/>
        </w:rPr>
        <w:t>Макарчук</w:t>
      </w:r>
      <w:proofErr w:type="spellEnd"/>
      <w:r w:rsidRPr="005A7644">
        <w:rPr>
          <w:sz w:val="28"/>
          <w:szCs w:val="28"/>
        </w:rPr>
        <w:t xml:space="preserve"> Катерина Олексіївна, </w:t>
      </w:r>
      <w:proofErr w:type="spellStart"/>
      <w:r w:rsidRPr="005A7644">
        <w:rPr>
          <w:sz w:val="28"/>
          <w:szCs w:val="28"/>
        </w:rPr>
        <w:t>к.е.н</w:t>
      </w:r>
      <w:proofErr w:type="spellEnd"/>
      <w:r w:rsidRPr="005A7644">
        <w:rPr>
          <w:sz w:val="28"/>
          <w:szCs w:val="28"/>
        </w:rPr>
        <w:t>.</w:t>
      </w:r>
    </w:p>
    <w:p w:rsidR="00495F6A" w:rsidRDefault="005A7644" w:rsidP="00385BC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Харківський національний університет імені В.Н. Каразіна, м. Харків</w:t>
      </w:r>
    </w:p>
    <w:p w:rsidR="005A7644" w:rsidRDefault="006A118E" w:rsidP="00385BC0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hyperlink r:id="rId7" w:history="1">
        <w:r w:rsidRPr="003B1931">
          <w:rPr>
            <w:rStyle w:val="a4"/>
            <w:sz w:val="28"/>
            <w:szCs w:val="28"/>
            <w:lang w:val="en-US"/>
          </w:rPr>
          <w:t>https</w:t>
        </w:r>
        <w:r w:rsidRPr="003B1931">
          <w:rPr>
            <w:rStyle w:val="a4"/>
            <w:sz w:val="28"/>
            <w:szCs w:val="28"/>
            <w:lang w:val="ru-RU"/>
          </w:rPr>
          <w:t>://</w:t>
        </w:r>
        <w:r w:rsidRPr="003B1931">
          <w:rPr>
            <w:rStyle w:val="a4"/>
            <w:sz w:val="28"/>
            <w:szCs w:val="28"/>
            <w:lang w:val="en-US"/>
          </w:rPr>
          <w:t>orcid</w:t>
        </w:r>
        <w:r w:rsidRPr="003B1931">
          <w:rPr>
            <w:rStyle w:val="a4"/>
            <w:sz w:val="28"/>
            <w:szCs w:val="28"/>
            <w:lang w:val="ru-RU"/>
          </w:rPr>
          <w:t>.</w:t>
        </w:r>
        <w:r w:rsidRPr="003B1931">
          <w:rPr>
            <w:rStyle w:val="a4"/>
            <w:sz w:val="28"/>
            <w:szCs w:val="28"/>
            <w:lang w:val="en-US"/>
          </w:rPr>
          <w:t>org</w:t>
        </w:r>
        <w:r w:rsidRPr="003B1931">
          <w:rPr>
            <w:rStyle w:val="a4"/>
            <w:sz w:val="28"/>
            <w:szCs w:val="28"/>
            <w:lang w:val="ru-RU"/>
          </w:rPr>
          <w:t>/0000-0002-7712-3071</w:t>
        </w:r>
      </w:hyperlink>
    </w:p>
    <w:p w:rsidR="006A118E" w:rsidRPr="006A118E" w:rsidRDefault="006A118E" w:rsidP="00385BC0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</w:p>
    <w:p w:rsidR="005A7644" w:rsidRDefault="008B5B46" w:rsidP="00385B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ДИНАМІКА ЗАЛУЧЕННЯ ПРЯМИХ ІНОЗЕМНИХ ІНВЕСТИЦІЙ ДО КРАЇН АСЕАН (НА ПРИКЛАДІ, СІНГАПУРУ, </w:t>
      </w:r>
      <w:r w:rsidRPr="00B16487">
        <w:rPr>
          <w:b/>
          <w:sz w:val="28"/>
          <w:szCs w:val="28"/>
        </w:rPr>
        <w:t>МАЛАЙЗІЇ ТА ТАЇЛАНДУ</w:t>
      </w:r>
      <w:r>
        <w:rPr>
          <w:b/>
          <w:sz w:val="28"/>
          <w:szCs w:val="28"/>
        </w:rPr>
        <w:t>)</w:t>
      </w:r>
    </w:p>
    <w:p w:rsidR="005A7644" w:rsidRDefault="005A7644" w:rsidP="00385BC0">
      <w:pPr>
        <w:spacing w:line="360" w:lineRule="auto"/>
        <w:ind w:firstLine="709"/>
        <w:rPr>
          <w:sz w:val="28"/>
          <w:szCs w:val="28"/>
        </w:rPr>
      </w:pPr>
    </w:p>
    <w:p w:rsidR="00495F6A" w:rsidRDefault="00C56DF0" w:rsidP="00385B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Асоціація країн Південно-Східної Азії </w:t>
      </w:r>
      <w:r w:rsidR="00495F6A" w:rsidRPr="004304F6">
        <w:rPr>
          <w:sz w:val="28"/>
          <w:szCs w:val="28"/>
        </w:rPr>
        <w:t>є шостою за величиною економікою у світі, і вона має</w:t>
      </w:r>
      <w:r w:rsidR="00495F6A">
        <w:rPr>
          <w:sz w:val="28"/>
          <w:szCs w:val="28"/>
        </w:rPr>
        <w:t xml:space="preserve"> </w:t>
      </w:r>
      <w:r w:rsidR="00495F6A" w:rsidRPr="004304F6">
        <w:rPr>
          <w:sz w:val="28"/>
          <w:szCs w:val="28"/>
        </w:rPr>
        <w:t>трет</w:t>
      </w:r>
      <w:r w:rsidR="00495F6A">
        <w:rPr>
          <w:sz w:val="28"/>
          <w:szCs w:val="28"/>
        </w:rPr>
        <w:t>ю</w:t>
      </w:r>
      <w:r w:rsidR="00495F6A" w:rsidRPr="004304F6">
        <w:rPr>
          <w:sz w:val="28"/>
          <w:szCs w:val="28"/>
        </w:rPr>
        <w:t xml:space="preserve"> в світі робоч</w:t>
      </w:r>
      <w:r w:rsidR="00495F6A">
        <w:rPr>
          <w:sz w:val="28"/>
          <w:szCs w:val="28"/>
        </w:rPr>
        <w:t>у</w:t>
      </w:r>
      <w:r w:rsidR="00495F6A" w:rsidRPr="004304F6">
        <w:rPr>
          <w:sz w:val="28"/>
          <w:szCs w:val="28"/>
        </w:rPr>
        <w:t xml:space="preserve"> сил</w:t>
      </w:r>
      <w:r w:rsidR="00495F6A">
        <w:rPr>
          <w:sz w:val="28"/>
          <w:szCs w:val="28"/>
        </w:rPr>
        <w:t>у після Китаю та Індії</w:t>
      </w:r>
      <w:r w:rsidR="00495F6A" w:rsidRPr="004304F6">
        <w:rPr>
          <w:sz w:val="28"/>
          <w:szCs w:val="28"/>
        </w:rPr>
        <w:t>. Завдяки зростаючому розміру ринку та великій кількості робочої сили АСЕАН має величезний потенціал для того, щоб стати</w:t>
      </w:r>
      <w:r w:rsidR="00495F6A">
        <w:rPr>
          <w:sz w:val="28"/>
          <w:szCs w:val="28"/>
        </w:rPr>
        <w:t xml:space="preserve"> </w:t>
      </w:r>
      <w:r w:rsidR="00495F6A" w:rsidRPr="004304F6">
        <w:rPr>
          <w:sz w:val="28"/>
          <w:szCs w:val="28"/>
        </w:rPr>
        <w:t>основни</w:t>
      </w:r>
      <w:r w:rsidR="00495F6A">
        <w:rPr>
          <w:sz w:val="28"/>
          <w:szCs w:val="28"/>
        </w:rPr>
        <w:t>м</w:t>
      </w:r>
      <w:r w:rsidR="00495F6A" w:rsidRPr="004304F6">
        <w:rPr>
          <w:sz w:val="28"/>
          <w:szCs w:val="28"/>
        </w:rPr>
        <w:t xml:space="preserve"> напрям</w:t>
      </w:r>
      <w:r w:rsidR="00495F6A">
        <w:rPr>
          <w:sz w:val="28"/>
          <w:szCs w:val="28"/>
        </w:rPr>
        <w:t>ком притоку</w:t>
      </w:r>
      <w:r w:rsidR="00495F6A" w:rsidRPr="004304F6">
        <w:rPr>
          <w:sz w:val="28"/>
          <w:szCs w:val="28"/>
        </w:rPr>
        <w:t xml:space="preserve"> </w:t>
      </w:r>
      <w:r w:rsidR="00495F6A">
        <w:rPr>
          <w:sz w:val="28"/>
          <w:szCs w:val="28"/>
        </w:rPr>
        <w:t>прямих іноземних інвестицій</w:t>
      </w:r>
      <w:r w:rsidR="00495F6A" w:rsidRPr="004304F6">
        <w:rPr>
          <w:sz w:val="28"/>
          <w:szCs w:val="28"/>
        </w:rPr>
        <w:t xml:space="preserve">. </w:t>
      </w:r>
    </w:p>
    <w:p w:rsidR="00495F6A" w:rsidRDefault="00C86CA4" w:rsidP="00385B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Надходження ПІІ </w:t>
      </w:r>
      <w:r>
        <w:rPr>
          <w:sz w:val="28"/>
          <w:szCs w:val="28"/>
        </w:rPr>
        <w:t xml:space="preserve">до АСЕАН </w:t>
      </w:r>
      <w:r>
        <w:rPr>
          <w:sz w:val="28"/>
          <w:szCs w:val="28"/>
        </w:rPr>
        <w:t>кожного року було не стабільним відбувалися коливання.</w:t>
      </w:r>
      <w:r>
        <w:rPr>
          <w:sz w:val="28"/>
          <w:szCs w:val="28"/>
        </w:rPr>
        <w:t xml:space="preserve"> (</w:t>
      </w:r>
      <w:r w:rsidR="00A6413C">
        <w:rPr>
          <w:sz w:val="28"/>
          <w:szCs w:val="28"/>
        </w:rPr>
        <w:t>рис. 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Вагомий вплив на </w:t>
      </w:r>
      <w:proofErr w:type="spellStart"/>
      <w:r>
        <w:rPr>
          <w:sz w:val="28"/>
          <w:szCs w:val="28"/>
        </w:rPr>
        <w:t>приток</w:t>
      </w:r>
      <w:proofErr w:type="spellEnd"/>
      <w:r>
        <w:rPr>
          <w:sz w:val="28"/>
          <w:szCs w:val="28"/>
        </w:rPr>
        <w:t xml:space="preserve"> ПІІ до АСЕАН у 2020 </w:t>
      </w:r>
      <w:r w:rsidRPr="000A37B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0A3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мала пандемія </w:t>
      </w:r>
      <w:r w:rsidRPr="000A37B6">
        <w:rPr>
          <w:sz w:val="28"/>
          <w:szCs w:val="28"/>
        </w:rPr>
        <w:t xml:space="preserve">COVID-19 із падінням ПІІ на 25 </w:t>
      </w:r>
      <w:r>
        <w:rPr>
          <w:sz w:val="28"/>
          <w:szCs w:val="28"/>
        </w:rPr>
        <w:t xml:space="preserve">% до 137 млрд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 xml:space="preserve">. США. У 2020 р. у зв’язку з пандемією та карантином у країнах АСЕАН відбулося зниження, збій у ланцюзі поставок, падіння прибутків компаній, економічна невизначеність та відтермінування інвестицій багатонаціональними підприємствами. Інвестиційна активність у регіоні скоротилась за всіма видами. Надходження іноземних інвестицій до АСЕАН почали зростати і у 2022 році. </w:t>
      </w:r>
      <w:r w:rsidRPr="00282256">
        <w:rPr>
          <w:sz w:val="28"/>
          <w:szCs w:val="28"/>
        </w:rPr>
        <w:t>[</w:t>
      </w:r>
      <w:r>
        <w:rPr>
          <w:sz w:val="28"/>
          <w:szCs w:val="28"/>
        </w:rPr>
        <w:t>1-3</w:t>
      </w:r>
      <w:r w:rsidRPr="00282256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495F6A">
        <w:rPr>
          <w:noProof/>
          <w:lang w:val="ru-RU" w:eastAsia="ru-RU"/>
        </w:rPr>
        <w:drawing>
          <wp:inline distT="0" distB="0" distL="0" distR="0" wp14:anchorId="4E372A1F" wp14:editId="3557BE7B">
            <wp:extent cx="6050280" cy="21717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F6A" w:rsidRDefault="00495F6A" w:rsidP="00385BC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793605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5E3563">
        <w:rPr>
          <w:sz w:val="28"/>
          <w:szCs w:val="28"/>
        </w:rPr>
        <w:t xml:space="preserve">отоки прямих іноземних інвестицій до країн АСЕАН </w:t>
      </w:r>
      <w:r>
        <w:rPr>
          <w:sz w:val="28"/>
          <w:szCs w:val="28"/>
        </w:rPr>
        <w:t xml:space="preserve">у 2015-2022 рр. </w:t>
      </w:r>
      <w:r w:rsidRPr="005E3563">
        <w:rPr>
          <w:sz w:val="28"/>
          <w:szCs w:val="28"/>
        </w:rPr>
        <w:t>у мл</w:t>
      </w:r>
      <w:r w:rsidR="003008B5">
        <w:rPr>
          <w:sz w:val="28"/>
          <w:szCs w:val="28"/>
        </w:rPr>
        <w:t xml:space="preserve">рд. </w:t>
      </w:r>
      <w:proofErr w:type="spellStart"/>
      <w:r w:rsidR="003008B5">
        <w:rPr>
          <w:sz w:val="28"/>
          <w:szCs w:val="28"/>
        </w:rPr>
        <w:t>дол</w:t>
      </w:r>
      <w:proofErr w:type="spellEnd"/>
      <w:r w:rsidR="003008B5">
        <w:rPr>
          <w:sz w:val="28"/>
          <w:szCs w:val="28"/>
        </w:rPr>
        <w:t>. США</w:t>
      </w:r>
      <w:r w:rsidR="00793605">
        <w:rPr>
          <w:sz w:val="28"/>
          <w:szCs w:val="28"/>
        </w:rPr>
        <w:t xml:space="preserve"> </w:t>
      </w:r>
      <w:r w:rsidR="00793605" w:rsidRPr="00093F7E">
        <w:rPr>
          <w:sz w:val="28"/>
          <w:szCs w:val="28"/>
        </w:rPr>
        <w:t>[</w:t>
      </w:r>
      <w:r w:rsidR="00A7171E">
        <w:rPr>
          <w:sz w:val="28"/>
          <w:szCs w:val="28"/>
        </w:rPr>
        <w:t>1-3</w:t>
      </w:r>
      <w:r w:rsidR="00793605" w:rsidRPr="00093F7E">
        <w:rPr>
          <w:sz w:val="28"/>
          <w:szCs w:val="28"/>
        </w:rPr>
        <w:t>]</w:t>
      </w:r>
    </w:p>
    <w:p w:rsidR="00495F6A" w:rsidRDefault="00495F6A" w:rsidP="00385B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Зростанню надходження ПІІ до АСЕАН у 2021-2022 рр. сприяло декілька факторів, а саме: </w:t>
      </w:r>
      <w:r w:rsidRPr="00245BE0">
        <w:rPr>
          <w:sz w:val="28"/>
          <w:szCs w:val="28"/>
        </w:rPr>
        <w:t xml:space="preserve">зростання інвестицій у різні модальності, сильне відновлення виробництва, корпоративні інвестиційні стратегії, зосереджені на розширенні </w:t>
      </w:r>
      <w:proofErr w:type="spellStart"/>
      <w:r w:rsidRPr="00245BE0">
        <w:rPr>
          <w:sz w:val="28"/>
          <w:szCs w:val="28"/>
        </w:rPr>
        <w:t>потужностей</w:t>
      </w:r>
      <w:proofErr w:type="spellEnd"/>
      <w:r w:rsidRPr="00245BE0">
        <w:rPr>
          <w:sz w:val="28"/>
          <w:szCs w:val="28"/>
        </w:rPr>
        <w:t xml:space="preserve"> для зміцнення ланцюгів постачання та для відновлення після пандемії, значні інвестиції з ключових джерел країни та інвестиції в діяльність, пов’язану з інфраструктурою, </w:t>
      </w:r>
      <w:r>
        <w:rPr>
          <w:sz w:val="28"/>
          <w:szCs w:val="28"/>
        </w:rPr>
        <w:t>у тому числі</w:t>
      </w:r>
      <w:r w:rsidRPr="00245BE0">
        <w:rPr>
          <w:sz w:val="28"/>
          <w:szCs w:val="28"/>
        </w:rPr>
        <w:t xml:space="preserve"> з цифровою економікою</w:t>
      </w:r>
      <w:r>
        <w:rPr>
          <w:sz w:val="28"/>
          <w:szCs w:val="28"/>
        </w:rPr>
        <w:t xml:space="preserve"> </w:t>
      </w:r>
      <w:r w:rsidRPr="00C86CA4">
        <w:rPr>
          <w:sz w:val="28"/>
          <w:szCs w:val="28"/>
        </w:rPr>
        <w:t>[</w:t>
      </w:r>
      <w:r w:rsidR="00815EB5">
        <w:rPr>
          <w:sz w:val="28"/>
          <w:szCs w:val="28"/>
        </w:rPr>
        <w:t>4</w:t>
      </w:r>
      <w:r w:rsidRPr="00C86CA4">
        <w:rPr>
          <w:sz w:val="28"/>
          <w:szCs w:val="28"/>
        </w:rPr>
        <w:t>]</w:t>
      </w:r>
      <w:r w:rsidRPr="00245BE0">
        <w:rPr>
          <w:sz w:val="28"/>
          <w:szCs w:val="28"/>
        </w:rPr>
        <w:t>.</w:t>
      </w:r>
    </w:p>
    <w:p w:rsidR="00495F6A" w:rsidRDefault="00495F6A" w:rsidP="00385BC0">
      <w:pPr>
        <w:spacing w:line="360" w:lineRule="auto"/>
        <w:ind w:firstLine="709"/>
        <w:rPr>
          <w:sz w:val="28"/>
          <w:szCs w:val="28"/>
        </w:rPr>
      </w:pPr>
      <w:r w:rsidRPr="000B309D">
        <w:rPr>
          <w:sz w:val="28"/>
          <w:szCs w:val="28"/>
        </w:rPr>
        <w:t xml:space="preserve">Широкомасштабне зростання ПІІ у виробництво зіграло ключову роль у 2021 році. Великі інвестиції у виробництво, фінанси та деякі сфери послуг, пов’язані зі стрімким зростанням цифрової економіки та діяльністю Індустрії 4.0, були головними рушійними силами галузі. Інвестиції у виробництво зафіксували найзначніше зростання </w:t>
      </w:r>
      <w:r>
        <w:rPr>
          <w:sz w:val="28"/>
          <w:szCs w:val="28"/>
        </w:rPr>
        <w:t>до 45 млрд.</w:t>
      </w:r>
      <w:r w:rsidRPr="000B309D">
        <w:rPr>
          <w:sz w:val="28"/>
          <w:szCs w:val="28"/>
        </w:rPr>
        <w:t xml:space="preserve"> </w:t>
      </w:r>
      <w:proofErr w:type="spellStart"/>
      <w:r w:rsidRPr="000B309D"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</w:t>
      </w:r>
      <w:r w:rsidRPr="000B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США </w:t>
      </w:r>
      <w:r w:rsidRPr="000B309D">
        <w:rPr>
          <w:sz w:val="28"/>
          <w:szCs w:val="28"/>
        </w:rPr>
        <w:t>у таких галузях, як електромобілі, електроніка, біомедицина та фармацевтика. Фінанси та банківська справа залишаються найбільшою галуззю-реципієнтом прямих іноземних інвестицій із 22</w:t>
      </w:r>
      <w:r>
        <w:rPr>
          <w:sz w:val="28"/>
          <w:szCs w:val="28"/>
        </w:rPr>
        <w:t>%</w:t>
      </w:r>
      <w:r w:rsidRPr="000B309D">
        <w:rPr>
          <w:sz w:val="28"/>
          <w:szCs w:val="28"/>
        </w:rPr>
        <w:t xml:space="preserve"> зростанням до 57 </w:t>
      </w:r>
      <w:r>
        <w:rPr>
          <w:sz w:val="28"/>
          <w:szCs w:val="28"/>
        </w:rPr>
        <w:t xml:space="preserve">млрд.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</w:t>
      </w:r>
      <w:r w:rsidRPr="000B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США </w:t>
      </w:r>
      <w:r w:rsidRPr="00282256">
        <w:rPr>
          <w:sz w:val="28"/>
          <w:szCs w:val="28"/>
          <w:lang w:val="ru-RU"/>
        </w:rPr>
        <w:t>[</w:t>
      </w:r>
      <w:r w:rsidR="00EE2917">
        <w:rPr>
          <w:sz w:val="28"/>
          <w:szCs w:val="28"/>
        </w:rPr>
        <w:t>4</w:t>
      </w:r>
      <w:r w:rsidRPr="00282256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>.</w:t>
      </w:r>
    </w:p>
    <w:p w:rsidR="00A13A78" w:rsidRDefault="00A13A78" w:rsidP="00A13A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Найбільші надходження ПІІ серед ц</w:t>
      </w:r>
      <w:r w:rsidR="00680055">
        <w:rPr>
          <w:sz w:val="28"/>
          <w:szCs w:val="28"/>
        </w:rPr>
        <w:t>их країн припадають на Сінгапур (</w:t>
      </w:r>
      <w:r w:rsidR="00672C87">
        <w:rPr>
          <w:sz w:val="28"/>
          <w:szCs w:val="28"/>
        </w:rPr>
        <w:t>рис. </w:t>
      </w:r>
      <w:bookmarkStart w:id="0" w:name="_GoBack"/>
      <w:bookmarkEnd w:id="0"/>
      <w:r w:rsidR="00DB42FA">
        <w:rPr>
          <w:sz w:val="28"/>
          <w:szCs w:val="28"/>
        </w:rPr>
        <w:t>2</w:t>
      </w:r>
      <w:r w:rsidR="00680055">
        <w:rPr>
          <w:sz w:val="28"/>
          <w:szCs w:val="28"/>
        </w:rPr>
        <w:t>).</w:t>
      </w:r>
      <w:r>
        <w:rPr>
          <w:sz w:val="28"/>
          <w:szCs w:val="28"/>
        </w:rPr>
        <w:t xml:space="preserve"> Після 2020 р. відбулися зміни у державній політиці щодо політики залучення ПІІ до Сінгапуру і об’єм інвестицій у 2022 р. склав 141187,2 млн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 xml:space="preserve">. США </w:t>
      </w:r>
      <w:r w:rsidRPr="00282256">
        <w:rPr>
          <w:sz w:val="28"/>
          <w:szCs w:val="28"/>
        </w:rPr>
        <w:t>[</w:t>
      </w:r>
      <w:r w:rsidR="00D82C23">
        <w:rPr>
          <w:sz w:val="28"/>
          <w:szCs w:val="28"/>
        </w:rPr>
        <w:t>1</w:t>
      </w:r>
      <w:r w:rsidRPr="002822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13A78" w:rsidRDefault="00A13A78" w:rsidP="00A13A78">
      <w:pPr>
        <w:spacing w:line="360" w:lineRule="auto"/>
        <w:ind w:firstLine="709"/>
        <w:rPr>
          <w:sz w:val="28"/>
          <w:szCs w:val="28"/>
        </w:rPr>
      </w:pPr>
      <w:r w:rsidRPr="00B16487">
        <w:rPr>
          <w:sz w:val="28"/>
          <w:szCs w:val="28"/>
        </w:rPr>
        <w:t>Сінгапур підтримує переважно відкриту інвестиційну політику та міцну вільну ринкову економіку, водночас активно керуючи та підтримуючи економічний розвиток Сінгапуру</w:t>
      </w:r>
      <w:r>
        <w:rPr>
          <w:sz w:val="28"/>
          <w:szCs w:val="28"/>
        </w:rPr>
        <w:t xml:space="preserve"> </w:t>
      </w:r>
      <w:r w:rsidRPr="00282256">
        <w:rPr>
          <w:sz w:val="28"/>
          <w:szCs w:val="28"/>
        </w:rPr>
        <w:t>[</w:t>
      </w:r>
      <w:r w:rsidR="00D82C23">
        <w:rPr>
          <w:sz w:val="28"/>
          <w:szCs w:val="28"/>
        </w:rPr>
        <w:t>5</w:t>
      </w:r>
      <w:r w:rsidRPr="00282256">
        <w:rPr>
          <w:sz w:val="28"/>
          <w:szCs w:val="28"/>
        </w:rPr>
        <w:t>]</w:t>
      </w:r>
      <w:r w:rsidRPr="00B16487">
        <w:rPr>
          <w:sz w:val="28"/>
          <w:szCs w:val="28"/>
        </w:rPr>
        <w:t>.</w:t>
      </w:r>
    </w:p>
    <w:p w:rsidR="00A13A78" w:rsidRDefault="00A13A78" w:rsidP="00A13A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Малайзія протягом восьми років мала нестабільн</w:t>
      </w:r>
      <w:r w:rsidR="00D4624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D4624B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прямих іноземних інвестицій до своєї країни. Показник постійно змінювався під дією різних факторів. У</w:t>
      </w:r>
      <w:r w:rsidRPr="000D6403">
        <w:rPr>
          <w:sz w:val="28"/>
          <w:szCs w:val="28"/>
        </w:rPr>
        <w:t xml:space="preserve"> 202</w:t>
      </w:r>
      <w:r>
        <w:rPr>
          <w:sz w:val="28"/>
          <w:szCs w:val="28"/>
        </w:rPr>
        <w:t>2 р.</w:t>
      </w:r>
      <w:r w:rsidRPr="000D64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приток</w:t>
      </w:r>
      <w:proofErr w:type="spellEnd"/>
      <w:r>
        <w:rPr>
          <w:sz w:val="28"/>
          <w:szCs w:val="28"/>
        </w:rPr>
        <w:t xml:space="preserve"> ПІІ до Малайзії збільшився</w:t>
      </w:r>
      <w:r w:rsidRPr="000D6403">
        <w:rPr>
          <w:sz w:val="28"/>
          <w:szCs w:val="28"/>
        </w:rPr>
        <w:t xml:space="preserve"> до найвищого рівня, </w:t>
      </w:r>
      <w:r>
        <w:rPr>
          <w:sz w:val="28"/>
          <w:szCs w:val="28"/>
        </w:rPr>
        <w:t>досягши</w:t>
      </w:r>
      <w:r w:rsidRPr="000D6403">
        <w:rPr>
          <w:sz w:val="28"/>
          <w:szCs w:val="28"/>
        </w:rPr>
        <w:t xml:space="preserve"> </w:t>
      </w:r>
      <w:r>
        <w:rPr>
          <w:sz w:val="28"/>
          <w:szCs w:val="28"/>
        </w:rPr>
        <w:t>17095,8</w:t>
      </w:r>
      <w:r w:rsidRPr="000D640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 США</w:t>
      </w:r>
      <w:r w:rsidRPr="00282256">
        <w:rPr>
          <w:sz w:val="28"/>
          <w:szCs w:val="28"/>
          <w:lang w:val="ru-RU"/>
        </w:rPr>
        <w:t xml:space="preserve"> [</w:t>
      </w:r>
      <w:r w:rsidR="002A3694">
        <w:rPr>
          <w:sz w:val="28"/>
          <w:szCs w:val="28"/>
        </w:rPr>
        <w:t>1</w:t>
      </w:r>
      <w:r w:rsidRPr="00282256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>.</w:t>
      </w:r>
    </w:p>
    <w:p w:rsidR="00024176" w:rsidRDefault="00024176" w:rsidP="0002417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Основними галузями залучення ПІІ до Сінгапуру було виробництво, оптова та роздрібна торгівля, фінанси та страхування. Основний потік ПІІ який залучається до Малайзії спрямовано у фінанси та страхування, нерухомість, виробництво.</w:t>
      </w:r>
      <w:r w:rsidRPr="00B87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Основними галузями надходження ПІІ до Таїланду є: видобуток корисних копалин, оптова та роздрібна торгівля, фінанси та страхування </w:t>
      </w:r>
      <w:r w:rsidRPr="00676B55"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2</w:t>
      </w:r>
      <w:r w:rsidRPr="00676B55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>.</w:t>
      </w:r>
    </w:p>
    <w:p w:rsidR="001D4780" w:rsidRDefault="001D4780" w:rsidP="00385BC0">
      <w:pPr>
        <w:spacing w:line="360" w:lineRule="auto"/>
        <w:ind w:firstLine="709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842BD53" wp14:editId="7365DF0F">
            <wp:extent cx="5577840" cy="2133600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4780" w:rsidRDefault="00DB42FA" w:rsidP="00385BC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82C23">
        <w:rPr>
          <w:sz w:val="28"/>
          <w:szCs w:val="28"/>
        </w:rPr>
        <w:t>2</w:t>
      </w:r>
      <w:r w:rsidR="001D4780">
        <w:rPr>
          <w:sz w:val="28"/>
          <w:szCs w:val="28"/>
        </w:rPr>
        <w:t xml:space="preserve">. Динаміка потоку прямих іноземних інвестицій до Сінгапуру, Малайзії та Таїланду у 2015-2022 рр., млн </w:t>
      </w:r>
      <w:proofErr w:type="spellStart"/>
      <w:r w:rsidR="001D4780">
        <w:rPr>
          <w:sz w:val="28"/>
          <w:szCs w:val="28"/>
        </w:rPr>
        <w:t>дол</w:t>
      </w:r>
      <w:proofErr w:type="spellEnd"/>
      <w:r w:rsidR="001D4780">
        <w:rPr>
          <w:sz w:val="28"/>
          <w:szCs w:val="28"/>
        </w:rPr>
        <w:t>. США</w:t>
      </w:r>
      <w:r w:rsidR="00607ADB">
        <w:rPr>
          <w:sz w:val="28"/>
          <w:szCs w:val="28"/>
        </w:rPr>
        <w:t xml:space="preserve"> </w:t>
      </w:r>
      <w:r w:rsidR="00607ADB" w:rsidRPr="00282256">
        <w:rPr>
          <w:sz w:val="28"/>
          <w:szCs w:val="28"/>
          <w:lang w:val="ru-RU"/>
        </w:rPr>
        <w:t>[</w:t>
      </w:r>
      <w:r w:rsidR="00E22D06">
        <w:rPr>
          <w:sz w:val="28"/>
          <w:szCs w:val="28"/>
        </w:rPr>
        <w:t>1</w:t>
      </w:r>
      <w:r w:rsidR="00607ADB" w:rsidRPr="00282256">
        <w:rPr>
          <w:sz w:val="28"/>
          <w:szCs w:val="28"/>
          <w:lang w:val="ru-RU"/>
        </w:rPr>
        <w:t>]</w:t>
      </w:r>
    </w:p>
    <w:p w:rsidR="00495F6A" w:rsidRDefault="00495F6A" w:rsidP="00385B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Сінгапур, Малайзія та </w:t>
      </w:r>
      <w:r w:rsidRPr="006B4268">
        <w:rPr>
          <w:sz w:val="28"/>
          <w:szCs w:val="28"/>
        </w:rPr>
        <w:t xml:space="preserve">Таїланд </w:t>
      </w:r>
      <w:r>
        <w:rPr>
          <w:sz w:val="28"/>
          <w:szCs w:val="28"/>
        </w:rPr>
        <w:t xml:space="preserve">протягом багатьох років і зараз продовжують залишатись одними з найуспішніших країн регіону Південно-Східної Азії щодо </w:t>
      </w:r>
      <w:r w:rsidRPr="006B4268">
        <w:rPr>
          <w:sz w:val="28"/>
          <w:szCs w:val="28"/>
        </w:rPr>
        <w:t xml:space="preserve">залучення прямих іноземних інвестицій завдяки численним перевагам для іноземних інвесторів, які прагнуть вести бізнес в Азії. </w:t>
      </w:r>
      <w:r>
        <w:rPr>
          <w:sz w:val="28"/>
          <w:szCs w:val="28"/>
        </w:rPr>
        <w:t xml:space="preserve">Уряди країн спрямували свою державну політику на створення сприятливих умов, надання пільгових дотацій іноземним інвесторам, підтримці та наданні гарантій для іноземних інвесторів задля економічного зростання економік країни. </w:t>
      </w:r>
    </w:p>
    <w:p w:rsidR="00DD5F36" w:rsidRDefault="006B19BA" w:rsidP="00DD5F36">
      <w:pPr>
        <w:spacing w:line="360" w:lineRule="auto"/>
        <w:ind w:firstLine="709"/>
        <w:jc w:val="center"/>
        <w:rPr>
          <w:sz w:val="24"/>
          <w:szCs w:val="24"/>
        </w:rPr>
      </w:pPr>
      <w:r w:rsidRPr="006B19BA">
        <w:rPr>
          <w:sz w:val="24"/>
          <w:szCs w:val="24"/>
        </w:rPr>
        <w:t>Література:</w:t>
      </w:r>
    </w:p>
    <w:p w:rsidR="00385BC0" w:rsidRPr="00153AA0" w:rsidRDefault="00DD5F36" w:rsidP="00153AA0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0" w:firstLine="851"/>
        <w:rPr>
          <w:rStyle w:val="a4"/>
          <w:color w:val="auto"/>
          <w:sz w:val="24"/>
          <w:szCs w:val="24"/>
          <w:u w:val="none"/>
        </w:rPr>
      </w:pPr>
      <w:r w:rsidRPr="00153AA0">
        <w:rPr>
          <w:sz w:val="24"/>
          <w:szCs w:val="24"/>
          <w:lang w:val="en-US"/>
        </w:rPr>
        <w:t>Flows of Inward Foreign Direct Investment (FDI) to ASEAN Countries</w:t>
      </w:r>
      <w:r w:rsidRPr="00153AA0">
        <w:rPr>
          <w:sz w:val="24"/>
          <w:szCs w:val="24"/>
        </w:rPr>
        <w:t xml:space="preserve">. </w:t>
      </w:r>
      <w:r w:rsidR="00385BC0" w:rsidRPr="00153AA0">
        <w:rPr>
          <w:i/>
          <w:sz w:val="24"/>
          <w:szCs w:val="24"/>
          <w:lang w:val="en-US"/>
        </w:rPr>
        <w:t>ASEAN</w:t>
      </w:r>
      <w:r w:rsidR="00385BC0" w:rsidRPr="00153AA0">
        <w:rPr>
          <w:i/>
          <w:sz w:val="24"/>
          <w:szCs w:val="24"/>
        </w:rPr>
        <w:t xml:space="preserve"> </w:t>
      </w:r>
      <w:r w:rsidR="00385BC0" w:rsidRPr="00153AA0">
        <w:rPr>
          <w:i/>
          <w:sz w:val="24"/>
          <w:szCs w:val="24"/>
          <w:lang w:val="en-US"/>
        </w:rPr>
        <w:t>Stats</w:t>
      </w:r>
      <w:r w:rsidR="00385BC0" w:rsidRPr="00153AA0">
        <w:rPr>
          <w:i/>
          <w:sz w:val="24"/>
          <w:szCs w:val="24"/>
        </w:rPr>
        <w:t xml:space="preserve"> </w:t>
      </w:r>
      <w:r w:rsidR="00385BC0" w:rsidRPr="00153AA0">
        <w:rPr>
          <w:i/>
          <w:sz w:val="24"/>
          <w:szCs w:val="24"/>
          <w:lang w:val="en-US"/>
        </w:rPr>
        <w:t>Data</w:t>
      </w:r>
      <w:r w:rsidR="00385BC0" w:rsidRPr="00153AA0">
        <w:rPr>
          <w:i/>
          <w:sz w:val="24"/>
          <w:szCs w:val="24"/>
        </w:rPr>
        <w:t xml:space="preserve"> </w:t>
      </w:r>
      <w:r w:rsidR="00385BC0" w:rsidRPr="00153AA0">
        <w:rPr>
          <w:i/>
          <w:sz w:val="24"/>
          <w:szCs w:val="24"/>
          <w:lang w:val="en-US"/>
        </w:rPr>
        <w:t>Portal</w:t>
      </w:r>
      <w:r w:rsidRPr="00153AA0">
        <w:rPr>
          <w:sz w:val="24"/>
          <w:szCs w:val="24"/>
        </w:rPr>
        <w:t>: веб-сайт.</w:t>
      </w:r>
      <w:r w:rsidR="00385BC0" w:rsidRPr="00153AA0">
        <w:rPr>
          <w:sz w:val="24"/>
          <w:szCs w:val="24"/>
          <w:lang w:val="en-US"/>
        </w:rPr>
        <w:t xml:space="preserve"> </w:t>
      </w:r>
      <w:r w:rsidR="00385BC0" w:rsidRPr="00153AA0">
        <w:rPr>
          <w:sz w:val="24"/>
          <w:szCs w:val="24"/>
        </w:rPr>
        <w:t>URL:</w:t>
      </w:r>
      <w:r w:rsidR="00385BC0" w:rsidRPr="00153AA0">
        <w:rPr>
          <w:sz w:val="24"/>
          <w:szCs w:val="24"/>
          <w:lang w:val="en-US"/>
        </w:rPr>
        <w:t xml:space="preserve"> </w:t>
      </w:r>
      <w:hyperlink r:id="rId10" w:history="1">
        <w:r w:rsidR="00385BC0" w:rsidRPr="00153AA0">
          <w:rPr>
            <w:rStyle w:val="a4"/>
            <w:color w:val="auto"/>
            <w:sz w:val="24"/>
            <w:szCs w:val="24"/>
            <w:u w:val="none"/>
          </w:rPr>
          <w:t>https://data.aseanstats.org/indicator/FDI.AMS.TOT.INF</w:t>
        </w:r>
      </w:hyperlink>
    </w:p>
    <w:p w:rsidR="00E9688C" w:rsidRPr="00153AA0" w:rsidRDefault="00385BC0" w:rsidP="00153AA0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153AA0">
        <w:rPr>
          <w:sz w:val="24"/>
          <w:szCs w:val="24"/>
          <w:lang w:val="en-US"/>
        </w:rPr>
        <w:t>ASEAN</w:t>
      </w:r>
      <w:r w:rsidRPr="00153AA0">
        <w:rPr>
          <w:sz w:val="24"/>
          <w:szCs w:val="24"/>
        </w:rPr>
        <w:t xml:space="preserve"> </w:t>
      </w:r>
      <w:r w:rsidRPr="00153AA0">
        <w:rPr>
          <w:sz w:val="24"/>
          <w:szCs w:val="24"/>
          <w:lang w:val="en-US"/>
        </w:rPr>
        <w:t>Investment Report 2022</w:t>
      </w:r>
      <w:r w:rsidRPr="00153AA0">
        <w:rPr>
          <w:sz w:val="24"/>
          <w:szCs w:val="24"/>
        </w:rPr>
        <w:t>.</w:t>
      </w:r>
      <w:r w:rsidR="00E9688C" w:rsidRPr="00153AA0">
        <w:rPr>
          <w:sz w:val="24"/>
          <w:szCs w:val="24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The</w:t>
      </w:r>
      <w:proofErr w:type="spellEnd"/>
      <w:r w:rsidR="00E9688C" w:rsidRPr="00153AA0">
        <w:rPr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Association</w:t>
      </w:r>
      <w:proofErr w:type="spellEnd"/>
      <w:r w:rsidR="00E9688C" w:rsidRPr="00153AA0">
        <w:rPr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of</w:t>
      </w:r>
      <w:proofErr w:type="spellEnd"/>
      <w:r w:rsidR="00E9688C" w:rsidRPr="00153AA0">
        <w:rPr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Southeast</w:t>
      </w:r>
      <w:proofErr w:type="spellEnd"/>
      <w:r w:rsidR="00E9688C" w:rsidRPr="00153AA0">
        <w:rPr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Asian</w:t>
      </w:r>
      <w:proofErr w:type="spellEnd"/>
      <w:r w:rsidR="00E9688C" w:rsidRPr="00153AA0">
        <w:rPr>
          <w:i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E9688C" w:rsidRPr="00153AA0">
        <w:rPr>
          <w:i/>
          <w:spacing w:val="2"/>
          <w:sz w:val="24"/>
          <w:szCs w:val="24"/>
          <w:shd w:val="clear" w:color="auto" w:fill="FFFFFF"/>
        </w:rPr>
        <w:t>Nations</w:t>
      </w:r>
      <w:proofErr w:type="spellEnd"/>
      <w:r w:rsidR="00E9688C" w:rsidRPr="00153AA0">
        <w:rPr>
          <w:i/>
          <w:sz w:val="24"/>
          <w:szCs w:val="24"/>
        </w:rPr>
        <w:t>:</w:t>
      </w:r>
      <w:r w:rsidR="00E9688C" w:rsidRPr="00153AA0">
        <w:rPr>
          <w:sz w:val="24"/>
          <w:szCs w:val="24"/>
        </w:rPr>
        <w:t xml:space="preserve"> веб-сайт.</w:t>
      </w:r>
      <w:r w:rsidRPr="00153AA0">
        <w:rPr>
          <w:sz w:val="24"/>
          <w:szCs w:val="24"/>
        </w:rPr>
        <w:t xml:space="preserve"> URL:</w:t>
      </w:r>
      <w:r w:rsidRPr="00153AA0">
        <w:rPr>
          <w:sz w:val="24"/>
          <w:szCs w:val="24"/>
          <w:lang w:val="ru-RU"/>
        </w:rPr>
        <w:t xml:space="preserve"> </w:t>
      </w:r>
      <w:hyperlink r:id="rId11" w:history="1"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https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asean</w:t>
        </w:r>
        <w:proofErr w:type="spellEnd"/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.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org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wp</w:t>
        </w:r>
        <w:proofErr w:type="spellEnd"/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content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/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uploads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/2022/10/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AIR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2022-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Web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Online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-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Final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ru-RU"/>
          </w:rPr>
          <w:t>-211022.</w:t>
        </w:r>
        <w:r w:rsidR="00153AA0" w:rsidRPr="00153AA0">
          <w:rPr>
            <w:rStyle w:val="a4"/>
            <w:color w:val="auto"/>
            <w:sz w:val="24"/>
            <w:szCs w:val="24"/>
            <w:u w:val="none"/>
            <w:lang w:val="en-US"/>
          </w:rPr>
          <w:t>pdf</w:t>
        </w:r>
      </w:hyperlink>
      <w:r w:rsidR="00153AA0" w:rsidRPr="00153AA0">
        <w:rPr>
          <w:sz w:val="24"/>
          <w:szCs w:val="24"/>
        </w:rPr>
        <w:t xml:space="preserve"> (дата звернення 07.04.2024).</w:t>
      </w:r>
    </w:p>
    <w:p w:rsidR="00360A2D" w:rsidRPr="00153AA0" w:rsidRDefault="00385BC0" w:rsidP="00153AA0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153AA0">
        <w:rPr>
          <w:sz w:val="24"/>
          <w:szCs w:val="24"/>
          <w:lang w:val="en-US"/>
        </w:rPr>
        <w:t>ASEAN</w:t>
      </w:r>
      <w:r w:rsidRPr="00153AA0">
        <w:rPr>
          <w:sz w:val="24"/>
          <w:szCs w:val="24"/>
        </w:rPr>
        <w:t xml:space="preserve"> </w:t>
      </w:r>
      <w:r w:rsidRPr="00153AA0">
        <w:rPr>
          <w:sz w:val="24"/>
          <w:szCs w:val="24"/>
          <w:lang w:val="en-US"/>
        </w:rPr>
        <w:t xml:space="preserve">Investment Report </w:t>
      </w:r>
      <w:r w:rsidRPr="00153AA0">
        <w:rPr>
          <w:sz w:val="24"/>
          <w:szCs w:val="24"/>
        </w:rPr>
        <w:t>2020-2021.</w:t>
      </w:r>
      <w:r w:rsidR="00360A2D" w:rsidRPr="00153AA0">
        <w:rPr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ASEAN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Stats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Data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Portal</w:t>
      </w:r>
      <w:r w:rsidR="00360A2D" w:rsidRPr="00153AA0">
        <w:rPr>
          <w:sz w:val="24"/>
          <w:szCs w:val="24"/>
        </w:rPr>
        <w:t>: веб-сайт.</w:t>
      </w:r>
      <w:r w:rsidRPr="00153AA0">
        <w:rPr>
          <w:sz w:val="24"/>
          <w:szCs w:val="24"/>
        </w:rPr>
        <w:t xml:space="preserve"> </w:t>
      </w:r>
      <w:hyperlink r:id="rId12" w:history="1">
        <w:r w:rsidR="00360A2D" w:rsidRPr="00153AA0">
          <w:rPr>
            <w:rStyle w:val="a4"/>
            <w:color w:val="auto"/>
            <w:sz w:val="24"/>
            <w:szCs w:val="24"/>
            <w:u w:val="none"/>
          </w:rPr>
          <w:t>https://asean.org/wp-content/uploads/2021/09/AIR-2020-2021.pdf</w:t>
        </w:r>
      </w:hyperlink>
      <w:r w:rsidR="00153AA0" w:rsidRPr="00153AA0">
        <w:rPr>
          <w:sz w:val="24"/>
          <w:szCs w:val="24"/>
        </w:rPr>
        <w:t xml:space="preserve"> </w:t>
      </w:r>
      <w:r w:rsidR="00153AA0" w:rsidRPr="00153AA0">
        <w:rPr>
          <w:sz w:val="24"/>
          <w:szCs w:val="24"/>
        </w:rPr>
        <w:t>(дата звернення 07.04.2024).</w:t>
      </w:r>
    </w:p>
    <w:p w:rsidR="00385BC0" w:rsidRPr="00153AA0" w:rsidRDefault="00385BC0" w:rsidP="00153AA0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0" w:firstLine="709"/>
        <w:rPr>
          <w:rStyle w:val="a4"/>
          <w:color w:val="auto"/>
          <w:sz w:val="24"/>
          <w:szCs w:val="24"/>
          <w:u w:val="none"/>
        </w:rPr>
      </w:pPr>
      <w:r w:rsidRPr="00153AA0">
        <w:rPr>
          <w:sz w:val="24"/>
          <w:szCs w:val="24"/>
          <w:lang w:val="en-US"/>
        </w:rPr>
        <w:t>Association of southeast Asian nations.</w:t>
      </w:r>
      <w:r w:rsidRPr="00153AA0">
        <w:rPr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ASEAN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Stats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Data</w:t>
      </w:r>
      <w:r w:rsidR="00360A2D" w:rsidRPr="00153AA0">
        <w:rPr>
          <w:i/>
          <w:sz w:val="24"/>
          <w:szCs w:val="24"/>
        </w:rPr>
        <w:t xml:space="preserve"> </w:t>
      </w:r>
      <w:r w:rsidR="00360A2D" w:rsidRPr="00153AA0">
        <w:rPr>
          <w:i/>
          <w:sz w:val="24"/>
          <w:szCs w:val="24"/>
          <w:lang w:val="en-US"/>
        </w:rPr>
        <w:t>Portal</w:t>
      </w:r>
      <w:r w:rsidR="00360A2D" w:rsidRPr="00153AA0">
        <w:rPr>
          <w:sz w:val="24"/>
          <w:szCs w:val="24"/>
        </w:rPr>
        <w:t>: веб-сайт</w:t>
      </w:r>
      <w:r w:rsidR="00360A2D" w:rsidRPr="00153AA0">
        <w:rPr>
          <w:sz w:val="24"/>
          <w:szCs w:val="24"/>
        </w:rPr>
        <w:t xml:space="preserve"> </w:t>
      </w:r>
      <w:r w:rsidRPr="00153AA0">
        <w:rPr>
          <w:sz w:val="24"/>
          <w:szCs w:val="24"/>
          <w:lang w:val="en-US"/>
        </w:rPr>
        <w:t xml:space="preserve">URL: </w:t>
      </w:r>
      <w:hyperlink r:id="rId13" w:history="1">
        <w:r w:rsidRPr="00153AA0">
          <w:rPr>
            <w:rStyle w:val="a4"/>
            <w:color w:val="auto"/>
            <w:sz w:val="24"/>
            <w:szCs w:val="24"/>
            <w:u w:val="none"/>
          </w:rPr>
          <w:t>https://asean.org/our-communities/economic-community/investment-2/</w:t>
        </w:r>
      </w:hyperlink>
      <w:r w:rsidR="00153AA0" w:rsidRPr="00153AA0">
        <w:rPr>
          <w:rStyle w:val="a4"/>
          <w:color w:val="auto"/>
          <w:sz w:val="24"/>
          <w:szCs w:val="24"/>
          <w:u w:val="none"/>
        </w:rPr>
        <w:t xml:space="preserve"> </w:t>
      </w:r>
      <w:r w:rsidR="00153AA0" w:rsidRPr="00153AA0">
        <w:rPr>
          <w:sz w:val="24"/>
          <w:szCs w:val="24"/>
        </w:rPr>
        <w:t>(дата звернення 07.04.2024).</w:t>
      </w:r>
    </w:p>
    <w:p w:rsidR="006B19BA" w:rsidRPr="00024176" w:rsidRDefault="00385BC0" w:rsidP="00024176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left="0" w:firstLine="851"/>
        <w:rPr>
          <w:sz w:val="24"/>
          <w:szCs w:val="24"/>
        </w:rPr>
      </w:pPr>
      <w:r w:rsidRPr="00153AA0">
        <w:rPr>
          <w:spacing w:val="-11"/>
          <w:sz w:val="24"/>
          <w:szCs w:val="24"/>
        </w:rPr>
        <w:t xml:space="preserve">2022 </w:t>
      </w:r>
      <w:proofErr w:type="spellStart"/>
      <w:r w:rsidRPr="00153AA0">
        <w:rPr>
          <w:spacing w:val="-11"/>
          <w:sz w:val="24"/>
          <w:szCs w:val="24"/>
        </w:rPr>
        <w:t>Investment</w:t>
      </w:r>
      <w:proofErr w:type="spellEnd"/>
      <w:r w:rsidRPr="00153AA0">
        <w:rPr>
          <w:spacing w:val="-11"/>
          <w:sz w:val="24"/>
          <w:szCs w:val="24"/>
        </w:rPr>
        <w:t xml:space="preserve"> </w:t>
      </w:r>
      <w:proofErr w:type="spellStart"/>
      <w:r w:rsidRPr="00153AA0">
        <w:rPr>
          <w:spacing w:val="-11"/>
          <w:sz w:val="24"/>
          <w:szCs w:val="24"/>
        </w:rPr>
        <w:t>Climate</w:t>
      </w:r>
      <w:proofErr w:type="spellEnd"/>
      <w:r w:rsidRPr="00153AA0">
        <w:rPr>
          <w:spacing w:val="-11"/>
          <w:sz w:val="24"/>
          <w:szCs w:val="24"/>
        </w:rPr>
        <w:t xml:space="preserve"> </w:t>
      </w:r>
      <w:proofErr w:type="spellStart"/>
      <w:r w:rsidRPr="00153AA0">
        <w:rPr>
          <w:spacing w:val="-11"/>
          <w:sz w:val="24"/>
          <w:szCs w:val="24"/>
        </w:rPr>
        <w:t>Statements</w:t>
      </w:r>
      <w:proofErr w:type="spellEnd"/>
      <w:r w:rsidRPr="00153AA0">
        <w:rPr>
          <w:spacing w:val="-11"/>
          <w:sz w:val="24"/>
          <w:szCs w:val="24"/>
        </w:rPr>
        <w:t xml:space="preserve">: </w:t>
      </w:r>
      <w:proofErr w:type="spellStart"/>
      <w:r w:rsidRPr="00153AA0">
        <w:rPr>
          <w:spacing w:val="-11"/>
          <w:sz w:val="24"/>
          <w:szCs w:val="24"/>
        </w:rPr>
        <w:t>Singapore</w:t>
      </w:r>
      <w:proofErr w:type="spellEnd"/>
      <w:r w:rsidRPr="00153AA0">
        <w:rPr>
          <w:spacing w:val="-11"/>
          <w:sz w:val="24"/>
          <w:szCs w:val="24"/>
        </w:rPr>
        <w:t>.</w:t>
      </w:r>
      <w:r w:rsidR="00E771A9" w:rsidRPr="00153AA0">
        <w:rPr>
          <w:spacing w:val="-11"/>
          <w:sz w:val="24"/>
          <w:szCs w:val="24"/>
        </w:rPr>
        <w:t xml:space="preserve"> </w:t>
      </w:r>
      <w:r w:rsidR="00772C00">
        <w:rPr>
          <w:i/>
          <w:spacing w:val="-11"/>
          <w:sz w:val="24"/>
          <w:szCs w:val="24"/>
          <w:lang w:val="en-US"/>
        </w:rPr>
        <w:t>U.S. Department of State</w:t>
      </w:r>
      <w:r w:rsidR="00772C00">
        <w:rPr>
          <w:i/>
          <w:spacing w:val="-11"/>
          <w:sz w:val="24"/>
          <w:szCs w:val="24"/>
        </w:rPr>
        <w:t>:</w:t>
      </w:r>
      <w:r w:rsidRPr="00153AA0">
        <w:rPr>
          <w:spacing w:val="-11"/>
          <w:sz w:val="24"/>
          <w:szCs w:val="24"/>
        </w:rPr>
        <w:t xml:space="preserve"> </w:t>
      </w:r>
      <w:r w:rsidR="00153AA0" w:rsidRPr="00153AA0">
        <w:rPr>
          <w:sz w:val="24"/>
          <w:szCs w:val="24"/>
        </w:rPr>
        <w:t>веб-сайт.</w:t>
      </w:r>
      <w:r w:rsidR="00153AA0" w:rsidRPr="00153AA0">
        <w:rPr>
          <w:sz w:val="24"/>
          <w:szCs w:val="24"/>
        </w:rPr>
        <w:t xml:space="preserve"> </w:t>
      </w:r>
      <w:r w:rsidRPr="00153AA0">
        <w:rPr>
          <w:sz w:val="24"/>
          <w:szCs w:val="24"/>
        </w:rPr>
        <w:t xml:space="preserve">URL: </w:t>
      </w:r>
      <w:hyperlink r:id="rId14" w:history="1">
        <w:r w:rsidRPr="00153AA0">
          <w:rPr>
            <w:rStyle w:val="a4"/>
            <w:color w:val="auto"/>
            <w:sz w:val="24"/>
            <w:szCs w:val="24"/>
            <w:u w:val="none"/>
          </w:rPr>
          <w:t>https://www.state.gov/reports/2022-investment-climate-statements/singapore/</w:t>
        </w:r>
      </w:hyperlink>
      <w:r w:rsidR="00153AA0" w:rsidRPr="00153AA0">
        <w:rPr>
          <w:rStyle w:val="a4"/>
          <w:color w:val="auto"/>
          <w:sz w:val="24"/>
          <w:szCs w:val="24"/>
          <w:u w:val="none"/>
        </w:rPr>
        <w:t xml:space="preserve"> </w:t>
      </w:r>
      <w:r w:rsidR="00153AA0" w:rsidRPr="00153AA0">
        <w:rPr>
          <w:sz w:val="24"/>
          <w:szCs w:val="24"/>
        </w:rPr>
        <w:t>(дата звернення 07.04.2024</w:t>
      </w:r>
      <w:r w:rsidR="00153AA0" w:rsidRPr="00153AA0">
        <w:rPr>
          <w:sz w:val="24"/>
          <w:szCs w:val="24"/>
        </w:rPr>
        <w:t>).</w:t>
      </w:r>
    </w:p>
    <w:sectPr w:rsidR="006B19BA" w:rsidRPr="00024176" w:rsidSect="00385B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BD" w:rsidRDefault="004233BD" w:rsidP="00024176">
      <w:r>
        <w:separator/>
      </w:r>
    </w:p>
  </w:endnote>
  <w:endnote w:type="continuationSeparator" w:id="0">
    <w:p w:rsidR="004233BD" w:rsidRDefault="004233BD" w:rsidP="000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BD" w:rsidRDefault="004233BD" w:rsidP="00024176">
      <w:r>
        <w:separator/>
      </w:r>
    </w:p>
  </w:footnote>
  <w:footnote w:type="continuationSeparator" w:id="0">
    <w:p w:rsidR="004233BD" w:rsidRDefault="004233BD" w:rsidP="0002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8E9"/>
    <w:multiLevelType w:val="hybridMultilevel"/>
    <w:tmpl w:val="9E04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3C89"/>
    <w:multiLevelType w:val="hybridMultilevel"/>
    <w:tmpl w:val="20B2A1E2"/>
    <w:lvl w:ilvl="0" w:tplc="DFD447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9"/>
    <w:rsid w:val="00010E0F"/>
    <w:rsid w:val="00024176"/>
    <w:rsid w:val="00093F7E"/>
    <w:rsid w:val="00117C59"/>
    <w:rsid w:val="00153AA0"/>
    <w:rsid w:val="00183572"/>
    <w:rsid w:val="001D0E0B"/>
    <w:rsid w:val="001D4780"/>
    <w:rsid w:val="001E2A9B"/>
    <w:rsid w:val="002A15CA"/>
    <w:rsid w:val="002A3694"/>
    <w:rsid w:val="003008B5"/>
    <w:rsid w:val="00342CDA"/>
    <w:rsid w:val="00360A2D"/>
    <w:rsid w:val="003744AF"/>
    <w:rsid w:val="00385BC0"/>
    <w:rsid w:val="004233BD"/>
    <w:rsid w:val="00434E92"/>
    <w:rsid w:val="00444A89"/>
    <w:rsid w:val="004956F0"/>
    <w:rsid w:val="00495F6A"/>
    <w:rsid w:val="005A7644"/>
    <w:rsid w:val="005B68EE"/>
    <w:rsid w:val="00607ADB"/>
    <w:rsid w:val="00672C87"/>
    <w:rsid w:val="00680055"/>
    <w:rsid w:val="006A118E"/>
    <w:rsid w:val="006B19BA"/>
    <w:rsid w:val="006B4398"/>
    <w:rsid w:val="00772C00"/>
    <w:rsid w:val="00793605"/>
    <w:rsid w:val="00815EB5"/>
    <w:rsid w:val="008B5B46"/>
    <w:rsid w:val="008C3A07"/>
    <w:rsid w:val="00963B2D"/>
    <w:rsid w:val="00A13A78"/>
    <w:rsid w:val="00A6413C"/>
    <w:rsid w:val="00A7171E"/>
    <w:rsid w:val="00AE16C8"/>
    <w:rsid w:val="00AE538C"/>
    <w:rsid w:val="00AF5809"/>
    <w:rsid w:val="00B87D6F"/>
    <w:rsid w:val="00BB405E"/>
    <w:rsid w:val="00C56DF0"/>
    <w:rsid w:val="00C86CA4"/>
    <w:rsid w:val="00C9181E"/>
    <w:rsid w:val="00D051AA"/>
    <w:rsid w:val="00D3258B"/>
    <w:rsid w:val="00D4624B"/>
    <w:rsid w:val="00D64FAD"/>
    <w:rsid w:val="00D82C23"/>
    <w:rsid w:val="00DB42FA"/>
    <w:rsid w:val="00DD5F36"/>
    <w:rsid w:val="00DF1834"/>
    <w:rsid w:val="00E22D06"/>
    <w:rsid w:val="00E771A9"/>
    <w:rsid w:val="00E9688C"/>
    <w:rsid w:val="00EE2917"/>
    <w:rsid w:val="00F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3813"/>
  <w15:chartTrackingRefBased/>
  <w15:docId w15:val="{B81DDF62-1577-4257-9187-EB64CBA7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5F6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link w:val="40"/>
    <w:uiPriority w:val="9"/>
    <w:qFormat/>
    <w:rsid w:val="00DD5F36"/>
    <w:pPr>
      <w:widowControl/>
      <w:autoSpaceDE/>
      <w:autoSpaceDN/>
      <w:spacing w:before="100" w:beforeAutospacing="1" w:after="100" w:afterAutospacing="1"/>
      <w:jc w:val="left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6A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18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5BC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D5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4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17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024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17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1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6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asean.org/our-communities/economic-community/investmen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712-3071" TargetMode="External"/><Relationship Id="rId12" Type="http://schemas.openxmlformats.org/officeDocument/2006/relationships/hyperlink" Target="https://asean.org/wp-content/uploads/2021/09/AIR-2020-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ean.org/wp-content/uploads/2022/10/AIR2022-Web-Online-Final-21102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ata.aseanstats.org/indicator/FDI.AMS.TOT.IN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www.state.gov/reports/2022-investment-climate-statements/singapor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_&#1084;&#1072;&#1075;&#1110;&#1089;&#1090;&#1088;&#1080;_23\&#1055;&#1086;&#1076;&#1086;&#1073;&#1085;&#1072;&#1103;%20&#1044;\&#1055;&#1086;&#1076;&#1086;&#1073;&#1085;&#1072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_&#1084;&#1072;&#1075;&#1110;&#1089;&#1090;&#1088;&#1080;_23\&#1055;&#1086;&#1076;&#1086;&#1073;&#1085;&#1072;&#1103;%20&#1044;\&#1055;&#1086;&#1076;&#1086;&#1073;&#1085;&#1072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Лист1!$A$65</c:f>
              <c:strCache>
                <c:ptCount val="1"/>
                <c:pt idx="0">
                  <c:v>Надходження ПІІ до АСЕАН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forward val="3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numRef>
              <c:f>Лист1!$B$64:$L$64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Лист1!$B$65:$L$65</c:f>
              <c:numCache>
                <c:formatCode>General</c:formatCode>
                <c:ptCount val="11"/>
                <c:pt idx="0">
                  <c:v>119</c:v>
                </c:pt>
                <c:pt idx="1">
                  <c:v>116</c:v>
                </c:pt>
                <c:pt idx="2">
                  <c:v>156</c:v>
                </c:pt>
                <c:pt idx="3">
                  <c:v>149</c:v>
                </c:pt>
                <c:pt idx="4">
                  <c:v>182</c:v>
                </c:pt>
                <c:pt idx="5">
                  <c:v>137</c:v>
                </c:pt>
                <c:pt idx="6">
                  <c:v>212.4</c:v>
                </c:pt>
                <c:pt idx="7">
                  <c:v>224.2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B-47BD-87BF-8486869314D5}"/>
            </c:ext>
          </c:extLst>
        </c:ser>
        <c:ser>
          <c:idx val="1"/>
          <c:order val="1"/>
          <c:tx>
            <c:strRef>
              <c:f>Лист1!$A$66</c:f>
              <c:strCache>
                <c:ptCount val="1"/>
                <c:pt idx="0">
                  <c:v>ПІІ в середині АСЕАН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Лист1!$B$64:$L$64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Лист1!$B$66:$L$66</c:f>
              <c:numCache>
                <c:formatCode>General</c:formatCode>
                <c:ptCount val="11"/>
                <c:pt idx="0">
                  <c:v>20.8</c:v>
                </c:pt>
                <c:pt idx="1">
                  <c:v>26.4</c:v>
                </c:pt>
                <c:pt idx="2">
                  <c:v>27.1</c:v>
                </c:pt>
                <c:pt idx="3">
                  <c:v>22.8</c:v>
                </c:pt>
                <c:pt idx="4">
                  <c:v>22.1</c:v>
                </c:pt>
                <c:pt idx="5">
                  <c:v>23.3</c:v>
                </c:pt>
                <c:pt idx="6">
                  <c:v>21</c:v>
                </c:pt>
                <c:pt idx="7">
                  <c:v>22.4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B-47BD-87BF-848686931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9647328"/>
        <c:axId val="369650936"/>
      </c:barChart>
      <c:catAx>
        <c:axId val="369647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47112636944272751"/>
              <c:y val="0.85959732638539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50936"/>
        <c:crosses val="autoZero"/>
        <c:auto val="1"/>
        <c:lblAlgn val="ctr"/>
        <c:lblOffset val="100"/>
        <c:noMultiLvlLbl val="0"/>
      </c:catAx>
      <c:valAx>
        <c:axId val="369650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 дол. США</a:t>
                </a:r>
              </a:p>
            </c:rich>
          </c:tx>
          <c:layout>
            <c:manualLayout>
              <c:xMode val="edge"/>
              <c:yMode val="edge"/>
              <c:x val="2.6545316647705725E-2"/>
              <c:y val="0.31108552016007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4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677952105697772E-2"/>
          <c:y val="0.78232262851960255"/>
          <c:w val="0.9"/>
          <c:h val="0.12007770952714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78035942228534"/>
          <c:y val="6.5476190476190479E-2"/>
          <c:w val="0.8321741032370954"/>
          <c:h val="0.7656242969628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Лист1!$A$93</c:f>
              <c:strCache>
                <c:ptCount val="1"/>
                <c:pt idx="0">
                  <c:v>Сінгапур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Лист1!$B$92:$I$92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Лист1!$B$93:$I$93</c:f>
              <c:numCache>
                <c:formatCode>General</c:formatCode>
                <c:ptCount val="8"/>
                <c:pt idx="0">
                  <c:v>54460.6</c:v>
                </c:pt>
                <c:pt idx="1">
                  <c:v>39886.6</c:v>
                </c:pt>
                <c:pt idx="2">
                  <c:v>60101.9</c:v>
                </c:pt>
                <c:pt idx="3">
                  <c:v>56670.9</c:v>
                </c:pt>
                <c:pt idx="4">
                  <c:v>73284.5</c:v>
                </c:pt>
                <c:pt idx="5">
                  <c:v>59702.3</c:v>
                </c:pt>
                <c:pt idx="6">
                  <c:v>131100.9</c:v>
                </c:pt>
                <c:pt idx="7">
                  <c:v>141187.20000000001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1-4DC0-855D-20E05AAE313D}"/>
            </c:ext>
          </c:extLst>
        </c:ser>
        <c:ser>
          <c:idx val="1"/>
          <c:order val="1"/>
          <c:tx>
            <c:strRef>
              <c:f>Лист1!$A$94</c:f>
              <c:strCache>
                <c:ptCount val="1"/>
                <c:pt idx="0">
                  <c:v>Малайзія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Лист1!$B$92:$I$92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Лист1!$B$94:$I$94</c:f>
              <c:numCache>
                <c:formatCode>General</c:formatCode>
                <c:ptCount val="8"/>
                <c:pt idx="0">
                  <c:v>10180</c:v>
                </c:pt>
                <c:pt idx="1">
                  <c:v>11290.3</c:v>
                </c:pt>
                <c:pt idx="2">
                  <c:v>9295.7999999999993</c:v>
                </c:pt>
                <c:pt idx="3">
                  <c:v>7611.3</c:v>
                </c:pt>
                <c:pt idx="4">
                  <c:v>7859.1</c:v>
                </c:pt>
                <c:pt idx="5">
                  <c:v>3185.3</c:v>
                </c:pt>
                <c:pt idx="6">
                  <c:v>12144.2</c:v>
                </c:pt>
                <c:pt idx="7">
                  <c:v>17095.8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31-4DC0-855D-20E05AAE313D}"/>
            </c:ext>
          </c:extLst>
        </c:ser>
        <c:ser>
          <c:idx val="2"/>
          <c:order val="2"/>
          <c:tx>
            <c:strRef>
              <c:f>Лист1!$A$95</c:f>
              <c:strCache>
                <c:ptCount val="1"/>
                <c:pt idx="0">
                  <c:v>Таїланд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Лист1!$B$92:$I$92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Лист1!$B$95:$I$95</c:f>
              <c:numCache>
                <c:formatCode>General</c:formatCode>
                <c:ptCount val="8"/>
                <c:pt idx="0">
                  <c:v>8927.7000000000007</c:v>
                </c:pt>
                <c:pt idx="1">
                  <c:v>3486.3</c:v>
                </c:pt>
                <c:pt idx="2">
                  <c:v>8285.2000000000007</c:v>
                </c:pt>
                <c:pt idx="3">
                  <c:v>13751.8</c:v>
                </c:pt>
                <c:pt idx="4">
                  <c:v>5518.7</c:v>
                </c:pt>
                <c:pt idx="5">
                  <c:v>-4951</c:v>
                </c:pt>
                <c:pt idx="6">
                  <c:v>14640.9</c:v>
                </c:pt>
                <c:pt idx="7">
                  <c:v>9939.6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31-4DC0-855D-20E05AAE31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671216"/>
        <c:axId val="512668264"/>
      </c:barChart>
      <c:catAx>
        <c:axId val="512671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Роки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668264"/>
        <c:crosses val="autoZero"/>
        <c:auto val="1"/>
        <c:lblAlgn val="ctr"/>
        <c:lblOffset val="100"/>
        <c:noMultiLvlLbl val="0"/>
      </c:catAx>
      <c:valAx>
        <c:axId val="512668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млн дол.</a:t>
                </a:r>
                <a:r>
                  <a:rPr lang="ru-RU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США</a:t>
                </a:r>
                <a:endParaRPr lang="ru-RU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67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2024-04-08T10:39:00Z</dcterms:created>
  <dcterms:modified xsi:type="dcterms:W3CDTF">2024-04-08T12:47:00Z</dcterms:modified>
</cp:coreProperties>
</file>