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ECC5D" w14:textId="21493B45" w:rsidR="003956D5" w:rsidRDefault="002E772E" w:rsidP="00522039">
      <w:pPr>
        <w:pStyle w:val="a3"/>
        <w:widowControl w:val="0"/>
        <w:shd w:val="clear" w:color="auto" w:fill="FFFFFF"/>
        <w:spacing w:before="0" w:beforeAutospacing="0" w:after="0" w:afterAutospacing="0"/>
        <w:jc w:val="right"/>
        <w:textAlignment w:val="baseline"/>
        <w:rPr>
          <w:sz w:val="28"/>
          <w:szCs w:val="28"/>
          <w:lang w:val="uk-UA"/>
        </w:rPr>
      </w:pPr>
      <w:r w:rsidRPr="00522039">
        <w:rPr>
          <w:b/>
          <w:bCs/>
          <w:sz w:val="28"/>
          <w:szCs w:val="28"/>
          <w:lang w:val="uk-UA"/>
        </w:rPr>
        <w:t>Лещенко Денис Олегович</w:t>
      </w:r>
      <w:r w:rsidR="00522039">
        <w:rPr>
          <w:sz w:val="28"/>
          <w:szCs w:val="28"/>
          <w:lang w:val="uk-UA"/>
        </w:rPr>
        <w:t>, студент</w:t>
      </w:r>
      <w:r w:rsidR="00025125">
        <w:rPr>
          <w:sz w:val="28"/>
          <w:szCs w:val="28"/>
          <w:lang w:val="uk-UA"/>
        </w:rPr>
        <w:t>,</w:t>
      </w:r>
    </w:p>
    <w:p w14:paraId="2161E5ED" w14:textId="2CF883EF" w:rsidR="00AB7746" w:rsidRPr="00AB7746" w:rsidRDefault="00AB7746" w:rsidP="00522039">
      <w:pPr>
        <w:pStyle w:val="a3"/>
        <w:widowControl w:val="0"/>
        <w:shd w:val="clear" w:color="auto" w:fill="FFFFFF"/>
        <w:spacing w:before="0" w:beforeAutospacing="0" w:after="0" w:afterAutospacing="0"/>
        <w:jc w:val="right"/>
        <w:textAlignment w:val="baseline"/>
        <w:rPr>
          <w:b/>
          <w:bCs/>
          <w:sz w:val="28"/>
          <w:szCs w:val="28"/>
          <w:lang w:val="uk-UA"/>
        </w:rPr>
      </w:pPr>
      <w:r w:rsidRPr="00AB7746">
        <w:rPr>
          <w:i/>
          <w:iCs/>
          <w:sz w:val="28"/>
          <w:szCs w:val="28"/>
          <w:lang w:val="uk-UA"/>
        </w:rPr>
        <w:t>Науковий керівник:</w:t>
      </w:r>
      <w:r>
        <w:rPr>
          <w:sz w:val="28"/>
          <w:szCs w:val="28"/>
          <w:lang w:val="uk-UA"/>
        </w:rPr>
        <w:t xml:space="preserve"> д.е.н., професор, </w:t>
      </w:r>
      <w:r w:rsidRPr="00AB7746">
        <w:rPr>
          <w:b/>
          <w:bCs/>
          <w:sz w:val="28"/>
          <w:szCs w:val="28"/>
          <w:lang w:val="uk-UA"/>
        </w:rPr>
        <w:t>Аверкина М.Ф.</w:t>
      </w:r>
    </w:p>
    <w:p w14:paraId="7B569547" w14:textId="089B9F81" w:rsidR="002E772E" w:rsidRPr="00522039" w:rsidRDefault="002E772E" w:rsidP="00522039">
      <w:pPr>
        <w:pStyle w:val="a3"/>
        <w:widowControl w:val="0"/>
        <w:shd w:val="clear" w:color="auto" w:fill="FFFFFF"/>
        <w:spacing w:before="0" w:beforeAutospacing="0" w:after="0" w:afterAutospacing="0"/>
        <w:jc w:val="right"/>
        <w:textAlignment w:val="baseline"/>
        <w:rPr>
          <w:noProof/>
          <w:sz w:val="28"/>
          <w:szCs w:val="28"/>
          <w:lang w:val="uk-UA"/>
        </w:rPr>
      </w:pPr>
      <w:r>
        <w:rPr>
          <w:noProof/>
          <w:sz w:val="28"/>
          <w:szCs w:val="28"/>
          <w:lang w:val="uk-UA"/>
        </w:rPr>
        <w:t xml:space="preserve">Національний університет </w:t>
      </w:r>
      <w:r w:rsidRPr="00AB7746">
        <w:rPr>
          <w:noProof/>
          <w:sz w:val="28"/>
          <w:szCs w:val="28"/>
          <w:lang w:val="ru-RU"/>
        </w:rPr>
        <w:t>“</w:t>
      </w:r>
      <w:r>
        <w:rPr>
          <w:noProof/>
          <w:sz w:val="28"/>
          <w:szCs w:val="28"/>
          <w:lang w:val="uk-UA"/>
        </w:rPr>
        <w:t>Острозька академія</w:t>
      </w:r>
      <w:r w:rsidRPr="00AB7746">
        <w:rPr>
          <w:noProof/>
          <w:sz w:val="28"/>
          <w:szCs w:val="28"/>
          <w:lang w:val="ru-RU"/>
        </w:rPr>
        <w:t>”</w:t>
      </w:r>
      <w:r w:rsidR="00522039">
        <w:rPr>
          <w:noProof/>
          <w:sz w:val="28"/>
          <w:szCs w:val="28"/>
          <w:lang w:val="uk-UA"/>
        </w:rPr>
        <w:t>, м. Острог</w:t>
      </w:r>
    </w:p>
    <w:p w14:paraId="324C633D" w14:textId="44F66134" w:rsidR="002E772E" w:rsidRDefault="002E772E" w:rsidP="00EA0E52">
      <w:pPr>
        <w:pStyle w:val="a3"/>
        <w:widowControl w:val="0"/>
        <w:shd w:val="clear" w:color="auto" w:fill="FFFFFF"/>
        <w:spacing w:before="0" w:beforeAutospacing="0" w:after="0" w:afterAutospacing="0"/>
        <w:jc w:val="both"/>
        <w:textAlignment w:val="baseline"/>
        <w:rPr>
          <w:sz w:val="28"/>
          <w:szCs w:val="28"/>
          <w:lang w:val="uk-UA"/>
        </w:rPr>
      </w:pPr>
    </w:p>
    <w:p w14:paraId="3AFBD884" w14:textId="3048721D" w:rsidR="002E772E" w:rsidRDefault="006B6252" w:rsidP="002E772E">
      <w:pPr>
        <w:pStyle w:val="a3"/>
        <w:widowControl w:val="0"/>
        <w:shd w:val="clear" w:color="auto" w:fill="FFFFFF"/>
        <w:spacing w:before="0" w:beforeAutospacing="0" w:after="0" w:afterAutospacing="0"/>
        <w:jc w:val="center"/>
        <w:textAlignment w:val="baseline"/>
        <w:rPr>
          <w:b/>
          <w:bCs/>
          <w:sz w:val="28"/>
          <w:szCs w:val="28"/>
          <w:lang w:val="uk-UA"/>
        </w:rPr>
      </w:pPr>
      <w:r>
        <w:rPr>
          <w:b/>
          <w:bCs/>
          <w:sz w:val="28"/>
          <w:szCs w:val="28"/>
          <w:lang w:val="uk-UA"/>
        </w:rPr>
        <w:t xml:space="preserve">МЕТОДИ </w:t>
      </w:r>
      <w:r w:rsidR="0014675A">
        <w:rPr>
          <w:b/>
          <w:bCs/>
          <w:sz w:val="28"/>
          <w:szCs w:val="28"/>
          <w:lang w:val="uk-UA"/>
        </w:rPr>
        <w:t>ПРОГНОЗУВАННЯ</w:t>
      </w:r>
      <w:r w:rsidR="002E772E" w:rsidRPr="002E772E">
        <w:rPr>
          <w:b/>
          <w:bCs/>
          <w:sz w:val="28"/>
          <w:szCs w:val="28"/>
          <w:lang w:val="uk-UA"/>
        </w:rPr>
        <w:t xml:space="preserve"> ЗЛОЧИННОСТІ</w:t>
      </w:r>
    </w:p>
    <w:p w14:paraId="15942B77" w14:textId="705439D6" w:rsidR="002E772E" w:rsidRDefault="002E772E" w:rsidP="002E772E">
      <w:pPr>
        <w:pStyle w:val="a3"/>
        <w:widowControl w:val="0"/>
        <w:shd w:val="clear" w:color="auto" w:fill="FFFFFF"/>
        <w:spacing w:before="0" w:beforeAutospacing="0" w:after="0" w:afterAutospacing="0"/>
        <w:jc w:val="center"/>
        <w:textAlignment w:val="baseline"/>
        <w:rPr>
          <w:b/>
          <w:bCs/>
          <w:sz w:val="28"/>
          <w:szCs w:val="28"/>
          <w:lang w:val="uk-UA"/>
        </w:rPr>
      </w:pPr>
    </w:p>
    <w:p w14:paraId="57E4253E" w14:textId="10D834E3"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Актуальність.</w:t>
      </w:r>
      <w:r>
        <w:rPr>
          <w:rFonts w:ascii="Times New Roman" w:eastAsia="Times New Roman" w:hAnsi="Times New Roman" w:cs="Times New Roman"/>
          <w:color w:val="000000"/>
          <w:sz w:val="28"/>
          <w:szCs w:val="28"/>
        </w:rPr>
        <w:t xml:space="preserve"> </w:t>
      </w:r>
      <w:r w:rsidR="00AB7746">
        <w:rPr>
          <w:rFonts w:ascii="Times New Roman" w:eastAsia="Times New Roman" w:hAnsi="Times New Roman" w:cs="Times New Roman"/>
          <w:sz w:val="28"/>
          <w:szCs w:val="28"/>
        </w:rPr>
        <w:t>Прогнозування</w:t>
      </w:r>
      <w:r>
        <w:rPr>
          <w:rFonts w:ascii="Times New Roman" w:eastAsia="Times New Roman" w:hAnsi="Times New Roman" w:cs="Times New Roman"/>
          <w:color w:val="000000"/>
          <w:sz w:val="28"/>
          <w:szCs w:val="28"/>
        </w:rPr>
        <w:t xml:space="preserve"> рівня злочинності є досить актуальним дослідженням, оскільки злочинність є серйозною проблемою в усіх країнах світу. </w:t>
      </w:r>
      <w:r w:rsidR="00AB7746">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рогнозування майбутнього рівня злочинності в різних районах, містах або країнах </w:t>
      </w:r>
      <w:r w:rsidR="00AB7746">
        <w:rPr>
          <w:rFonts w:ascii="Times New Roman" w:eastAsia="Times New Roman" w:hAnsi="Times New Roman" w:cs="Times New Roman"/>
          <w:color w:val="000000"/>
          <w:sz w:val="28"/>
          <w:szCs w:val="28"/>
        </w:rPr>
        <w:t xml:space="preserve">покликане </w:t>
      </w:r>
      <w:r>
        <w:rPr>
          <w:rFonts w:ascii="Times New Roman" w:eastAsia="Times New Roman" w:hAnsi="Times New Roman" w:cs="Times New Roman"/>
          <w:color w:val="000000"/>
          <w:sz w:val="28"/>
          <w:szCs w:val="28"/>
        </w:rPr>
        <w:t xml:space="preserve">допомогти урядам та правоохоронним органам максимально ефективно планувати свої дії. Також </w:t>
      </w:r>
      <w:r w:rsidR="00AB7746">
        <w:rPr>
          <w:rFonts w:ascii="Times New Roman" w:eastAsia="Times New Roman" w:hAnsi="Times New Roman" w:cs="Times New Roman"/>
          <w:color w:val="000000"/>
          <w:sz w:val="28"/>
          <w:szCs w:val="28"/>
        </w:rPr>
        <w:t>прогнозування</w:t>
      </w:r>
      <w:r>
        <w:rPr>
          <w:rFonts w:ascii="Times New Roman" w:eastAsia="Times New Roman" w:hAnsi="Times New Roman" w:cs="Times New Roman"/>
          <w:color w:val="000000"/>
          <w:sz w:val="28"/>
          <w:szCs w:val="28"/>
        </w:rPr>
        <w:t xml:space="preserve"> рівня злочинності може використовуватися для аналізу результатів політики з протидії злочинності. Зіставлення даних про рівень злочинності перед та після впровадження нових заходів може допомогти визначити їх ефективність та планувати подальші кроки в боротьбі з цим явищем.</w:t>
      </w:r>
    </w:p>
    <w:p w14:paraId="66759549" w14:textId="77777777"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Виклад основного матеріалу. </w:t>
      </w:r>
      <w:r>
        <w:rPr>
          <w:rFonts w:ascii="Times New Roman" w:eastAsia="Times New Roman" w:hAnsi="Times New Roman" w:cs="Times New Roman"/>
          <w:color w:val="000000"/>
          <w:sz w:val="28"/>
          <w:szCs w:val="28"/>
        </w:rPr>
        <w:t xml:space="preserve">Прогнозування злочинності – пізнання стану злочинності у майбутньому та факторів, які впливатимуть на її зміни [1]. Ефективна протидія злочинам можлива лише за наявності належного рівня аналітичної діяльності як основного фактора для своєчасного ухвалення необхідних, доцільних висновків на основі прогнозування. Предметом прогнозування є рівень та склад злочинності, фактори та умови, які </w:t>
      </w:r>
      <w:r>
        <w:rPr>
          <w:rFonts w:ascii="Times New Roman" w:eastAsia="Times New Roman" w:hAnsi="Times New Roman" w:cs="Times New Roman"/>
          <w:sz w:val="28"/>
          <w:szCs w:val="28"/>
        </w:rPr>
        <w:t>впливають</w:t>
      </w:r>
      <w:r>
        <w:rPr>
          <w:rFonts w:ascii="Times New Roman" w:eastAsia="Times New Roman" w:hAnsi="Times New Roman" w:cs="Times New Roman"/>
          <w:color w:val="000000"/>
          <w:sz w:val="28"/>
          <w:szCs w:val="28"/>
        </w:rPr>
        <w:t xml:space="preserve"> на злочинність [2], тобто встановлення показників, які зможуть характеризувати рівень злочинності у майбутньому. До факторів впливу на рівень злочинності можна віднести:</w:t>
      </w:r>
    </w:p>
    <w:p w14:paraId="47ED0296"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Економічні (рівень економічного розвитку, рівень безробіття, рівень доходів тощо).</w:t>
      </w:r>
    </w:p>
    <w:p w14:paraId="6A891200"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Соціальні (якість життя населення, рівень освіти тощо).</w:t>
      </w:r>
    </w:p>
    <w:p w14:paraId="27847E37"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Демографічні (густота населення, вікова структура, етнічний склад тощо).</w:t>
      </w:r>
    </w:p>
    <w:p w14:paraId="20EAD342"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Культурні (релігійний стан, суспільна культура, психічні розлади тощо).</w:t>
      </w:r>
    </w:p>
    <w:p w14:paraId="6BB74532"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Політичні (політична стабільність, корупція тощо).</w:t>
      </w:r>
    </w:p>
    <w:p w14:paraId="70E66E2C"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Організаційно-правові (діяльність та забезпеченість </w:t>
      </w:r>
      <w:r>
        <w:rPr>
          <w:rFonts w:ascii="Times New Roman" w:eastAsia="Times New Roman" w:hAnsi="Times New Roman" w:cs="Times New Roman"/>
          <w:sz w:val="28"/>
          <w:szCs w:val="28"/>
        </w:rPr>
        <w:t>правоохоронних</w:t>
      </w:r>
      <w:r>
        <w:rPr>
          <w:rFonts w:ascii="Times New Roman" w:eastAsia="Times New Roman" w:hAnsi="Times New Roman" w:cs="Times New Roman"/>
          <w:color w:val="000000"/>
          <w:sz w:val="28"/>
          <w:szCs w:val="28"/>
        </w:rPr>
        <w:t xml:space="preserve"> органів).</w:t>
      </w:r>
    </w:p>
    <w:p w14:paraId="531D741C"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Географічні (географічне положення, яке схиляє до </w:t>
      </w:r>
      <w:r>
        <w:rPr>
          <w:rFonts w:ascii="Times New Roman" w:eastAsia="Times New Roman" w:hAnsi="Times New Roman" w:cs="Times New Roman"/>
          <w:sz w:val="28"/>
          <w:szCs w:val="28"/>
        </w:rPr>
        <w:t>розвитку</w:t>
      </w:r>
      <w:r>
        <w:rPr>
          <w:rFonts w:ascii="Times New Roman" w:eastAsia="Times New Roman" w:hAnsi="Times New Roman" w:cs="Times New Roman"/>
          <w:color w:val="000000"/>
          <w:sz w:val="28"/>
          <w:szCs w:val="28"/>
        </w:rPr>
        <w:t xml:space="preserve"> злочинності).</w:t>
      </w:r>
    </w:p>
    <w:p w14:paraId="2BFC4631" w14:textId="77777777" w:rsidR="00123F52" w:rsidRDefault="00123F52" w:rsidP="00AB7746">
      <w:pPr>
        <w:widowControl w:val="0"/>
        <w:numPr>
          <w:ilvl w:val="0"/>
          <w:numId w:val="6"/>
        </w:numPr>
        <w:pBdr>
          <w:top w:val="nil"/>
          <w:left w:val="nil"/>
          <w:bottom w:val="nil"/>
          <w:right w:val="nil"/>
          <w:between w:val="nil"/>
        </w:pBdr>
        <w:shd w:val="clear" w:color="auto" w:fill="FFFFFF"/>
        <w:spacing w:after="0" w:line="240" w:lineRule="auto"/>
        <w:ind w:hanging="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Екістичні (містобудівні) (рівень урбанізації, рівень розвитку </w:t>
      </w:r>
      <w:r>
        <w:rPr>
          <w:rFonts w:ascii="Times New Roman" w:eastAsia="Times New Roman" w:hAnsi="Times New Roman" w:cs="Times New Roman"/>
          <w:sz w:val="28"/>
          <w:szCs w:val="28"/>
        </w:rPr>
        <w:t>інфраструктури</w:t>
      </w:r>
      <w:r>
        <w:rPr>
          <w:rFonts w:ascii="Times New Roman" w:eastAsia="Times New Roman" w:hAnsi="Times New Roman" w:cs="Times New Roman"/>
          <w:color w:val="000000"/>
          <w:sz w:val="28"/>
          <w:szCs w:val="28"/>
        </w:rPr>
        <w:t xml:space="preserve"> тощо). </w:t>
      </w:r>
    </w:p>
    <w:p w14:paraId="081D8E7C" w14:textId="77777777"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Прогнозування здебільшого відповідає на питання, як змінюються ті чи інші фактори в залежності від певних змін причин і умов, які їм сприяють, які фактори і як вони можуть вплинути на злочинність. Прогноз розробляється за допомогою системної інформації про злочинність, її причини та ряду факторів що впливають на злочинну поведінку, в основі цієї діяльності полягають методи прогнозування [3]. Виявлення факторів, які </w:t>
      </w:r>
      <w:r>
        <w:rPr>
          <w:rFonts w:ascii="Times New Roman" w:eastAsia="Times New Roman" w:hAnsi="Times New Roman" w:cs="Times New Roman"/>
          <w:sz w:val="28"/>
          <w:szCs w:val="28"/>
        </w:rPr>
        <w:t>впливають</w:t>
      </w:r>
      <w:r>
        <w:rPr>
          <w:rFonts w:ascii="Times New Roman" w:eastAsia="Times New Roman" w:hAnsi="Times New Roman" w:cs="Times New Roman"/>
          <w:color w:val="000000"/>
          <w:sz w:val="28"/>
          <w:szCs w:val="28"/>
        </w:rPr>
        <w:t xml:space="preserve"> на злочинність, на основі прогнозування, допоможе визначити превентивні засоби для зменшення рівня злочинності у майбутньому.</w:t>
      </w:r>
    </w:p>
    <w:p w14:paraId="645DF816" w14:textId="2E242D2B" w:rsidR="00123F52" w:rsidRDefault="00123F52" w:rsidP="008B45D7">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Розрізняють 3 методи прогнозування [4]:</w:t>
      </w:r>
      <w:r w:rsidR="008B45D7">
        <w:rPr>
          <w:rFonts w:ascii="Times New Roman" w:eastAsia="Times New Roman" w:hAnsi="Times New Roman" w:cs="Times New Roman"/>
          <w:color w:val="000000"/>
          <w:sz w:val="28"/>
          <w:szCs w:val="28"/>
        </w:rPr>
        <w:t xml:space="preserve"> </w:t>
      </w:r>
      <w:bookmarkStart w:id="0" w:name="_GoBack"/>
      <w:bookmarkEnd w:id="0"/>
      <w:r w:rsidR="008B45D7">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кспертних оцінок</w:t>
      </w:r>
      <w:r w:rsidR="008B45D7">
        <w:rPr>
          <w:rFonts w:ascii="Times New Roman" w:eastAsia="Times New Roman" w:hAnsi="Times New Roman" w:cs="Times New Roman"/>
          <w:color w:val="000000"/>
          <w:sz w:val="28"/>
          <w:szCs w:val="28"/>
        </w:rPr>
        <w:t>, е</w:t>
      </w:r>
      <w:r>
        <w:rPr>
          <w:rFonts w:ascii="Times New Roman" w:eastAsia="Times New Roman" w:hAnsi="Times New Roman" w:cs="Times New Roman"/>
          <w:color w:val="000000"/>
          <w:sz w:val="28"/>
          <w:szCs w:val="28"/>
        </w:rPr>
        <w:t>кстраполяції</w:t>
      </w:r>
      <w:r w:rsidR="008B45D7">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sz w:val="28"/>
          <w:szCs w:val="28"/>
        </w:rPr>
        <w:t>атематичного моделювання.</w:t>
      </w:r>
    </w:p>
    <w:p w14:paraId="04035669" w14:textId="77777777"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Сутність методу експертних оцінок полягає в зборі, аналізі та узагальнені думок досвідчених науковців та практичних працівників про майбутній стан злочинності та про явища і процеси, які впливають на злочинність. Експерти проходять опитування за певною програмою, та на основі їх відповідей будується прогноз. На відміну від інших методів, у методі експертних оцінок фахівець покладається не тільки на статистичні дані, а й на свій досвід, професійні навички та інтуїцію. Недоліками методу є підбір компетентних експертів, кількісний склад, створення методики опитування, </w:t>
      </w:r>
      <w:r>
        <w:rPr>
          <w:rFonts w:ascii="Times New Roman" w:eastAsia="Times New Roman" w:hAnsi="Times New Roman" w:cs="Times New Roman"/>
          <w:sz w:val="28"/>
          <w:szCs w:val="28"/>
        </w:rPr>
        <w:t>неузгодженість</w:t>
      </w:r>
      <w:r>
        <w:rPr>
          <w:rFonts w:ascii="Times New Roman" w:eastAsia="Times New Roman" w:hAnsi="Times New Roman" w:cs="Times New Roman"/>
          <w:color w:val="000000"/>
          <w:sz w:val="28"/>
          <w:szCs w:val="28"/>
        </w:rPr>
        <w:t xml:space="preserve"> та суб’єктивність експертів.</w:t>
      </w:r>
    </w:p>
    <w:p w14:paraId="0F16BBA3" w14:textId="77777777"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екстраполяції полягає у дослідженні рівня та динаміки злочинності у минулому та перенесення висновків про закономірність на майбутні тенденції. Цей метод використовується для короткострокових прогнозів, зростання строків прогнозу призводить до зростання похибки прогнозів. Також фактори, які впливають на рівень злочинності повинні бути стійким. У наш час, в умовах нестабільної політичної та економічної ситуації в країні, ставиться під питання стабільності факторів, які є основою для прогнозу.</w:t>
      </w:r>
    </w:p>
    <w:p w14:paraId="7629063F" w14:textId="77777777"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Сутність методу математичного моделювання полягає в розробці певних математичних формул, які відображають вплив факторів на досліджуване явище. Для прогнозування рівня злочинності, метод математичного моделювання дозволяє використовувати економічні, соціальні, політичні та різні розраховані показники. При виборі правильного набору даних модель є досить точною для середньострокового прогнозування. Також до плюсів методу можна віднести, що метод дозволяє абстрагуватися від незначних і несуттєвих властивостей прогнозованого явища і зосередити увагу на найважливіших аспектах об'єкта дослідження. До недоліків методу можна віднести складність відбору значущих чинників.</w:t>
      </w:r>
    </w:p>
    <w:p w14:paraId="1EE19B45" w14:textId="22BBEFA5" w:rsidR="00123F52" w:rsidRDefault="00123F52" w:rsidP="00123F52">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123F52">
        <w:rPr>
          <w:rFonts w:ascii="Times New Roman" w:eastAsia="Times New Roman" w:hAnsi="Times New Roman" w:cs="Times New Roman"/>
          <w:b/>
          <w:bCs/>
          <w:color w:val="000000"/>
          <w:sz w:val="28"/>
          <w:szCs w:val="28"/>
        </w:rPr>
        <w:t>Висновок.</w:t>
      </w:r>
      <w:r>
        <w:rPr>
          <w:rFonts w:ascii="Times New Roman" w:eastAsia="Times New Roman" w:hAnsi="Times New Roman" w:cs="Times New Roman"/>
          <w:color w:val="000000"/>
          <w:sz w:val="28"/>
          <w:szCs w:val="28"/>
        </w:rPr>
        <w:t xml:space="preserve"> </w:t>
      </w:r>
      <w:r w:rsidR="00AB7746">
        <w:rPr>
          <w:rFonts w:ascii="Times New Roman" w:eastAsia="Times New Roman" w:hAnsi="Times New Roman" w:cs="Times New Roman"/>
          <w:color w:val="000000"/>
          <w:sz w:val="28"/>
          <w:szCs w:val="28"/>
        </w:rPr>
        <w:t xml:space="preserve">На основі викладеного матеріалу варто наголосити на тому, що існують різні методи прогнозування злочинності, які мають переваги і недоліки. </w:t>
      </w:r>
      <w:r>
        <w:rPr>
          <w:rFonts w:ascii="Times New Roman" w:eastAsia="Times New Roman" w:hAnsi="Times New Roman" w:cs="Times New Roman"/>
          <w:color w:val="000000"/>
          <w:sz w:val="28"/>
          <w:szCs w:val="28"/>
        </w:rPr>
        <w:t xml:space="preserve">Всі </w:t>
      </w:r>
      <w:r>
        <w:rPr>
          <w:rFonts w:ascii="Times New Roman" w:eastAsia="Times New Roman" w:hAnsi="Times New Roman" w:cs="Times New Roman"/>
          <w:sz w:val="28"/>
          <w:szCs w:val="28"/>
        </w:rPr>
        <w:t>вищезгадані</w:t>
      </w:r>
      <w:r>
        <w:rPr>
          <w:rFonts w:ascii="Times New Roman" w:eastAsia="Times New Roman" w:hAnsi="Times New Roman" w:cs="Times New Roman"/>
          <w:color w:val="000000"/>
          <w:sz w:val="28"/>
          <w:szCs w:val="28"/>
        </w:rPr>
        <w:t xml:space="preserve"> методи є ефективними для прогнозування рівня злочинності в залежності від терміну прогнозу: для короткострокового прогнозування підходить метод екстраполяції, для середньострокового – метод математичного моделювання, для довгострокового – метод експертних оцінок. Для максимальної точності прогнозів ці методи повинні використовуватись комплексно. </w:t>
      </w:r>
    </w:p>
    <w:p w14:paraId="5F554C50" w14:textId="30013AA2" w:rsidR="008E4E2A" w:rsidRDefault="008E4E2A" w:rsidP="00522039">
      <w:pPr>
        <w:pStyle w:val="a3"/>
        <w:widowControl w:val="0"/>
        <w:shd w:val="clear" w:color="auto" w:fill="FFFFFF"/>
        <w:spacing w:before="0" w:beforeAutospacing="0" w:after="0" w:afterAutospacing="0"/>
        <w:jc w:val="center"/>
        <w:textAlignment w:val="baseline"/>
        <w:rPr>
          <w:b/>
          <w:bCs/>
          <w:sz w:val="28"/>
          <w:szCs w:val="28"/>
          <w:lang w:val="uk-UA"/>
        </w:rPr>
      </w:pPr>
      <w:r>
        <w:rPr>
          <w:b/>
          <w:bCs/>
          <w:sz w:val="28"/>
          <w:szCs w:val="28"/>
          <w:lang w:val="uk-UA"/>
        </w:rPr>
        <w:t>Література.</w:t>
      </w:r>
    </w:p>
    <w:p w14:paraId="3A3314CB" w14:textId="5F42B118" w:rsidR="002A1DD4" w:rsidRPr="00522039" w:rsidRDefault="002A1DD4" w:rsidP="00AB7746">
      <w:pPr>
        <w:pStyle w:val="a3"/>
        <w:widowControl w:val="0"/>
        <w:shd w:val="clear" w:color="auto" w:fill="FFFFFF"/>
        <w:spacing w:before="0" w:beforeAutospacing="0" w:after="0" w:afterAutospacing="0" w:line="216" w:lineRule="auto"/>
        <w:jc w:val="both"/>
        <w:textAlignment w:val="baseline"/>
        <w:rPr>
          <w:noProof/>
          <w:lang w:val="uk-UA"/>
        </w:rPr>
      </w:pPr>
      <w:r w:rsidRPr="00522039">
        <w:rPr>
          <w:noProof/>
          <w:lang w:val="uk-UA"/>
        </w:rPr>
        <w:t>1.</w:t>
      </w:r>
      <w:r w:rsidR="00AC308B" w:rsidRPr="00522039">
        <w:rPr>
          <w:noProof/>
          <w:lang w:val="uk-UA"/>
        </w:rPr>
        <w:t xml:space="preserve"> </w:t>
      </w:r>
      <w:r w:rsidRPr="00522039">
        <w:rPr>
          <w:noProof/>
          <w:lang w:val="uk-UA"/>
        </w:rPr>
        <w:t>Політика у сфері боротьби зі злочинністю України: теретичні та пр</w:t>
      </w:r>
      <w:r w:rsidR="00AC308B" w:rsidRPr="00522039">
        <w:rPr>
          <w:noProof/>
          <w:lang w:val="uk-UA"/>
        </w:rPr>
        <w:t>а</w:t>
      </w:r>
      <w:r w:rsidRPr="00522039">
        <w:rPr>
          <w:noProof/>
          <w:lang w:val="uk-UA"/>
        </w:rPr>
        <w:t>ктичні проблеми: монографія / за заг. ред. П.Л. Фріса</w:t>
      </w:r>
      <w:r w:rsidR="00AC308B" w:rsidRPr="00522039">
        <w:rPr>
          <w:noProof/>
          <w:lang w:val="uk-UA"/>
        </w:rPr>
        <w:t xml:space="preserve">, </w:t>
      </w:r>
      <w:r w:rsidRPr="00522039">
        <w:rPr>
          <w:noProof/>
          <w:lang w:val="uk-UA"/>
        </w:rPr>
        <w:t>В.Б. Харченка. Івано-Франківськ: Прикарпатський нац</w:t>
      </w:r>
      <w:r w:rsidR="00AC308B" w:rsidRPr="00522039">
        <w:rPr>
          <w:noProof/>
          <w:lang w:val="uk-UA"/>
        </w:rPr>
        <w:t>іональний</w:t>
      </w:r>
      <w:r w:rsidRPr="00522039">
        <w:rPr>
          <w:noProof/>
          <w:lang w:val="uk-UA"/>
        </w:rPr>
        <w:t xml:space="preserve"> </w:t>
      </w:r>
      <w:r w:rsidR="00AC308B" w:rsidRPr="00522039">
        <w:rPr>
          <w:noProof/>
          <w:lang w:val="uk-UA"/>
        </w:rPr>
        <w:t>у</w:t>
      </w:r>
      <w:r w:rsidRPr="00522039">
        <w:rPr>
          <w:noProof/>
          <w:lang w:val="uk-UA"/>
        </w:rPr>
        <w:t>н</w:t>
      </w:r>
      <w:r w:rsidR="00AC308B" w:rsidRPr="00522039">
        <w:rPr>
          <w:noProof/>
          <w:lang w:val="uk-UA"/>
        </w:rPr>
        <w:t>-</w:t>
      </w:r>
      <w:r w:rsidRPr="00522039">
        <w:rPr>
          <w:noProof/>
          <w:lang w:val="uk-UA"/>
        </w:rPr>
        <w:t>т імені Василя Стефаника, 2016. С. 162–178.</w:t>
      </w:r>
    </w:p>
    <w:p w14:paraId="13C82AF6" w14:textId="7C2AD36A" w:rsidR="00E844D1" w:rsidRPr="00522039" w:rsidRDefault="0026380A" w:rsidP="00AB7746">
      <w:pPr>
        <w:pStyle w:val="a3"/>
        <w:widowControl w:val="0"/>
        <w:shd w:val="clear" w:color="auto" w:fill="FFFFFF"/>
        <w:spacing w:before="0" w:beforeAutospacing="0" w:after="0" w:afterAutospacing="0" w:line="216" w:lineRule="auto"/>
        <w:jc w:val="both"/>
        <w:textAlignment w:val="baseline"/>
        <w:rPr>
          <w:noProof/>
          <w:lang w:val="uk-UA"/>
        </w:rPr>
      </w:pPr>
      <w:r w:rsidRPr="00522039">
        <w:rPr>
          <w:noProof/>
          <w:lang w:val="uk-UA"/>
        </w:rPr>
        <w:t>2</w:t>
      </w:r>
      <w:r w:rsidR="00E844D1" w:rsidRPr="00522039">
        <w:rPr>
          <w:noProof/>
          <w:lang w:val="uk-UA"/>
        </w:rPr>
        <w:t>. Дяченко Н.</w:t>
      </w:r>
      <w:r w:rsidR="00AC308B" w:rsidRPr="00522039">
        <w:rPr>
          <w:noProof/>
          <w:lang w:val="uk-UA"/>
        </w:rPr>
        <w:t>М.</w:t>
      </w:r>
      <w:r w:rsidR="00E844D1" w:rsidRPr="00522039">
        <w:rPr>
          <w:noProof/>
          <w:lang w:val="uk-UA"/>
        </w:rPr>
        <w:t xml:space="preserve"> Прогнозування як функція державного управління </w:t>
      </w:r>
      <w:r w:rsidR="00AC308B" w:rsidRPr="00522039">
        <w:rPr>
          <w:noProof/>
          <w:lang w:val="uk-UA"/>
        </w:rPr>
        <w:t xml:space="preserve">/ </w:t>
      </w:r>
      <w:r w:rsidR="00E844D1" w:rsidRPr="00522039">
        <w:rPr>
          <w:noProof/>
          <w:lang w:val="uk-UA"/>
        </w:rPr>
        <w:t>за заг. ред. О.Б. Кірєєвої. Дніпро: ДРІДУ НАДУ, 2017. С. 71–74.</w:t>
      </w:r>
    </w:p>
    <w:p w14:paraId="3217C4E2" w14:textId="11F19851" w:rsidR="0026380A" w:rsidRPr="00522039" w:rsidRDefault="0026380A" w:rsidP="00AB7746">
      <w:pPr>
        <w:pStyle w:val="a3"/>
        <w:widowControl w:val="0"/>
        <w:shd w:val="clear" w:color="auto" w:fill="FFFFFF"/>
        <w:spacing w:before="0" w:beforeAutospacing="0" w:after="0" w:afterAutospacing="0" w:line="216" w:lineRule="auto"/>
        <w:jc w:val="both"/>
        <w:textAlignment w:val="baseline"/>
        <w:rPr>
          <w:noProof/>
          <w:lang w:val="uk-UA"/>
        </w:rPr>
      </w:pPr>
      <w:r w:rsidRPr="00522039">
        <w:rPr>
          <w:noProof/>
          <w:lang w:val="uk-UA"/>
        </w:rPr>
        <w:t>3. Бабенко А.М. Кримінологічне прогнозування як основа для планування запобігання злочинності в регіонах</w:t>
      </w:r>
      <w:r w:rsidR="00AC308B" w:rsidRPr="00522039">
        <w:rPr>
          <w:noProof/>
          <w:lang w:val="uk-UA"/>
        </w:rPr>
        <w:t>.</w:t>
      </w:r>
      <w:r w:rsidRPr="00522039">
        <w:rPr>
          <w:noProof/>
          <w:lang w:val="uk-UA"/>
        </w:rPr>
        <w:t xml:space="preserve"> Право та державне управління</w:t>
      </w:r>
      <w:r w:rsidR="00AC308B" w:rsidRPr="00522039">
        <w:rPr>
          <w:noProof/>
          <w:lang w:val="uk-UA"/>
        </w:rPr>
        <w:t>: зб. наук.</w:t>
      </w:r>
      <w:r w:rsidRPr="00522039">
        <w:rPr>
          <w:noProof/>
          <w:lang w:val="uk-UA"/>
        </w:rPr>
        <w:t xml:space="preserve"> </w:t>
      </w:r>
      <w:r w:rsidR="00AC308B" w:rsidRPr="00522039">
        <w:rPr>
          <w:noProof/>
          <w:lang w:val="uk-UA"/>
        </w:rPr>
        <w:t>пр. Запоріжжя: КПУ</w:t>
      </w:r>
      <w:r w:rsidR="005063C1" w:rsidRPr="00522039">
        <w:rPr>
          <w:noProof/>
          <w:lang w:val="uk-UA"/>
        </w:rPr>
        <w:t xml:space="preserve">, </w:t>
      </w:r>
      <w:r w:rsidRPr="00522039">
        <w:rPr>
          <w:noProof/>
          <w:lang w:val="uk-UA"/>
        </w:rPr>
        <w:t>2014.</w:t>
      </w:r>
      <w:r w:rsidR="00AC308B" w:rsidRPr="00522039">
        <w:rPr>
          <w:noProof/>
          <w:lang w:val="uk-UA"/>
        </w:rPr>
        <w:t xml:space="preserve"> Вип. </w:t>
      </w:r>
      <w:r w:rsidRPr="00522039">
        <w:rPr>
          <w:noProof/>
          <w:lang w:val="uk-UA"/>
        </w:rPr>
        <w:t>3. С. 60–63.</w:t>
      </w:r>
    </w:p>
    <w:p w14:paraId="416591F2" w14:textId="4451F490" w:rsidR="00AC308B" w:rsidRPr="00025125" w:rsidRDefault="00AC308B" w:rsidP="00AB7746">
      <w:pPr>
        <w:pStyle w:val="a3"/>
        <w:widowControl w:val="0"/>
        <w:shd w:val="clear" w:color="auto" w:fill="FFFFFF"/>
        <w:spacing w:before="0" w:beforeAutospacing="0" w:after="0" w:afterAutospacing="0" w:line="216" w:lineRule="auto"/>
        <w:jc w:val="both"/>
        <w:textAlignment w:val="baseline"/>
        <w:rPr>
          <w:noProof/>
          <w:lang w:val="uk-UA"/>
        </w:rPr>
      </w:pPr>
      <w:r w:rsidRPr="00522039">
        <w:rPr>
          <w:noProof/>
          <w:lang w:val="uk-UA"/>
        </w:rPr>
        <w:t xml:space="preserve">4. Литвинов О.М., Гладкова Є.О. Кримінологічна футурологія: постановка проблеми. Вісник Кримінологічної асоціації України: зб. наук. праць. </w:t>
      </w:r>
      <w:r w:rsidR="005063C1" w:rsidRPr="00522039">
        <w:rPr>
          <w:noProof/>
          <w:lang w:val="uk-UA"/>
        </w:rPr>
        <w:t>Харків: ХНУВС, 2020. Вип.</w:t>
      </w:r>
      <w:r w:rsidRPr="00522039">
        <w:rPr>
          <w:noProof/>
          <w:lang w:val="uk-UA"/>
        </w:rPr>
        <w:t xml:space="preserve"> 2.  С. 129–137.</w:t>
      </w:r>
    </w:p>
    <w:sectPr w:rsidR="00AC308B" w:rsidRPr="00025125" w:rsidSect="00EA0E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D02F0"/>
    <w:multiLevelType w:val="multilevel"/>
    <w:tmpl w:val="CBDC4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F9228B"/>
    <w:multiLevelType w:val="hybridMultilevel"/>
    <w:tmpl w:val="DB6AE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2B55E1D"/>
    <w:multiLevelType w:val="multilevel"/>
    <w:tmpl w:val="9C2CC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2750A2"/>
    <w:multiLevelType w:val="hybridMultilevel"/>
    <w:tmpl w:val="386AA8C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76142E0B"/>
    <w:multiLevelType w:val="hybridMultilevel"/>
    <w:tmpl w:val="404ADD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8714E6A"/>
    <w:multiLevelType w:val="hybridMultilevel"/>
    <w:tmpl w:val="F104ED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91"/>
    <w:rsid w:val="00014454"/>
    <w:rsid w:val="00025125"/>
    <w:rsid w:val="00045470"/>
    <w:rsid w:val="00057686"/>
    <w:rsid w:val="000B6D15"/>
    <w:rsid w:val="000C3AC4"/>
    <w:rsid w:val="00123F52"/>
    <w:rsid w:val="0014675A"/>
    <w:rsid w:val="00157B0E"/>
    <w:rsid w:val="00195276"/>
    <w:rsid w:val="0026380A"/>
    <w:rsid w:val="002A1DD4"/>
    <w:rsid w:val="002E772E"/>
    <w:rsid w:val="003278B9"/>
    <w:rsid w:val="003956D5"/>
    <w:rsid w:val="003A360F"/>
    <w:rsid w:val="003D61FB"/>
    <w:rsid w:val="00411BC9"/>
    <w:rsid w:val="005063C1"/>
    <w:rsid w:val="00522039"/>
    <w:rsid w:val="006963BD"/>
    <w:rsid w:val="006B6252"/>
    <w:rsid w:val="007057C1"/>
    <w:rsid w:val="00801A53"/>
    <w:rsid w:val="008B45D7"/>
    <w:rsid w:val="008E4E2A"/>
    <w:rsid w:val="00901291"/>
    <w:rsid w:val="009177BF"/>
    <w:rsid w:val="00960D11"/>
    <w:rsid w:val="009A3F89"/>
    <w:rsid w:val="009B0094"/>
    <w:rsid w:val="00A13D13"/>
    <w:rsid w:val="00A41367"/>
    <w:rsid w:val="00AB7746"/>
    <w:rsid w:val="00AC308B"/>
    <w:rsid w:val="00AD1E8C"/>
    <w:rsid w:val="00AF0135"/>
    <w:rsid w:val="00B84517"/>
    <w:rsid w:val="00C55E41"/>
    <w:rsid w:val="00C81248"/>
    <w:rsid w:val="00C842B4"/>
    <w:rsid w:val="00CD3E24"/>
    <w:rsid w:val="00D83D57"/>
    <w:rsid w:val="00E844D1"/>
    <w:rsid w:val="00EA0E52"/>
    <w:rsid w:val="00ED25B3"/>
    <w:rsid w:val="00ED2E9C"/>
    <w:rsid w:val="00F66F26"/>
    <w:rsid w:val="00FA7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980"/>
  <w15:chartTrackingRefBased/>
  <w15:docId w15:val="{70DD4FD1-2E4B-4A4A-B7C9-0301F0D2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E52"/>
    <w:pPr>
      <w:spacing w:before="100" w:beforeAutospacing="1" w:after="100" w:afterAutospacing="1" w:line="240" w:lineRule="auto"/>
    </w:pPr>
    <w:rPr>
      <w:rFonts w:ascii="Times New Roman" w:eastAsia="Times New Roman" w:hAnsi="Times New Roman" w:cs="Times New Roman"/>
      <w:noProof w:val="0"/>
      <w:sz w:val="24"/>
      <w:szCs w:val="24"/>
      <w:lang w:val="en-US" w:bidi="ug-CN"/>
    </w:rPr>
  </w:style>
  <w:style w:type="paragraph" w:styleId="a4">
    <w:name w:val="Balloon Text"/>
    <w:basedOn w:val="a"/>
    <w:link w:val="a5"/>
    <w:uiPriority w:val="99"/>
    <w:semiHidden/>
    <w:unhideWhenUsed/>
    <w:rsid w:val="00157B0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57B0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B7E1-9D50-4AF1-A873-941D87BF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3609</Words>
  <Characters>2058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2023-04-03T12:09:00Z</dcterms:created>
  <dcterms:modified xsi:type="dcterms:W3CDTF">2023-04-03T12:18:00Z</dcterms:modified>
</cp:coreProperties>
</file>