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right="0" w:firstLine="70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Кузін Олександр Олександрович студент групи 6.1922-пцб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right="0" w:firstLine="70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ІННІ Ю.М. Потебні ЗНУ м. Запоріжжя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right="0" w:firstLine="70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ORCID 0009-0001-6688-4094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right="0" w:firstLine="70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Пастухова Сусанна Валеріївна старший викладач кафедри ПЦБ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right="0" w:firstLine="70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ІННІ Ю.М.  Потебні ЗНУ м. Запоріжжя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right="0" w:firstLine="70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ORCID 0000-0002-9324-3065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firstLine="7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left="0" w:firstLine="705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ПОРІВНЯННЯ БАЛКОВОГО ПЕРЕКРИТТЯ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БЕЗБАЛКОВО-МОНОЛІТНИМ ПРИ ПЕРЕКРИТТІ БАЛКОПРОЛІТНОГО ПРИМІЩЕННЯ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силу традиційно переважаючого проектування і виготовлення збірних елементів монолітні перекриття використовують значно рідше, хоча вони мають немало конструктивних, технологічних та експлуатаційних переваг.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Використовується дуже мало монолітних перекриттів, оскільки традиційно переважає проектування та виготовлення збірних елементів. Однією з основних причин, що обмежують використання монолітного залізобетону у плоских перекриттях, є його значна вага. У випадку з монолітним залізобетоном якщо використовувати збірні плити, то вплив цього фактору можна зменшити за рахунок влаштування порожнин.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останні роки стрімко зростає улаштування монолітних залізобетонних конструкцій різного призначення, особливо монолітних плоских перекриттів.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порівнянні зі збірними залізобетонними перекриттями перевага монолітних плит полягає в тому, що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їх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можна використовувати в будівлях зі складною конфігурацією плану. Особливо підходить для реконструкції старих будівель і будівництва сучасних будівель зі складними архітектурними формами.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Розрізняють декілька видів перекриттів: цокольні, мансардні, міжповерхові, горищні.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Вони повинні відповідати наступним вимогам: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мати несучу здатність, відповідну робочому навантаженню;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мати достатню жорсткість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незначний або нульовий прогин;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мати достатню звуко-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теплоізоляцію;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повинна бути забезпечена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вогнестійкість.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вибір правильного типу перекриття впливає багато факторів, таких як: конструкції споруди, призначення будівлі, фактичне навантаження на неї. Для горищних перекриттів зазвичай навантаження беруть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‒ 1050 Н/м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для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цокольних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міжповерхових ‒ 2100 Н/м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При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озрахунку обов’язково варто враховувати масу самого перекриття, меблів, людей, сантехнічного та інших обладнань.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[1].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Залежно від матеріалу перекриття розрізняють балкове і плитні.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Безбалкові перекриття можуть бути як збірними, так і монолітними: тому їх часто влаштовують у великих прольотах. Дані перекриття є більш економічними за втратою матеріалів, гігієнічнішими та мають більшу естетичну привабливість. При потребі перекрити приміщення розмірами 18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×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 м,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влаштовують балки, довжиною у 8 метрів послідовно і паралельно через кожні 6 м. Під ними розміщуються другорядні балки через кожні 1,5-2 метрі на всю довжину 6 м. На всю конструкцію укладається плита перекриття з товщиною 60-100 м., що надає конструкції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ребристу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структуру. Орієнтовна висота головної балки повинна бути у межах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1/12-1/16 прольоту, а ширина – 1/8-1/12 від відстані між осями [2].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Якщо висоти головних і другорядних балок прийняте однаковим, то таке перекриття називається кесонним.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(рис.1). 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70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371725" cy="148590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8180" l="7203" r="8687" t="454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514600" cy="1485900"/>
            <wp:effectExtent b="0" l="0" r="0" t="0"/>
            <wp:docPr descr="Кессонное перекрытие: какие требования предъявляются к плитам, особенности  монолитного и сборного, монтаж, цена" id="19" name="image2.jpg"/>
            <a:graphic>
              <a:graphicData uri="http://schemas.openxmlformats.org/drawingml/2006/picture">
                <pic:pic>
                  <pic:nvPicPr>
                    <pic:cNvPr descr="Кессонное перекрытие: какие требования предъявляются к плитам, особенности  монолитного и сборного, монтаж, цена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70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1 – Вид залізобетонного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кесонного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перекриття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основному, їх застосування пов’язане з вимогами до рішення інтер’єру приміщення. Металеві балки (з прокатних профілів) використовувалися у будівництві до широкого впровадження залізобетону, як важко спалюваний і водостійкий матеріал. У наш час використання профілів сильно скоротилося і їх можна помічати найчастіше при виконанні ремонтних робіт та реконструкції споруд. Варто пам’ятати, що балки повинні бути захищені від дії високих температур (більше 140 ° С) та вогню як такого.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Безбалкові монолітні залізобетонні перекриття (рис. 2) є плитою, що в тов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щину має 150 200 мм, та безпосередньо спирається на колони, у верхній частині котрих є потовщення до стелі, що мають назву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капітелії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70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735962" cy="1353682"/>
            <wp:effectExtent b="0" l="0" r="0" t="0"/>
            <wp:docPr descr="https://helpiks.org/helpiksorg/baza2/278712594647.files/image649.gif" id="18" name="image4.gif"/>
            <a:graphic>
              <a:graphicData uri="http://schemas.openxmlformats.org/drawingml/2006/picture">
                <pic:pic>
                  <pic:nvPicPr>
                    <pic:cNvPr descr="https://helpiks.org/helpiksorg/baza2/278712594647.files/image649.gif" id="0" name="image4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5962" cy="1353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402133" cy="1296389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2133" cy="12963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Види залізобетонних перекриттів"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Види залізобетонних перекриттів" id="16" name="image5.png"/>
                <a:graphic>
                  <a:graphicData uri="http://schemas.openxmlformats.org/drawingml/2006/picture">
                    <pic:pic>
                      <pic:nvPicPr>
                        <pic:cNvPr descr="Види залізобетонних перекриттів"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70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Рисунок 2 – Безбалкове монолітне залізобетонне перекриття </w:t>
      </w:r>
    </w:p>
    <w:p w:rsidR="00000000" w:rsidDel="00000000" w:rsidP="00000000" w:rsidRDefault="00000000" w:rsidRPr="00000000" w14:paraId="00000020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Сітка колон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безбалочних плитах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приймається квадратною або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близькою до квадрата зі сторонами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м.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Найбільш ефективні</w:t>
      </w:r>
    </w:p>
    <w:p w:rsidR="00000000" w:rsidDel="00000000" w:rsidP="00000000" w:rsidRDefault="00000000" w:rsidRPr="00000000" w14:paraId="00000022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збірні безбалочні перекриття найбільш поширені 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цивільному будівництві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Основними несучими елементами їх є різні види залізобетонних панелей–настилів, виготовлених з бетону.</w:t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Залежно від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конструкції будівлі розрізняють такі типи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з панелей, що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своїми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кінцями спираються на поздовжні несучі стіни або на прогони, котрі покладені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вздовж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будинку; </w:t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з панелей,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котрі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спираються своїми кінцями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прогони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 поперечні стіни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покладені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поперек у самій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будівлі;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з панелей, що спираються  по трьох і чотир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ьох сторонах на наявні несучі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стіни; </w: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з панелей,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спираються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безпосередньо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всі чотири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колони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каркасу по чотирьох кутах.</w:t>
      </w:r>
    </w:p>
    <w:p w:rsidR="00000000" w:rsidDel="00000000" w:rsidP="00000000" w:rsidRDefault="00000000" w:rsidRPr="00000000" w14:paraId="00000028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Мінімальна глибина закладання настилів у цегельних стінах 120 мм, 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панельних і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блокових  – 100 мм з кожної зі стор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За допомогою анкерів та арматурни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’язок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бірні залізобетонні плити перекриттів  жорстко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кріплюються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стінах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ході їхньої установки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Міжплиточні шви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монолітять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розчином. Завдяки цьому виходять доволі тверді горизонтальні диски, що збільшують загальну міцність і надійність будинк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ів.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70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70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Література:</w:t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https://dci-group.com.ua/ua/suchasni-perekrittya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Котеньова З. І. Архітектура будівель і споруд: навч. посібник. ХНАМГ, 2007.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236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ДБН В.2.6-220:2017. Покриття будівель і споруд.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[Чинний від 2018-01-01]. Вид. офіц. Київ: Мінрегіон України, 2018. 55 с. (Державні стандарт України).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70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4. ДСТУ Б В.2-6-53:2008 Конструкції будинків і споруд. Плити перекриттів залізобетонні багатопустотні для будівель і споруд. Технічні умови.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[Чинний від 2009-08-07]. Вид. офіц. Київ: Мінрегіонбут України, 2009. 23 с. (Державні стандарт України).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B42A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B42AA8"/>
    <w:rPr>
      <w:rFonts w:ascii="Tahoma" w:cs="Tahoma" w:hAnsi="Tahoma"/>
      <w:sz w:val="16"/>
      <w:szCs w:val="16"/>
    </w:rPr>
  </w:style>
  <w:style w:type="paragraph" w:styleId="a5">
    <w:name w:val="Normal (Web)"/>
    <w:basedOn w:val="a"/>
    <w:uiPriority w:val="99"/>
    <w:semiHidden w:val="1"/>
    <w:unhideWhenUsed w:val="1"/>
    <w:rsid w:val="00D37EC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2" Type="http://schemas.openxmlformats.org/officeDocument/2006/relationships/hyperlink" Target="https://dci-group.com.ua/ua/suchasni-perekrittya" TargetMode="External"/><Relationship Id="rId9" Type="http://schemas.openxmlformats.org/officeDocument/2006/relationships/image" Target="media/image4.gif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l4nPd95X6O5GV2TiAs/ZPwMN+A==">CgMxLjAyCGguZ2pkZ3hzOAByITFFZExUZW1tRTFvNWlWRkMxVFRIZWR5WExFanNacFR3Sg==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2024-02-06T10:42:00Z</dcterms:created>
  <dc:creator>Сузи</dc:creator>
</cp:coreProperties>
</file>