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00" w:rsidRPr="00D45818" w:rsidRDefault="00405A00" w:rsidP="00405A00">
      <w:pPr>
        <w:widowControl w:val="0"/>
        <w:spacing w:after="0" w:line="408" w:lineRule="auto"/>
        <w:ind w:firstLine="709"/>
        <w:jc w:val="center"/>
        <w:rPr>
          <w:rFonts w:ascii="Times New Roman" w:hAnsi="Times New Roman" w:cs="Times New Roman"/>
          <w:b/>
          <w:sz w:val="28"/>
          <w:szCs w:val="28"/>
          <w:lang w:val="en-US"/>
        </w:rPr>
      </w:pPr>
      <w:bookmarkStart w:id="0" w:name="_GoBack"/>
      <w:r w:rsidRPr="00D45818">
        <w:rPr>
          <w:rFonts w:ascii="Times New Roman" w:hAnsi="Times New Roman" w:cs="Times New Roman"/>
          <w:b/>
          <w:sz w:val="28"/>
          <w:szCs w:val="28"/>
          <w:lang w:val="en-US"/>
        </w:rPr>
        <w:t>DEVELOPMENT OF INTERNATIONAL COOPERATION OF UKRAINIAN COMPANIES DURING WAR</w:t>
      </w:r>
    </w:p>
    <w:bookmarkEnd w:id="0"/>
    <w:p w:rsidR="00405A00" w:rsidRPr="00D45818" w:rsidRDefault="00405A00" w:rsidP="00405A00">
      <w:pPr>
        <w:widowControl w:val="0"/>
        <w:spacing w:after="0" w:line="408" w:lineRule="auto"/>
        <w:ind w:firstLine="709"/>
        <w:jc w:val="both"/>
        <w:rPr>
          <w:rFonts w:ascii="Times New Roman" w:hAnsi="Times New Roman" w:cs="Times New Roman"/>
          <w:sz w:val="28"/>
          <w:szCs w:val="28"/>
          <w:lang w:val="en-US"/>
        </w:rPr>
      </w:pPr>
    </w:p>
    <w:p w:rsidR="00405A00" w:rsidRPr="00D45818" w:rsidRDefault="00405A00" w:rsidP="00405A00">
      <w:pPr>
        <w:widowControl w:val="0"/>
        <w:spacing w:after="0" w:line="408" w:lineRule="auto"/>
        <w:ind w:firstLine="709"/>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The war made its own adjustments not only to the lives of Ukrainians, but also to the international trade of our country. The war in Ukraine will affect changes in trading partners, export structure and volumes of foreign trade. Today, along with the export of agricultural products, Ukraine is developing the export of IT, which, in our opinion, can provide our country with victory in the war. The IT sector is one of the most developed in the world and brought more than 7 billion to our country’s economy in 2022. Thus, our country needs to export agricultural products, which constitute the largest part of the country’s exports, and rapidly develop the export of IT services and fulfill its contractual obligations. even during the period of hostilities and show their partners not only the strength of our Armed Forces, but also the power of the economy and business.</w:t>
      </w:r>
    </w:p>
    <w:p w:rsidR="00405A00" w:rsidRPr="00D45818" w:rsidRDefault="00405A00" w:rsidP="00405A00">
      <w:pPr>
        <w:widowControl w:val="0"/>
        <w:spacing w:after="0" w:line="408" w:lineRule="auto"/>
        <w:ind w:firstLine="709"/>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So, the dynamics of Ukraine’s exports and imports over the past eight years is shown in Figure 1.</w:t>
      </w:r>
    </w:p>
    <w:p w:rsidR="001D0180" w:rsidRPr="001D0180" w:rsidRDefault="001D0180" w:rsidP="00405A00">
      <w:pPr>
        <w:widowControl w:val="0"/>
        <w:spacing w:after="0" w:line="408" w:lineRule="auto"/>
        <w:ind w:firstLine="709"/>
        <w:jc w:val="both"/>
        <w:rPr>
          <w:rFonts w:ascii="Times New Roman" w:eastAsia="Calibri" w:hAnsi="Times New Roman" w:cs="Times New Roman"/>
          <w:color w:val="000000"/>
          <w:sz w:val="28"/>
          <w:szCs w:val="28"/>
          <w:lang w:val="en-US"/>
        </w:rPr>
      </w:pPr>
      <w:r w:rsidRPr="001D0180">
        <w:rPr>
          <w:rFonts w:ascii="Times New Roman" w:eastAsia="Calibri" w:hAnsi="Times New Roman" w:cs="Times New Roman"/>
          <w:noProof/>
          <w:color w:val="000000"/>
          <w:sz w:val="28"/>
          <w:lang w:eastAsia="uk-UA"/>
        </w:rPr>
        <w:drawing>
          <wp:inline distT="0" distB="0" distL="0" distR="0" wp14:anchorId="090E9B51" wp14:editId="10691B1D">
            <wp:extent cx="5470071" cy="2541814"/>
            <wp:effectExtent l="0" t="0" r="1651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05A00" w:rsidRPr="00D45818" w:rsidRDefault="00405A00" w:rsidP="00405A00">
      <w:pPr>
        <w:widowControl w:val="0"/>
        <w:spacing w:after="0" w:line="408"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Figure 1 – Analysis of the dynamics of exports and imports of goods and services in Ukraine for the period 2016-2022, billion dollars. USA</w:t>
      </w:r>
    </w:p>
    <w:p w:rsidR="00405A00" w:rsidRPr="00D45818" w:rsidRDefault="00405A00" w:rsidP="00405A00">
      <w:pPr>
        <w:widowControl w:val="0"/>
        <w:spacing w:after="0" w:line="408"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Source: [1]</w:t>
      </w:r>
    </w:p>
    <w:p w:rsidR="00405A00" w:rsidRPr="00D45818" w:rsidRDefault="00405A00" w:rsidP="00405A00">
      <w:pPr>
        <w:widowControl w:val="0"/>
        <w:spacing w:after="0" w:line="408"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lastRenderedPageBreak/>
        <w:t>This market shows how Russian aggression influenced Ukraine’s international activities. In 2014-2015 Due to the unstable situation in the East of Ukraine, there was a decrease in exports and imports. In 2022, due to the declaration of war and Russia's attack on Ukraine, there was a decrease in exports by 30.06% and imports by 1.79%. It was 2022 that became a turning point both in the history of our country and in the structure of trading partners. Starting in 2022, Ukraine finally took a pro-European direction and focused on strengthening trade relations with EU countries and Western partners.</w:t>
      </w:r>
    </w:p>
    <w:p w:rsidR="00405A00" w:rsidRPr="00D45818" w:rsidRDefault="00405A00" w:rsidP="00405A00">
      <w:pPr>
        <w:widowControl w:val="0"/>
        <w:spacing w:after="0" w:line="408"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We propose to analyze the structure of Ukraine’s main trading partners for the period 2021-2022 (Fig. 2).</w:t>
      </w:r>
    </w:p>
    <w:p w:rsidR="001D0180" w:rsidRPr="001D0180" w:rsidRDefault="00405A00" w:rsidP="00405A00">
      <w:pPr>
        <w:widowControl w:val="0"/>
        <w:spacing w:after="0" w:line="408" w:lineRule="auto"/>
        <w:ind w:firstLine="709"/>
        <w:jc w:val="both"/>
        <w:rPr>
          <w:rFonts w:ascii="Times New Roman" w:eastAsia="Calibri" w:hAnsi="Times New Roman" w:cs="Times New Roman"/>
          <w:bCs/>
          <w:color w:val="000000"/>
          <w:sz w:val="28"/>
          <w:szCs w:val="28"/>
          <w:lang w:val="en-US"/>
        </w:rPr>
      </w:pPr>
      <w:r w:rsidRPr="00D45818">
        <w:rPr>
          <w:noProof/>
          <w:lang w:eastAsia="uk-UA"/>
        </w:rPr>
        <w:drawing>
          <wp:inline distT="0" distB="0" distL="0" distR="0" wp14:anchorId="2B41F337" wp14:editId="1C1C49FE">
            <wp:extent cx="5442857" cy="2944586"/>
            <wp:effectExtent l="0" t="0" r="24765"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05A00" w:rsidRPr="00D45818" w:rsidRDefault="001D0180" w:rsidP="00405A00">
      <w:pPr>
        <w:widowControl w:val="0"/>
        <w:spacing w:after="0" w:line="408" w:lineRule="auto"/>
        <w:ind w:firstLine="709"/>
        <w:jc w:val="both"/>
        <w:rPr>
          <w:rFonts w:ascii="Times New Roman" w:eastAsia="Calibri" w:hAnsi="Times New Roman" w:cs="Times New Roman"/>
          <w:color w:val="000000"/>
          <w:sz w:val="28"/>
          <w:szCs w:val="28"/>
          <w:lang w:val="en-US"/>
        </w:rPr>
      </w:pPr>
      <w:r w:rsidRPr="001D0180">
        <w:rPr>
          <w:rFonts w:ascii="Times New Roman" w:eastAsia="Calibri" w:hAnsi="Times New Roman" w:cs="Times New Roman"/>
          <w:bCs/>
          <w:color w:val="000000"/>
          <w:sz w:val="28"/>
          <w:szCs w:val="28"/>
          <w:lang w:val="en-US"/>
        </w:rPr>
        <w:t xml:space="preserve"> </w:t>
      </w:r>
      <w:r w:rsidR="00405A00" w:rsidRPr="00D45818">
        <w:rPr>
          <w:rFonts w:ascii="Times New Roman" w:eastAsia="Calibri" w:hAnsi="Times New Roman" w:cs="Times New Roman"/>
          <w:color w:val="000000"/>
          <w:sz w:val="28"/>
          <w:szCs w:val="28"/>
          <w:lang w:val="en-US"/>
        </w:rPr>
        <w:t>Figure 2 – Structure of Ukraine’s exports by region for the period 2021-2022, %</w:t>
      </w:r>
    </w:p>
    <w:p w:rsidR="00405A00" w:rsidRPr="00D45818" w:rsidRDefault="00405A00" w:rsidP="00405A00">
      <w:pPr>
        <w:widowControl w:val="0"/>
        <w:spacing w:after="0" w:line="408"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Source: [1, 2]</w:t>
      </w:r>
    </w:p>
    <w:p w:rsidR="00405A00" w:rsidRPr="00D45818" w:rsidRDefault="00405A00" w:rsidP="00405A00">
      <w:pPr>
        <w:widowControl w:val="0"/>
        <w:spacing w:after="0" w:line="408" w:lineRule="auto"/>
        <w:ind w:firstLine="709"/>
        <w:jc w:val="both"/>
        <w:rPr>
          <w:rFonts w:ascii="Times New Roman" w:eastAsia="Calibri" w:hAnsi="Times New Roman" w:cs="Times New Roman"/>
          <w:color w:val="000000"/>
          <w:sz w:val="28"/>
          <w:szCs w:val="28"/>
          <w:lang w:val="en-US"/>
        </w:rPr>
      </w:pPr>
    </w:p>
    <w:p w:rsidR="00405A00" w:rsidRPr="00D45818" w:rsidRDefault="00405A00" w:rsidP="00405A00">
      <w:pPr>
        <w:widowControl w:val="0"/>
        <w:spacing w:after="0" w:line="408"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 xml:space="preserve">So, as can be seen from Figure 2, the share of CIS countries (primarily Russia, because it was one of Ukraine’s largest trading partners among the CIS countries) in 2022 decreased by 4.48%, while the share of European countries increased by 18. 75%. You can also see a decrease in the share of Asian countries </w:t>
      </w:r>
      <w:r w:rsidRPr="00D45818">
        <w:rPr>
          <w:rFonts w:ascii="Times New Roman" w:eastAsia="Calibri" w:hAnsi="Times New Roman" w:cs="Times New Roman"/>
          <w:color w:val="000000"/>
          <w:sz w:val="28"/>
          <w:szCs w:val="28"/>
          <w:lang w:val="en-US"/>
        </w:rPr>
        <w:lastRenderedPageBreak/>
        <w:t>by 11.63% due to Russia blocking the port in Odessa and restricting the movement of ships. It was 2022 that became the year of a complete change in Ukraine’s trading partners and a final orientation towards EU countries.</w:t>
      </w:r>
    </w:p>
    <w:p w:rsidR="00405A00" w:rsidRPr="00D45818" w:rsidRDefault="00405A00" w:rsidP="00405A00">
      <w:pPr>
        <w:widowControl w:val="0"/>
        <w:spacing w:after="0" w:line="408"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The following is proposed to determine the part of the EU countries in the structure of our country’s foreign trade turnover from 2015 (after the start of the ATO) and until 2022 – a full-scale war in Ukraine (Fig. 3).</w:t>
      </w:r>
    </w:p>
    <w:p w:rsidR="001D0180" w:rsidRPr="001D0180" w:rsidRDefault="00D06E1F" w:rsidP="00405A00">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r w:rsidRPr="00D45818">
        <w:rPr>
          <w:noProof/>
          <w:lang w:eastAsia="uk-UA"/>
        </w:rPr>
        <w:drawing>
          <wp:inline distT="0" distB="0" distL="0" distR="0" wp14:anchorId="044F53EB" wp14:editId="72530C26">
            <wp:extent cx="5464628" cy="3145972"/>
            <wp:effectExtent l="0" t="0" r="22225" b="1651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Figure 3 – Analysis of changes in the dynamics of foreign trade turnover of the CIS countries and the EU in Ukraine – 2015-2022, %</w:t>
      </w: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Source: [1]</w:t>
      </w: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shd w:val="clear" w:color="auto" w:fill="FBFBFB"/>
          <w:lang w:val="en-US"/>
        </w:rPr>
      </w:pP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This graph is clear evidence of how Ukrainian foreign trade has changed: 2015 marked the beginning of dramatic changes in foreign policy and a review of Ukrainian patterns. Our country set its sights on Europe and from a share of 31% in 2015 to 59.6 in 2022. Ukraine’s pro-European sentiments had a particular impact on the country’s trade policy, which is clearly demonstrated in Figure 3.</w:t>
      </w: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Next, we will determine the structure of international trade by the share of exports of goods and services for the period 2016-2022 (Fig. 4).</w:t>
      </w:r>
    </w:p>
    <w:p w:rsidR="001D0180" w:rsidRPr="001D0180" w:rsidRDefault="00405A00" w:rsidP="00D06E1F">
      <w:pPr>
        <w:spacing w:after="0" w:line="360" w:lineRule="auto"/>
        <w:ind w:firstLine="709"/>
        <w:jc w:val="both"/>
        <w:rPr>
          <w:rFonts w:ascii="Times New Roman" w:eastAsia="Calibri" w:hAnsi="Times New Roman" w:cs="Times New Roman"/>
          <w:color w:val="000000"/>
          <w:sz w:val="28"/>
          <w:szCs w:val="28"/>
          <w:shd w:val="clear" w:color="auto" w:fill="FBFBFB"/>
          <w:lang w:val="en-US"/>
        </w:rPr>
      </w:pPr>
      <w:r w:rsidRPr="00D45818">
        <w:rPr>
          <w:noProof/>
          <w:lang w:eastAsia="uk-UA"/>
        </w:rPr>
        <w:lastRenderedPageBreak/>
        <w:drawing>
          <wp:inline distT="0" distB="0" distL="0" distR="0" wp14:anchorId="77060D54" wp14:editId="3E3A5590">
            <wp:extent cx="5491843" cy="3156857"/>
            <wp:effectExtent l="0" t="0" r="13970" b="2476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6E1F" w:rsidRPr="00D45818" w:rsidRDefault="00D06E1F" w:rsidP="00D06E1F">
      <w:pPr>
        <w:tabs>
          <w:tab w:val="left" w:pos="1880"/>
        </w:tabs>
        <w:spacing w:after="0" w:line="360" w:lineRule="auto"/>
        <w:ind w:firstLine="851"/>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Figure 4 – Dynamics of the share of exports of goods and services of Ukraine for the period 2016-2022, %</w:t>
      </w:r>
    </w:p>
    <w:p w:rsidR="00D06E1F" w:rsidRPr="00D45818" w:rsidRDefault="00D06E1F" w:rsidP="00D06E1F">
      <w:pPr>
        <w:tabs>
          <w:tab w:val="left" w:pos="1880"/>
        </w:tabs>
        <w:spacing w:after="0" w:line="360" w:lineRule="auto"/>
        <w:ind w:firstLine="851"/>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Source: [1]</w:t>
      </w:r>
    </w:p>
    <w:p w:rsidR="00D06E1F" w:rsidRPr="00D45818" w:rsidRDefault="00D06E1F" w:rsidP="00D06E1F">
      <w:pPr>
        <w:tabs>
          <w:tab w:val="left" w:pos="1880"/>
        </w:tabs>
        <w:spacing w:after="0" w:line="360" w:lineRule="auto"/>
        <w:ind w:firstLine="851"/>
        <w:jc w:val="both"/>
        <w:rPr>
          <w:rFonts w:ascii="Times New Roman" w:eastAsia="Calibri" w:hAnsi="Times New Roman" w:cs="Times New Roman"/>
          <w:color w:val="000000"/>
          <w:sz w:val="28"/>
          <w:szCs w:val="28"/>
          <w:lang w:val="en-US"/>
        </w:rPr>
      </w:pPr>
    </w:p>
    <w:p w:rsidR="00D06E1F" w:rsidRPr="00D45818" w:rsidRDefault="00D06E1F" w:rsidP="00D06E1F">
      <w:pPr>
        <w:tabs>
          <w:tab w:val="left" w:pos="1880"/>
        </w:tabs>
        <w:spacing w:after="0" w:line="360" w:lineRule="auto"/>
        <w:ind w:firstLine="851"/>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 xml:space="preserve">As you can see, the share of exports of goods is much larger than the share of exports of services; on average for the analyzed period, the share of exports was 73.69%, and imports, respectively, 26.31%. However, in terms of growth rate, the </w:t>
      </w:r>
      <w:r w:rsidR="00D45818" w:rsidRPr="00D45818">
        <w:rPr>
          <w:rFonts w:ascii="Times New Roman" w:eastAsia="Calibri" w:hAnsi="Times New Roman" w:cs="Times New Roman"/>
          <w:color w:val="000000"/>
          <w:sz w:val="28"/>
          <w:szCs w:val="28"/>
          <w:lang w:val="en-US"/>
        </w:rPr>
        <w:t>shares of imports, despite the war, increased by 25.21%, while</w:t>
      </w:r>
      <w:r w:rsidRPr="00D45818">
        <w:rPr>
          <w:rFonts w:ascii="Times New Roman" w:eastAsia="Calibri" w:hAnsi="Times New Roman" w:cs="Times New Roman"/>
          <w:color w:val="000000"/>
          <w:sz w:val="28"/>
          <w:szCs w:val="28"/>
          <w:lang w:val="en-US"/>
        </w:rPr>
        <w:t xml:space="preserve"> the share of exports decreased by 7.35%.</w:t>
      </w:r>
    </w:p>
    <w:p w:rsidR="00D06E1F" w:rsidRPr="00D45818" w:rsidRDefault="00D06E1F" w:rsidP="00D06E1F">
      <w:pPr>
        <w:tabs>
          <w:tab w:val="left" w:pos="1880"/>
        </w:tabs>
        <w:spacing w:after="0" w:line="360" w:lineRule="auto"/>
        <w:ind w:firstLine="851"/>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Next, we propose to study the export of IT services during war in 2022 compared to 2021; such a study can help us analyze the impact of war on the development of technology exports from Ukraine (see Figure 5)</w:t>
      </w:r>
    </w:p>
    <w:p w:rsidR="00D06E1F" w:rsidRPr="00D45818" w:rsidRDefault="00D06E1F" w:rsidP="00D06E1F">
      <w:pPr>
        <w:tabs>
          <w:tab w:val="left" w:pos="1880"/>
        </w:tabs>
        <w:spacing w:after="0" w:line="360" w:lineRule="auto"/>
        <w:ind w:firstLine="851"/>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We see that, despite the war in Ukraine in 2022, the export of IT services increased by an average of 16.4% over the year, which is a good result and indicates the efficiency of IT companies.</w:t>
      </w:r>
    </w:p>
    <w:p w:rsidR="00D06E1F" w:rsidRPr="00D45818" w:rsidRDefault="00D06E1F" w:rsidP="00D06E1F">
      <w:pPr>
        <w:tabs>
          <w:tab w:val="left" w:pos="1880"/>
        </w:tabs>
        <w:spacing w:after="0" w:line="360" w:lineRule="auto"/>
        <w:ind w:firstLine="851"/>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We see that, despite the war in Ukraine in 2022, the export of IT services increased by an average of 16.4% over the year, which is a good result and indicates the efficiency of IT companies.</w:t>
      </w:r>
    </w:p>
    <w:p w:rsidR="00D06E1F" w:rsidRPr="00D45818" w:rsidRDefault="00D06E1F" w:rsidP="00D06E1F">
      <w:pPr>
        <w:tabs>
          <w:tab w:val="left" w:pos="1880"/>
        </w:tabs>
        <w:spacing w:after="0" w:line="360" w:lineRule="auto"/>
        <w:ind w:firstLine="851"/>
        <w:jc w:val="both"/>
        <w:rPr>
          <w:rFonts w:ascii="Times New Roman" w:eastAsia="Calibri" w:hAnsi="Times New Roman" w:cs="Times New Roman"/>
          <w:color w:val="000000"/>
          <w:sz w:val="28"/>
          <w:szCs w:val="28"/>
          <w:lang w:val="en-US"/>
        </w:rPr>
      </w:pPr>
    </w:p>
    <w:p w:rsidR="00F867A8" w:rsidRPr="00D45818" w:rsidRDefault="00D06E1F" w:rsidP="00D06E1F">
      <w:pPr>
        <w:tabs>
          <w:tab w:val="left" w:pos="1880"/>
        </w:tabs>
        <w:spacing w:after="0" w:line="360" w:lineRule="auto"/>
        <w:ind w:firstLine="851"/>
        <w:jc w:val="both"/>
        <w:rPr>
          <w:rFonts w:ascii="Times New Roman" w:hAnsi="Times New Roman" w:cs="Times New Roman"/>
          <w:sz w:val="28"/>
          <w:szCs w:val="28"/>
          <w:lang w:val="en-US"/>
        </w:rPr>
      </w:pPr>
      <w:r w:rsidRPr="00D45818">
        <w:rPr>
          <w:noProof/>
          <w:sz w:val="20"/>
          <w:szCs w:val="20"/>
          <w:lang w:eastAsia="uk-UA"/>
        </w:rPr>
        <w:lastRenderedPageBreak/>
        <w:drawing>
          <wp:inline distT="0" distB="0" distL="0" distR="0" wp14:anchorId="5EF14D80" wp14:editId="6A371FAF">
            <wp:extent cx="5377543" cy="2449286"/>
            <wp:effectExtent l="0" t="0" r="13970" b="2730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6E1F" w:rsidRPr="00D45818" w:rsidRDefault="00D06E1F" w:rsidP="00D06E1F">
      <w:pPr>
        <w:tabs>
          <w:tab w:val="left" w:pos="1880"/>
        </w:tabs>
        <w:spacing w:after="0" w:line="360" w:lineRule="auto"/>
        <w:ind w:firstLine="851"/>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Figure 5 - Dynamics of exports of IT technologies to Ukraine for the period 2021-2022, billion dollars. USA</w:t>
      </w:r>
    </w:p>
    <w:p w:rsidR="00D06E1F" w:rsidRPr="00D45818" w:rsidRDefault="00D06E1F" w:rsidP="00D06E1F">
      <w:pPr>
        <w:tabs>
          <w:tab w:val="left" w:pos="1880"/>
        </w:tabs>
        <w:spacing w:after="0" w:line="360" w:lineRule="auto"/>
        <w:ind w:firstLine="851"/>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Source: [3]</w:t>
      </w:r>
    </w:p>
    <w:p w:rsidR="00D06E1F" w:rsidRPr="00D45818" w:rsidRDefault="00D06E1F" w:rsidP="00D06E1F">
      <w:pPr>
        <w:tabs>
          <w:tab w:val="left" w:pos="1880"/>
        </w:tabs>
        <w:spacing w:after="0" w:line="360" w:lineRule="auto"/>
        <w:ind w:firstLine="851"/>
        <w:jc w:val="both"/>
        <w:rPr>
          <w:rFonts w:ascii="Times New Roman" w:hAnsi="Times New Roman" w:cs="Times New Roman"/>
          <w:sz w:val="28"/>
          <w:szCs w:val="28"/>
          <w:lang w:val="en-US"/>
        </w:rPr>
      </w:pPr>
    </w:p>
    <w:p w:rsidR="00D06E1F" w:rsidRPr="00D45818" w:rsidRDefault="00D06E1F" w:rsidP="00D06E1F">
      <w:pPr>
        <w:tabs>
          <w:tab w:val="left" w:pos="1880"/>
        </w:tabs>
        <w:spacing w:after="0" w:line="360" w:lineRule="auto"/>
        <w:ind w:firstLine="851"/>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As a result, we propose to study the main international treaties that guide Ukraine when carrying out international trade (Fig. 6).</w:t>
      </w:r>
    </w:p>
    <w:p w:rsidR="001D0180" w:rsidRPr="001D0180" w:rsidRDefault="001D0180" w:rsidP="00D06E1F">
      <w:pPr>
        <w:tabs>
          <w:tab w:val="left" w:pos="1880"/>
        </w:tabs>
        <w:spacing w:after="0" w:line="360" w:lineRule="auto"/>
        <w:ind w:firstLine="851"/>
        <w:jc w:val="both"/>
        <w:rPr>
          <w:rFonts w:ascii="Times New Roman" w:eastAsia="Calibri" w:hAnsi="Times New Roman" w:cs="Times New Roman"/>
          <w:color w:val="000000"/>
          <w:sz w:val="28"/>
          <w:szCs w:val="28"/>
          <w:lang w:val="en-US"/>
        </w:rPr>
      </w:pPr>
      <w:r w:rsidRPr="001D0180">
        <w:rPr>
          <w:rFonts w:ascii="Times New Roman" w:eastAsia="Calibri" w:hAnsi="Times New Roman" w:cs="Times New Roman"/>
          <w:noProof/>
          <w:color w:val="000000"/>
          <w:sz w:val="28"/>
          <w:szCs w:val="28"/>
          <w:lang w:eastAsia="uk-UA"/>
        </w:rPr>
        <w:drawing>
          <wp:inline distT="0" distB="0" distL="0" distR="0" wp14:anchorId="5FC763E6" wp14:editId="7F505AE6">
            <wp:extent cx="5350329" cy="3712029"/>
            <wp:effectExtent l="0" t="0" r="22225" b="4127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Figure 6 – list of main agreements in the implementation of international trade by Ukraine</w:t>
      </w: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Source: [4, 5, 6]</w:t>
      </w: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lastRenderedPageBreak/>
        <w:t>When carrying out international trade, Ukraine adheres to accepted international treaties and implements them in accordance with adopted legislation and global legal norms. Despite the war in Ukraine, our country fulfilled its treaty obligations to other countries.</w:t>
      </w: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As an example of fulfilling trade obligations, we propose to analyze the dynamics of exports of agricultural products as the most exported category of goods in Ukraine (Fig. 7).</w:t>
      </w:r>
    </w:p>
    <w:p w:rsidR="00D06E1F" w:rsidRPr="00D45818" w:rsidRDefault="00D06E1F" w:rsidP="00D06E1F">
      <w:pPr>
        <w:spacing w:after="0" w:line="360" w:lineRule="auto"/>
        <w:ind w:firstLine="709"/>
        <w:jc w:val="both"/>
        <w:rPr>
          <w:rFonts w:ascii="Times New Roman" w:eastAsia="Calibri" w:hAnsi="Times New Roman" w:cs="Times New Roman"/>
          <w:color w:val="000000"/>
          <w:sz w:val="28"/>
          <w:szCs w:val="28"/>
          <w:lang w:val="en-US"/>
        </w:rPr>
      </w:pPr>
      <w:r w:rsidRPr="00D45818">
        <w:rPr>
          <w:rFonts w:ascii="Times New Roman" w:eastAsia="Calibri" w:hAnsi="Times New Roman" w:cs="Times New Roman"/>
          <w:color w:val="000000"/>
          <w:sz w:val="28"/>
          <w:szCs w:val="28"/>
          <w:lang w:val="en-US"/>
        </w:rPr>
        <w:t>As we can see in Figure 7, the dynamics of agricultural exports from Ukraine peaked in 2021, recovering from the Coronavirus Pandemic in 2020. However, a new wave of challenges for domestic agricultural exports was the war in Ukraine, which led to a decrease in export sales due to the inability of companies to export due to the blocking of ports.</w:t>
      </w:r>
    </w:p>
    <w:p w:rsidR="001D0180" w:rsidRPr="001D0180" w:rsidRDefault="001D0180" w:rsidP="00D06E1F">
      <w:pPr>
        <w:spacing w:after="0" w:line="360" w:lineRule="auto"/>
        <w:ind w:firstLine="709"/>
        <w:jc w:val="both"/>
        <w:rPr>
          <w:rFonts w:ascii="Times New Roman" w:eastAsia="Calibri" w:hAnsi="Times New Roman" w:cs="Times New Roman"/>
          <w:color w:val="000000"/>
          <w:sz w:val="28"/>
          <w:szCs w:val="28"/>
          <w:shd w:val="clear" w:color="auto" w:fill="FBFBFB"/>
          <w:lang w:val="en-US"/>
        </w:rPr>
      </w:pPr>
      <w:r w:rsidRPr="001D0180">
        <w:rPr>
          <w:rFonts w:ascii="Times New Roman" w:eastAsia="Calibri" w:hAnsi="Times New Roman" w:cs="Times New Roman"/>
          <w:noProof/>
          <w:color w:val="000000"/>
          <w:sz w:val="28"/>
          <w:lang w:eastAsia="uk-UA"/>
        </w:rPr>
        <w:drawing>
          <wp:inline distT="0" distB="0" distL="0" distR="0" wp14:anchorId="48BC1C6B" wp14:editId="739B203E">
            <wp:extent cx="5526405" cy="3176905"/>
            <wp:effectExtent l="0" t="0" r="17145" b="23495"/>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6E1F" w:rsidRPr="00D45818" w:rsidRDefault="00D06E1F" w:rsidP="00D06E1F">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Figure 7 – Dynamics of exports of Ukrainian agricultural products by category for the period 2011-2022, million dollars. USA</w:t>
      </w:r>
    </w:p>
    <w:p w:rsidR="00D06E1F" w:rsidRPr="00D45818" w:rsidRDefault="00D06E1F" w:rsidP="00D06E1F">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Source: [1]</w:t>
      </w:r>
    </w:p>
    <w:p w:rsidR="00D06E1F" w:rsidRPr="00D45818" w:rsidRDefault="00D06E1F" w:rsidP="00D06E1F">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p>
    <w:p w:rsidR="00D06E1F" w:rsidRPr="00D45818" w:rsidRDefault="00D06E1F" w:rsidP="00D06E1F">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 xml:space="preserve">On 12 May 2022, the European Commission presented its Roads of Solidarity action plan [7] to help Ukraine export its agricultural products as part of </w:t>
      </w:r>
      <w:r w:rsidRPr="00D45818">
        <w:rPr>
          <w:rFonts w:ascii="Times New Roman" w:eastAsia="Calibri" w:hAnsi="Times New Roman" w:cs="Times New Roman"/>
          <w:color w:val="000000"/>
          <w:sz w:val="28"/>
          <w:szCs w:val="28"/>
          <w:shd w:val="clear" w:color="auto" w:fill="FBFBFB"/>
          <w:lang w:val="en-US"/>
        </w:rPr>
        <w:lastRenderedPageBreak/>
        <w:t>the EU's solidarity response with Ukraine.</w:t>
      </w:r>
    </w:p>
    <w:p w:rsidR="00D06E1F" w:rsidRPr="00D45818" w:rsidRDefault="00D06E1F" w:rsidP="00D06E1F">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Since August 2022, the Black Sea Grain Initiative [8], through the UN, has made it possible to increase the export of grain by sea routes and achieved the opening of a port in Odessa. According to the Ministry of Agriculture of Ukraine, total Ukrainian exports of grains, oilseeds and related products reached 6.6 million tons in September 2022, confirming the growth trend after 4.3 million tons in August, 2.8 m</w:t>
      </w:r>
      <w:r w:rsidR="00D45818" w:rsidRPr="00D45818">
        <w:rPr>
          <w:rFonts w:ascii="Times New Roman" w:eastAsia="Calibri" w:hAnsi="Times New Roman" w:cs="Times New Roman"/>
          <w:color w:val="000000"/>
          <w:sz w:val="28"/>
          <w:szCs w:val="28"/>
          <w:shd w:val="clear" w:color="auto" w:fill="FBFBFB"/>
          <w:lang w:val="en-US"/>
        </w:rPr>
        <w:t>illion tons in July, 2.</w:t>
      </w:r>
      <w:r w:rsidRPr="00D45818">
        <w:rPr>
          <w:rFonts w:ascii="Times New Roman" w:eastAsia="Calibri" w:hAnsi="Times New Roman" w:cs="Times New Roman"/>
          <w:color w:val="000000"/>
          <w:sz w:val="28"/>
          <w:szCs w:val="28"/>
          <w:shd w:val="clear" w:color="auto" w:fill="FBFBFB"/>
          <w:lang w:val="en-US"/>
        </w:rPr>
        <w:t>5 million tons in June, 2 million tons in May and 1.3 million tons in April.</w:t>
      </w:r>
    </w:p>
    <w:p w:rsidR="00D06E1F" w:rsidRPr="00D45818" w:rsidRDefault="00D06E1F" w:rsidP="00D06E1F">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For Ukraine, the export of agricultural products is an important source of revenue to the state budget and a strategic industry, the share of exports of which in 2022 was 53%. So our states need to stimulate domestic farmers to increase their volumes and support the development of exports of agricultural products.</w:t>
      </w:r>
    </w:p>
    <w:p w:rsidR="00D06E1F" w:rsidRPr="00D45818" w:rsidRDefault="00D06E1F" w:rsidP="00D06E1F">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Despite the war in Ukraine, our country fulfilled international trade obligations to other countries and exported even more agricultural products during the war than during the Coronavirus period. This fact once again demonstrates the fulfillment of our country’s trade obligations to its trading partners.</w:t>
      </w:r>
    </w:p>
    <w:p w:rsidR="00D06E1F" w:rsidRPr="00D45818" w:rsidRDefault="00D06E1F" w:rsidP="00D06E1F">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r w:rsidRPr="00D45818">
        <w:rPr>
          <w:rFonts w:ascii="Times New Roman" w:eastAsia="Calibri" w:hAnsi="Times New Roman" w:cs="Times New Roman"/>
          <w:color w:val="000000"/>
          <w:sz w:val="28"/>
          <w:szCs w:val="28"/>
          <w:shd w:val="clear" w:color="auto" w:fill="FBFBFB"/>
          <w:lang w:val="en-US"/>
        </w:rPr>
        <w:t xml:space="preserve">So, during the period of the war in Ukraine, we can observe the invincibility of Ukrainian exports and domestic companies that are fighting on the economic front to financially support our country. We can argue that our country needs to focus specifically on the development of the IT industry. After all, today the war is more technologically advanced and victory will be for those who have more drones, UAVs, missiles, and Ukraine has enough potential and highly qualified personnel who together create and will create reliable equipment for the Armed Forces of Ukraine, and in the future </w:t>
      </w:r>
      <w:r w:rsidR="00D45818">
        <w:rPr>
          <w:rFonts w:ascii="Times New Roman" w:eastAsia="Calibri" w:hAnsi="Times New Roman" w:cs="Times New Roman"/>
          <w:color w:val="000000"/>
          <w:sz w:val="28"/>
          <w:szCs w:val="28"/>
          <w:shd w:val="clear" w:color="auto" w:fill="FBFBFB"/>
          <w:lang w:val="en-US"/>
        </w:rPr>
        <w:t>will export it to all countries</w:t>
      </w:r>
      <w:r w:rsidRPr="00D45818">
        <w:rPr>
          <w:rFonts w:ascii="Times New Roman" w:eastAsia="Calibri" w:hAnsi="Times New Roman" w:cs="Times New Roman"/>
          <w:color w:val="000000"/>
          <w:sz w:val="28"/>
          <w:szCs w:val="28"/>
          <w:shd w:val="clear" w:color="auto" w:fill="FBFBFB"/>
          <w:lang w:val="en-US"/>
        </w:rPr>
        <w:t xml:space="preserve"> peace. Ukrainian IT companies are the future of our country, working to win the war and provide economic support for the country through the export of their services.</w:t>
      </w:r>
    </w:p>
    <w:p w:rsidR="00D06E1F" w:rsidRPr="00D45818" w:rsidRDefault="00D06E1F" w:rsidP="00D06E1F">
      <w:pPr>
        <w:widowControl w:val="0"/>
        <w:spacing w:after="0" w:line="408" w:lineRule="auto"/>
        <w:ind w:firstLine="709"/>
        <w:jc w:val="both"/>
        <w:rPr>
          <w:rFonts w:ascii="Times New Roman" w:eastAsia="Calibri" w:hAnsi="Times New Roman" w:cs="Times New Roman"/>
          <w:color w:val="000000"/>
          <w:sz w:val="28"/>
          <w:szCs w:val="28"/>
          <w:shd w:val="clear" w:color="auto" w:fill="FBFBFB"/>
          <w:lang w:val="en-US"/>
        </w:rPr>
      </w:pPr>
    </w:p>
    <w:p w:rsidR="001D0180" w:rsidRPr="001D0180" w:rsidRDefault="00D06E1F" w:rsidP="00D06E1F">
      <w:pPr>
        <w:widowControl w:val="0"/>
        <w:spacing w:after="0" w:line="408" w:lineRule="auto"/>
        <w:ind w:firstLine="709"/>
        <w:jc w:val="both"/>
        <w:rPr>
          <w:rFonts w:ascii="Times New Roman" w:eastAsia="Calibri" w:hAnsi="Times New Roman" w:cs="Times New Roman"/>
          <w:b/>
          <w:color w:val="000000"/>
          <w:sz w:val="28"/>
          <w:szCs w:val="28"/>
          <w:lang w:val="en-US"/>
        </w:rPr>
      </w:pPr>
      <w:r w:rsidRPr="00D45818">
        <w:rPr>
          <w:rFonts w:ascii="Times New Roman" w:eastAsia="Calibri" w:hAnsi="Times New Roman" w:cs="Times New Roman"/>
          <w:b/>
          <w:color w:val="000000"/>
          <w:sz w:val="28"/>
          <w:szCs w:val="28"/>
          <w:lang w:val="en-US"/>
        </w:rPr>
        <w:lastRenderedPageBreak/>
        <w:t>References</w:t>
      </w:r>
      <w:r w:rsidR="001D0180" w:rsidRPr="001D0180">
        <w:rPr>
          <w:rFonts w:ascii="Times New Roman" w:eastAsia="Calibri" w:hAnsi="Times New Roman" w:cs="Times New Roman"/>
          <w:b/>
          <w:color w:val="000000"/>
          <w:sz w:val="28"/>
          <w:szCs w:val="28"/>
          <w:lang w:val="en-US"/>
        </w:rPr>
        <w:t>:</w:t>
      </w:r>
    </w:p>
    <w:p w:rsidR="00405A00" w:rsidRPr="00D45818" w:rsidRDefault="00405A00" w:rsidP="00D06E1F">
      <w:pPr>
        <w:pStyle w:val="a6"/>
        <w:widowControl w:val="0"/>
        <w:numPr>
          <w:ilvl w:val="0"/>
          <w:numId w:val="1"/>
        </w:numPr>
        <w:spacing w:after="0" w:line="360" w:lineRule="auto"/>
        <w:ind w:left="0" w:firstLine="709"/>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 xml:space="preserve">Statystyka zovnishnoho sektoru Ukrainy (2022) URL:   </w:t>
      </w:r>
      <w:hyperlink r:id="rId17" w:history="1">
        <w:r w:rsidRPr="00D45818">
          <w:rPr>
            <w:rStyle w:val="a5"/>
            <w:rFonts w:ascii="Times New Roman" w:hAnsi="Times New Roman" w:cs="Times New Roman"/>
            <w:sz w:val="28"/>
            <w:szCs w:val="28"/>
            <w:lang w:val="en-US"/>
          </w:rPr>
          <w:t>https://bank.gov.ua/ua/statistic/sector-external</w:t>
        </w:r>
      </w:hyperlink>
      <w:r w:rsidRPr="00D45818">
        <w:rPr>
          <w:rFonts w:ascii="Times New Roman" w:hAnsi="Times New Roman" w:cs="Times New Roman"/>
          <w:sz w:val="28"/>
          <w:szCs w:val="28"/>
          <w:lang w:val="en-US"/>
        </w:rPr>
        <w:t xml:space="preserve"> </w:t>
      </w:r>
      <w:r w:rsidR="00D06E1F" w:rsidRPr="00D45818">
        <w:rPr>
          <w:rFonts w:ascii="Times New Roman" w:hAnsi="Times New Roman" w:cs="Times New Roman"/>
          <w:sz w:val="28"/>
          <w:szCs w:val="28"/>
          <w:lang w:val="en-US"/>
        </w:rPr>
        <w:t xml:space="preserve"> (data zvernennia 09.01.2024</w:t>
      </w:r>
      <w:r w:rsidRPr="00D45818">
        <w:rPr>
          <w:rFonts w:ascii="Times New Roman" w:hAnsi="Times New Roman" w:cs="Times New Roman"/>
          <w:sz w:val="28"/>
          <w:szCs w:val="28"/>
          <w:lang w:val="en-US"/>
        </w:rPr>
        <w:t>)</w:t>
      </w:r>
    </w:p>
    <w:p w:rsidR="001D0180" w:rsidRPr="00D45818" w:rsidRDefault="00405A00" w:rsidP="00D06E1F">
      <w:pPr>
        <w:pStyle w:val="a6"/>
        <w:widowControl w:val="0"/>
        <w:numPr>
          <w:ilvl w:val="0"/>
          <w:numId w:val="1"/>
        </w:numPr>
        <w:spacing w:after="0" w:line="360" w:lineRule="auto"/>
        <w:ind w:left="0" w:firstLine="709"/>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 xml:space="preserve">Eksport Ukrainy u 2022 rotsi: holovni tendentsii, sektory ta rehiony (2022) URL:   </w:t>
      </w:r>
      <w:hyperlink r:id="rId18" w:history="1">
        <w:r w:rsidRPr="00D45818">
          <w:rPr>
            <w:rStyle w:val="a5"/>
            <w:rFonts w:ascii="Times New Roman" w:hAnsi="Times New Roman" w:cs="Times New Roman"/>
            <w:sz w:val="28"/>
            <w:szCs w:val="28"/>
            <w:lang w:val="en-US"/>
          </w:rPr>
          <w:t>https://export.gov.ua/news/4570-eksport_ukraini_u_2022_rotsi_golovni_tendentsii_sektori_ta_regioni</w:t>
        </w:r>
      </w:hyperlink>
      <w:r w:rsidRPr="00D45818">
        <w:rPr>
          <w:rFonts w:ascii="Times New Roman" w:hAnsi="Times New Roman" w:cs="Times New Roman"/>
          <w:sz w:val="28"/>
          <w:szCs w:val="28"/>
          <w:lang w:val="en-US"/>
        </w:rPr>
        <w:t xml:space="preserve">  </w:t>
      </w:r>
      <w:r w:rsidR="00D06E1F" w:rsidRPr="00D45818">
        <w:rPr>
          <w:rFonts w:ascii="Times New Roman" w:hAnsi="Times New Roman" w:cs="Times New Roman"/>
          <w:sz w:val="28"/>
          <w:szCs w:val="28"/>
          <w:lang w:val="en-US"/>
        </w:rPr>
        <w:t>(data zvernennia 09.01.2024)</w:t>
      </w:r>
    </w:p>
    <w:p w:rsidR="00F867A8" w:rsidRPr="00D45818" w:rsidRDefault="00F867A8" w:rsidP="00D06E1F">
      <w:pPr>
        <w:widowControl w:val="0"/>
        <w:numPr>
          <w:ilvl w:val="0"/>
          <w:numId w:val="1"/>
        </w:numPr>
        <w:tabs>
          <w:tab w:val="left" w:pos="624"/>
        </w:tabs>
        <w:autoSpaceDE w:val="0"/>
        <w:autoSpaceDN w:val="0"/>
        <w:spacing w:after="0" w:line="360" w:lineRule="auto"/>
        <w:ind w:left="0" w:firstLine="709"/>
        <w:jc w:val="both"/>
        <w:rPr>
          <w:rStyle w:val="a5"/>
          <w:rFonts w:ascii="Times New Roman" w:eastAsia="Calibri" w:hAnsi="Times New Roman" w:cs="Times New Roman"/>
          <w:color w:val="000000"/>
          <w:sz w:val="28"/>
          <w:szCs w:val="28"/>
          <w:u w:val="none"/>
          <w:lang w:val="en-US"/>
        </w:rPr>
      </w:pPr>
      <w:r w:rsidRPr="00D45818">
        <w:rPr>
          <w:rFonts w:ascii="Times New Roman" w:hAnsi="Times New Roman" w:cs="Times New Roman"/>
          <w:sz w:val="28"/>
          <w:szCs w:val="28"/>
          <w:lang w:val="en-US"/>
        </w:rPr>
        <w:t xml:space="preserve">Forbs. Faktor uspikhu. Visim lideriv ukrainskoho IT-biznesu pro rezultaty 2022-ho i te, kudy rukhatymetsia rynok, URL </w:t>
      </w:r>
      <w:hyperlink r:id="rId19" w:history="1">
        <w:r w:rsidRPr="00D45818">
          <w:rPr>
            <w:rStyle w:val="a5"/>
            <w:rFonts w:ascii="Times New Roman" w:hAnsi="Times New Roman" w:cs="Times New Roman"/>
            <w:sz w:val="28"/>
            <w:szCs w:val="28"/>
            <w:lang w:val="en-US"/>
          </w:rPr>
          <w:t>https://forbes.ua/innovations/faktor-uspikhu-visim-lideriv-ukrainskogo-it-biznesu-pro-rezultati-2022-go-i-te-kudi-rukhatimetsya-rinok-28022023-11995</w:t>
        </w:r>
      </w:hyperlink>
      <w:r w:rsidR="00D06E1F" w:rsidRPr="00D45818">
        <w:rPr>
          <w:rStyle w:val="a5"/>
          <w:rFonts w:ascii="Times New Roman" w:hAnsi="Times New Roman" w:cs="Times New Roman"/>
          <w:sz w:val="28"/>
          <w:szCs w:val="28"/>
          <w:lang w:val="en-US"/>
        </w:rPr>
        <w:t xml:space="preserve"> </w:t>
      </w:r>
      <w:r w:rsidR="00D06E1F" w:rsidRPr="00D45818">
        <w:rPr>
          <w:rFonts w:ascii="Times New Roman" w:hAnsi="Times New Roman" w:cs="Times New Roman"/>
          <w:sz w:val="28"/>
          <w:szCs w:val="28"/>
          <w:lang w:val="en-US"/>
        </w:rPr>
        <w:t>(data zvernennia 10.01.2024)</w:t>
      </w:r>
    </w:p>
    <w:p w:rsidR="00405A00" w:rsidRPr="00D45818" w:rsidRDefault="00405A00" w:rsidP="00D06E1F">
      <w:pPr>
        <w:pStyle w:val="a6"/>
        <w:widowControl w:val="0"/>
        <w:numPr>
          <w:ilvl w:val="0"/>
          <w:numId w:val="1"/>
        </w:numPr>
        <w:spacing w:after="0" w:line="360" w:lineRule="auto"/>
        <w:ind w:left="0" w:firstLine="709"/>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 xml:space="preserve">Videnska konventsiia pro pravo mizhnarodnykh dohovoriv : Konventsiia OON vid 23.05.1969. URL: </w:t>
      </w:r>
      <w:hyperlink r:id="rId20" w:history="1">
        <w:r w:rsidRPr="00D45818">
          <w:rPr>
            <w:rStyle w:val="a5"/>
            <w:rFonts w:ascii="Times New Roman" w:hAnsi="Times New Roman" w:cs="Times New Roman"/>
            <w:sz w:val="28"/>
            <w:szCs w:val="28"/>
            <w:lang w:val="en-US"/>
          </w:rPr>
          <w:t>https://zakon.rada.gov.ua/laws/show/995_118</w:t>
        </w:r>
      </w:hyperlink>
      <w:r w:rsidRPr="00D45818">
        <w:rPr>
          <w:rFonts w:ascii="Times New Roman" w:hAnsi="Times New Roman" w:cs="Times New Roman"/>
          <w:sz w:val="28"/>
          <w:szCs w:val="28"/>
          <w:lang w:val="en-US"/>
        </w:rPr>
        <w:t xml:space="preserve">    </w:t>
      </w:r>
      <w:r w:rsidR="00D06E1F" w:rsidRPr="00D45818">
        <w:rPr>
          <w:rFonts w:ascii="Times New Roman" w:hAnsi="Times New Roman" w:cs="Times New Roman"/>
          <w:sz w:val="28"/>
          <w:szCs w:val="28"/>
          <w:lang w:val="en-US"/>
        </w:rPr>
        <w:t>(data zvernennia 10.01.2024)</w:t>
      </w:r>
    </w:p>
    <w:p w:rsidR="00405A00" w:rsidRPr="00D45818" w:rsidRDefault="00405A00" w:rsidP="00D06E1F">
      <w:pPr>
        <w:pStyle w:val="a6"/>
        <w:widowControl w:val="0"/>
        <w:numPr>
          <w:ilvl w:val="0"/>
          <w:numId w:val="1"/>
        </w:numPr>
        <w:spacing w:after="0" w:line="360" w:lineRule="auto"/>
        <w:ind w:left="0" w:firstLine="709"/>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Koziubra M. I. Spivvidnoshennia natsionalnykh i mizhnarodnykh pravovykh system. Naukovi zapysky NaUKMA. Yurydychni nauky. 2016. T. 181. S. 5</w:t>
      </w:r>
    </w:p>
    <w:p w:rsidR="00405A00" w:rsidRPr="00D45818" w:rsidRDefault="00405A00" w:rsidP="00D06E1F">
      <w:pPr>
        <w:pStyle w:val="a6"/>
        <w:widowControl w:val="0"/>
        <w:numPr>
          <w:ilvl w:val="0"/>
          <w:numId w:val="1"/>
        </w:numPr>
        <w:spacing w:after="0" w:line="360" w:lineRule="auto"/>
        <w:ind w:left="0" w:firstLine="709"/>
        <w:jc w:val="both"/>
        <w:rPr>
          <w:rFonts w:ascii="Times New Roman" w:hAnsi="Times New Roman" w:cs="Times New Roman"/>
          <w:sz w:val="28"/>
          <w:szCs w:val="28"/>
          <w:lang w:val="en-US"/>
        </w:rPr>
      </w:pPr>
      <w:r w:rsidRPr="00D45818">
        <w:rPr>
          <w:rFonts w:ascii="Times New Roman" w:hAnsi="Times New Roman" w:cs="Times New Roman"/>
          <w:sz w:val="28"/>
          <w:szCs w:val="28"/>
          <w:lang w:val="en-US"/>
        </w:rPr>
        <w:t>Pro mizhnarodni dohovory Ukrainy : Zakon Ukrainy vid 29.06.2004 № 1906-IV. Vidomosti Verkhovnoi Rady Ukrainy. 2004. № 50. St. 540.</w:t>
      </w:r>
    </w:p>
    <w:p w:rsidR="001D0180" w:rsidRPr="001D0180" w:rsidRDefault="001D0180" w:rsidP="00D06E1F">
      <w:pPr>
        <w:numPr>
          <w:ilvl w:val="0"/>
          <w:numId w:val="1"/>
        </w:numPr>
        <w:spacing w:after="0" w:line="360" w:lineRule="auto"/>
        <w:ind w:left="0" w:firstLine="709"/>
        <w:contextualSpacing/>
        <w:jc w:val="both"/>
        <w:rPr>
          <w:rFonts w:ascii="Times New Roman" w:eastAsia="Calibri" w:hAnsi="Times New Roman" w:cs="Times New Roman"/>
          <w:color w:val="000000"/>
          <w:sz w:val="28"/>
          <w:szCs w:val="28"/>
          <w:lang w:val="en-US"/>
        </w:rPr>
      </w:pPr>
      <w:r w:rsidRPr="001D0180">
        <w:rPr>
          <w:rFonts w:ascii="Times New Roman" w:eastAsia="Calibri" w:hAnsi="Times New Roman" w:cs="Times New Roman"/>
          <w:color w:val="000000"/>
          <w:sz w:val="28"/>
          <w:szCs w:val="28"/>
          <w:lang w:val="en-US"/>
        </w:rPr>
        <w:t xml:space="preserve">Solidarity Lanes Action Plan (2022) URL: </w:t>
      </w:r>
      <w:hyperlink r:id="rId21" w:history="1">
        <w:r w:rsidRPr="00D45818">
          <w:rPr>
            <w:rFonts w:ascii="Times New Roman" w:eastAsia="Calibri" w:hAnsi="Times New Roman" w:cs="Times New Roman"/>
            <w:color w:val="0563C1"/>
            <w:sz w:val="28"/>
            <w:szCs w:val="28"/>
            <w:u w:val="single"/>
            <w:lang w:val="en-US"/>
          </w:rPr>
          <w:t>https://transport.ec.europa.eu/news/european-commission-establish-solidarity-lanes-help-ukraine-export-agricultural-goods-2022-05-12_en</w:t>
        </w:r>
      </w:hyperlink>
      <w:r w:rsidRPr="001D0180">
        <w:rPr>
          <w:rFonts w:ascii="Times New Roman" w:eastAsia="Calibri" w:hAnsi="Times New Roman" w:cs="Times New Roman"/>
          <w:color w:val="000000"/>
          <w:sz w:val="28"/>
          <w:szCs w:val="28"/>
          <w:lang w:val="en-US"/>
        </w:rPr>
        <w:t xml:space="preserve"> </w:t>
      </w:r>
      <w:r w:rsidR="00D06E1F" w:rsidRPr="00D45818">
        <w:rPr>
          <w:rFonts w:ascii="Times New Roman" w:hAnsi="Times New Roman" w:cs="Times New Roman"/>
          <w:sz w:val="28"/>
          <w:szCs w:val="28"/>
          <w:lang w:val="en-US"/>
        </w:rPr>
        <w:t>(data zvernennia 12.01.2024)</w:t>
      </w:r>
    </w:p>
    <w:p w:rsidR="001D0180" w:rsidRPr="001D0180" w:rsidRDefault="001D0180" w:rsidP="00D06E1F">
      <w:pPr>
        <w:numPr>
          <w:ilvl w:val="0"/>
          <w:numId w:val="1"/>
        </w:numPr>
        <w:shd w:val="clear" w:color="auto" w:fill="FFFFFF"/>
        <w:spacing w:after="0" w:line="360" w:lineRule="auto"/>
        <w:ind w:left="0" w:firstLine="709"/>
        <w:contextualSpacing/>
        <w:jc w:val="both"/>
        <w:textAlignment w:val="baseline"/>
        <w:rPr>
          <w:rFonts w:ascii="Times New Roman" w:eastAsia="Times New Roman" w:hAnsi="Times New Roman" w:cs="Times New Roman"/>
          <w:color w:val="000000"/>
          <w:sz w:val="28"/>
          <w:szCs w:val="28"/>
          <w:lang w:val="en-US" w:eastAsia="ru-RU"/>
        </w:rPr>
      </w:pPr>
      <w:r w:rsidRPr="001D0180">
        <w:rPr>
          <w:rFonts w:ascii="Times New Roman" w:eastAsia="Calibri" w:hAnsi="Times New Roman" w:cs="Times New Roman"/>
          <w:color w:val="000000"/>
          <w:sz w:val="28"/>
          <w:szCs w:val="28"/>
          <w:lang w:val="en-US"/>
        </w:rPr>
        <w:t xml:space="preserve">Black Sea Grain Initiative  (2022) URL:   </w:t>
      </w:r>
      <w:hyperlink r:id="rId22" w:history="1">
        <w:r w:rsidRPr="00D45818">
          <w:rPr>
            <w:rFonts w:ascii="Times New Roman" w:eastAsia="Calibri" w:hAnsi="Times New Roman" w:cs="Times New Roman"/>
            <w:color w:val="0563C1"/>
            <w:sz w:val="28"/>
            <w:szCs w:val="28"/>
            <w:u w:val="single"/>
            <w:lang w:val="en-US"/>
          </w:rPr>
          <w:t>https://www.un.org/en/black-sea-grain-initiative</w:t>
        </w:r>
      </w:hyperlink>
      <w:r w:rsidRPr="001D0180">
        <w:rPr>
          <w:rFonts w:ascii="Times New Roman" w:eastAsia="Calibri" w:hAnsi="Times New Roman" w:cs="Times New Roman"/>
          <w:color w:val="000000"/>
          <w:sz w:val="28"/>
          <w:szCs w:val="28"/>
          <w:lang w:val="en-US"/>
        </w:rPr>
        <w:t xml:space="preserve"> </w:t>
      </w:r>
      <w:r w:rsidR="00D06E1F" w:rsidRPr="00D45818">
        <w:rPr>
          <w:rFonts w:ascii="Times New Roman" w:hAnsi="Times New Roman" w:cs="Times New Roman"/>
          <w:sz w:val="28"/>
          <w:szCs w:val="28"/>
          <w:lang w:val="en-US"/>
        </w:rPr>
        <w:t>(data zvernennia 12.01.2024)</w:t>
      </w:r>
    </w:p>
    <w:p w:rsidR="001D0180" w:rsidRPr="001D0180" w:rsidRDefault="001D0180" w:rsidP="001D0180">
      <w:pPr>
        <w:spacing w:after="0" w:line="360" w:lineRule="auto"/>
        <w:ind w:firstLine="709"/>
        <w:jc w:val="both"/>
        <w:rPr>
          <w:rFonts w:ascii="Times New Roman" w:eastAsia="Calibri" w:hAnsi="Times New Roman" w:cs="Times New Roman"/>
          <w:color w:val="000000"/>
          <w:sz w:val="28"/>
          <w:szCs w:val="28"/>
          <w:lang w:val="en-US"/>
        </w:rPr>
      </w:pPr>
    </w:p>
    <w:p w:rsidR="001D0180" w:rsidRPr="001D0180" w:rsidRDefault="001D0180" w:rsidP="001D0180">
      <w:pPr>
        <w:spacing w:after="0" w:line="360" w:lineRule="auto"/>
        <w:ind w:left="709"/>
        <w:contextualSpacing/>
        <w:jc w:val="both"/>
        <w:rPr>
          <w:rFonts w:ascii="Times New Roman" w:eastAsia="Calibri" w:hAnsi="Times New Roman" w:cs="Times New Roman"/>
          <w:color w:val="000000"/>
          <w:sz w:val="28"/>
          <w:szCs w:val="28"/>
          <w:lang w:val="en-US"/>
        </w:rPr>
      </w:pPr>
    </w:p>
    <w:p w:rsidR="001D0180" w:rsidRPr="001D0180" w:rsidRDefault="001D0180" w:rsidP="00D06E1F">
      <w:pPr>
        <w:widowControl w:val="0"/>
        <w:spacing w:after="0" w:line="360" w:lineRule="auto"/>
        <w:jc w:val="both"/>
        <w:rPr>
          <w:rFonts w:ascii="Times New Roman" w:eastAsia="Calibri" w:hAnsi="Times New Roman" w:cs="Times New Roman"/>
          <w:color w:val="000000"/>
          <w:sz w:val="28"/>
          <w:lang w:val="en-US"/>
        </w:rPr>
      </w:pPr>
    </w:p>
    <w:p w:rsidR="001D0180" w:rsidRPr="00D45818" w:rsidRDefault="001D0180">
      <w:pPr>
        <w:rPr>
          <w:lang w:val="en-US"/>
        </w:rPr>
      </w:pPr>
    </w:p>
    <w:sectPr w:rsidR="001D0180" w:rsidRPr="00D45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119B8"/>
    <w:multiLevelType w:val="hybridMultilevel"/>
    <w:tmpl w:val="D4D6BA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E1"/>
    <w:rsid w:val="001D0180"/>
    <w:rsid w:val="00405A00"/>
    <w:rsid w:val="007B23E1"/>
    <w:rsid w:val="00B71E9F"/>
    <w:rsid w:val="00B75B2B"/>
    <w:rsid w:val="00D06E1F"/>
    <w:rsid w:val="00D45818"/>
    <w:rsid w:val="00F8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180"/>
    <w:rPr>
      <w:rFonts w:ascii="Tahoma" w:hAnsi="Tahoma" w:cs="Tahoma"/>
      <w:sz w:val="16"/>
      <w:szCs w:val="16"/>
      <w:lang w:val="uk-UA"/>
    </w:rPr>
  </w:style>
  <w:style w:type="character" w:styleId="a5">
    <w:name w:val="Hyperlink"/>
    <w:basedOn w:val="a0"/>
    <w:uiPriority w:val="99"/>
    <w:unhideWhenUsed/>
    <w:qFormat/>
    <w:rsid w:val="00F867A8"/>
    <w:rPr>
      <w:color w:val="0000FF" w:themeColor="hyperlink"/>
      <w:u w:val="single"/>
    </w:rPr>
  </w:style>
  <w:style w:type="paragraph" w:styleId="a6">
    <w:name w:val="List Paragraph"/>
    <w:basedOn w:val="a"/>
    <w:uiPriority w:val="34"/>
    <w:qFormat/>
    <w:rsid w:val="00405A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180"/>
    <w:rPr>
      <w:rFonts w:ascii="Tahoma" w:hAnsi="Tahoma" w:cs="Tahoma"/>
      <w:sz w:val="16"/>
      <w:szCs w:val="16"/>
      <w:lang w:val="uk-UA"/>
    </w:rPr>
  </w:style>
  <w:style w:type="character" w:styleId="a5">
    <w:name w:val="Hyperlink"/>
    <w:basedOn w:val="a0"/>
    <w:uiPriority w:val="99"/>
    <w:unhideWhenUsed/>
    <w:qFormat/>
    <w:rsid w:val="00F867A8"/>
    <w:rPr>
      <w:color w:val="0000FF" w:themeColor="hyperlink"/>
      <w:u w:val="single"/>
    </w:rPr>
  </w:style>
  <w:style w:type="paragraph" w:styleId="a6">
    <w:name w:val="List Paragraph"/>
    <w:basedOn w:val="a"/>
    <w:uiPriority w:val="34"/>
    <w:qFormat/>
    <w:rsid w:val="0040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diagramQuickStyle" Target="diagrams/quickStyle1.xml"/><Relationship Id="rId18" Type="http://schemas.openxmlformats.org/officeDocument/2006/relationships/hyperlink" Target="https://export.gov.ua/news/4570-eksport_ukraini_u_2022_rotsi_golovni_tendentsii_sektori_ta_regioni" TargetMode="External"/><Relationship Id="rId3" Type="http://schemas.microsoft.com/office/2007/relationships/stylesWithEffects" Target="stylesWithEffects.xml"/><Relationship Id="rId21" Type="http://schemas.openxmlformats.org/officeDocument/2006/relationships/hyperlink" Target="https://transport.ec.europa.eu/news/european-commission-establish-solidarity-lanes-help-ukraine-export-agricultural-goods-2022-05-12_en" TargetMode="External"/><Relationship Id="rId7" Type="http://schemas.openxmlformats.org/officeDocument/2006/relationships/chart" Target="charts/chart2.xml"/><Relationship Id="rId12" Type="http://schemas.openxmlformats.org/officeDocument/2006/relationships/diagramLayout" Target="diagrams/layout1.xml"/><Relationship Id="rId17" Type="http://schemas.openxmlformats.org/officeDocument/2006/relationships/hyperlink" Target="https://bank.gov.ua/ua/statistic/sector-external" TargetMode="Externa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s://zakon.rada.gov.ua/laws/show/995_118"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hyperlink" Target="https://forbes.ua/innovations/faktor-uspikhu-visim-lideriv-ukrainskogo-it-biznesu-pro-rezultati-2022-go-i-te-kudi-rukhatimetsya-rinok-28022023-11995"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diagramColors" Target="diagrams/colors1.xml"/><Relationship Id="rId22" Type="http://schemas.openxmlformats.org/officeDocument/2006/relationships/hyperlink" Target="https://www.un.org/en/black-sea-grain-initiativ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50;&#1091;&#1088;&#1089;&#1086;&#1074;&#1110;%20&#1044;&#1086;&#1076;&#1072;&#1090;&#1082;&#1086;&#1074;&#1086;\&#1089;&#1090;&#1072;&#1085;%20&#1074;&#1080;&#1082;&#1086;&#1085;&#1072;&#1085;&#1085;&#1103;%20&#1076;&#1086;&#1075;&#1086;&#1074;&#1086;&#1088;&#1110;&#1074;%20&#1059;&#1082;&#1088;&#1072;&#1111;&#1085;&#1080;%20&#1091;%20&#1089;&#1092;&#1077;&#1088;&#1110;%20&#1084;&#1110;&#1078;&#1085;&#1072;&#1088;&#1086;&#1076;&#1085;&#1086;&#1111;%20&#1090;&#1086;&#1088;&#1075;&#1110;&#1074;&#1083;&#1110;\&#1053;&#1086;&#1074;&#1080;&#1081;%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89;&#1090;&#1072;&#1085;%20&#1074;&#1080;&#1082;&#1086;&#1085;&#1072;&#1085;&#1085;&#1103;%20&#1076;&#1086;&#1075;&#1086;&#1074;&#1086;&#1088;&#1110;&#1074;%20&#1059;&#1082;&#1088;&#1072;&#1111;&#1085;&#1080;%20&#1091;%20&#1089;&#1092;&#1077;&#1088;&#1110;%20&#1084;&#1110;&#1078;&#1085;&#1072;&#1088;&#1086;&#1076;&#1085;&#1086;&#1111;%20&#1090;&#1086;&#1088;&#1075;&#1110;&#1074;&#1083;&#1110;\&#1053;&#1086;&#1074;&#1080;&#1081;%20&#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55;&#1086;&#1088;&#1110;&#1074;&#1085;&#1103;&#1083;&#1100;&#1085;&#1080;&#1081;%20&#1072;&#1085;&#1072;&#1083;&#1110;&#1079;%20&#1084;&#1110;&#1078;&#1085;&#1072;&#1088;&#1086;&#1076;&#1085;&#1086;&#1111;%20&#1110;&#1085;&#1074;&#1077;&#1089;&#1090;&#1080;&#1094;&#1110;&#1081;&#1085;&#1086;&#1111;%20&#1087;&#1086;&#1079;&#1080;&#1094;&#1110;&#1111;%20&#1059;&#1082;&#1088;&#1072;&#1111;&#1085;&#1080;%20&#1082;&#1088;&#1072;&#1111;&#1085;&#1080;%20&#1085;&#1072;%20&#1074;&#1080;&#1073;&#1110;&#1088;\&#1053;&#1086;&#1074;&#1080;&#1081;%20&#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89;&#1090;&#1072;&#1085;%20&#1074;&#1080;&#1082;&#1086;&#1085;&#1072;&#1085;&#1085;&#1103;%20&#1076;&#1086;&#1075;&#1086;&#1074;&#1086;&#1088;&#1110;&#1074;%20&#1059;&#1082;&#1088;&#1072;&#1111;&#1085;&#1080;%20&#1091;%20&#1089;&#1092;&#1077;&#1088;&#1110;%20&#1084;&#1110;&#1078;&#1085;&#1072;&#1088;&#1086;&#1076;&#1085;&#1086;&#1111;%20&#1090;&#1086;&#1088;&#1075;&#1110;&#1074;&#1083;&#1110;\&#1053;&#1086;&#1074;&#1080;&#1081;%20&#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0;&#1091;&#1088;&#1089;&#1086;&#1074;&#1110;%20&#1044;&#1086;&#1076;&#1072;&#1090;&#1082;&#1086;&#1074;&#1086;\&#1054;&#1089;&#1086;&#1073;&#1083;&#1080;&#1074;&#1086;&#1089;&#1090;&#1110;%20&#1082;&#1088;&#1080;&#1079;&#1086;&#1074;&#1086;&#1075;&#1086;%20&#1084;&#1077;&#1085;&#1077;&#1076;&#1078;&#1084;&#1077;&#1085;&#1090;&#1091;%20&#1074;%20&#1030;&#1058;%20&#1082;&#1086;&#1084;&#1087;&#1072;&#1085;&#1110;&#1093;%20&#1087;&#1110;&#1076;&#1095;&#1072;&#1089;%20&#1074;&#1110;&#1081;&#1085;&#1080;\&#1053;&#1086;&#1074;&#1080;&#1081;%20&#1051;&#1080;&#1089;&#1090;%20Microsoft%20Excel.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esktop\&#1050;&#1091;&#1088;&#1089;&#1086;&#1074;&#1110;%20&#1044;&#1086;&#1076;&#1072;&#1090;&#1082;&#1086;&#1074;&#1086;\&#1056;&#1086;&#1079;&#1074;&#1080;&#1090;&#1086;&#1082;%20&#1077;&#1082;&#1089;&#1087;&#1086;&#1088;&#1090;&#1085;&#1086;&#1111;%20&#1076;&#1110;&#1103;&#1083;&#1100;&#1085;&#1086;&#1089;&#1090;&#1110;%20&#1074;&#1110;&#1090;&#1095;&#1080;&#1079;&#1085;&#1103;&#1085;&#1080;&#1093;%20&#1072;&#1075;&#1088;&#1086;&#1093;&#1086;&#1083;&#1076;&#1080;&#1085;&#1075;&#1110;&#1074;%20(&#1044;&#1048;&#1055;&#1051;&#1054;&#1052;)\&#1053;&#1086;&#1074;&#1080;&#1081;%20&#1051;&#1080;&#1089;&#1090;%20Microsoft%20Exce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693940828791807E-2"/>
          <c:y val="4.9841413683733578E-2"/>
          <c:w val="0.87576624027174221"/>
          <c:h val="0.8959484674746423"/>
        </c:manualLayout>
      </c:layout>
      <c:barChart>
        <c:barDir val="col"/>
        <c:grouping val="clustered"/>
        <c:varyColors val="0"/>
        <c:ser>
          <c:idx val="0"/>
          <c:order val="0"/>
          <c:tx>
            <c:strRef>
              <c:f>Лист1!$B$8</c:f>
              <c:strCache>
                <c:ptCount val="1"/>
                <c:pt idx="0">
                  <c:v>Export</c:v>
                </c:pt>
              </c:strCache>
            </c:strRef>
          </c:tx>
          <c:invertIfNegative val="0"/>
          <c:cat>
            <c:strRef>
              <c:f>Лист1!$D$1:$J$2</c:f>
              <c:strCache>
                <c:ptCount val="7"/>
                <c:pt idx="0">
                  <c:v>2016</c:v>
                </c:pt>
                <c:pt idx="1">
                  <c:v>2017</c:v>
                </c:pt>
                <c:pt idx="2">
                  <c:v>2018</c:v>
                </c:pt>
                <c:pt idx="3">
                  <c:v>2019</c:v>
                </c:pt>
                <c:pt idx="4">
                  <c:v>2020</c:v>
                </c:pt>
                <c:pt idx="5">
                  <c:v>2021</c:v>
                </c:pt>
                <c:pt idx="6">
                  <c:v>2022</c:v>
                </c:pt>
              </c:strCache>
            </c:strRef>
          </c:cat>
          <c:val>
            <c:numRef>
              <c:f>Лист1!$D$8:$J$8</c:f>
              <c:numCache>
                <c:formatCode>0.00</c:formatCode>
                <c:ptCount val="7"/>
                <c:pt idx="0">
                  <c:v>46.008000000000003</c:v>
                </c:pt>
                <c:pt idx="1">
                  <c:v>53.944000000000003</c:v>
                </c:pt>
                <c:pt idx="2">
                  <c:v>59.177</c:v>
                </c:pt>
                <c:pt idx="3">
                  <c:v>63.555999999999997</c:v>
                </c:pt>
                <c:pt idx="4">
                  <c:v>60.707000000000001</c:v>
                </c:pt>
                <c:pt idx="5">
                  <c:v>81.504000000000005</c:v>
                </c:pt>
                <c:pt idx="6">
                  <c:v>57.005000000000003</c:v>
                </c:pt>
              </c:numCache>
            </c:numRef>
          </c:val>
        </c:ser>
        <c:ser>
          <c:idx val="2"/>
          <c:order val="2"/>
          <c:tx>
            <c:strRef>
              <c:f>Лист1!$B$10</c:f>
              <c:strCache>
                <c:ptCount val="1"/>
                <c:pt idx="0">
                  <c:v>Import</c:v>
                </c:pt>
              </c:strCache>
            </c:strRef>
          </c:tx>
          <c:invertIfNegative val="0"/>
          <c:cat>
            <c:strRef>
              <c:f>Лист1!$D$1:$J$2</c:f>
              <c:strCache>
                <c:ptCount val="7"/>
                <c:pt idx="0">
                  <c:v>2016</c:v>
                </c:pt>
                <c:pt idx="1">
                  <c:v>2017</c:v>
                </c:pt>
                <c:pt idx="2">
                  <c:v>2018</c:v>
                </c:pt>
                <c:pt idx="3">
                  <c:v>2019</c:v>
                </c:pt>
                <c:pt idx="4">
                  <c:v>2020</c:v>
                </c:pt>
                <c:pt idx="5">
                  <c:v>2021</c:v>
                </c:pt>
                <c:pt idx="6">
                  <c:v>2022</c:v>
                </c:pt>
              </c:strCache>
            </c:strRef>
          </c:cat>
          <c:val>
            <c:numRef>
              <c:f>Лист1!$D$10:$J$10</c:f>
              <c:numCache>
                <c:formatCode>0.00</c:formatCode>
                <c:ptCount val="7"/>
                <c:pt idx="0">
                  <c:v>52.460999999999999</c:v>
                </c:pt>
                <c:pt idx="1">
                  <c:v>62.688000000000002</c:v>
                </c:pt>
                <c:pt idx="2">
                  <c:v>70.555000000000007</c:v>
                </c:pt>
                <c:pt idx="3">
                  <c:v>76.066999999999993</c:v>
                </c:pt>
                <c:pt idx="4">
                  <c:v>63.085000000000001</c:v>
                </c:pt>
                <c:pt idx="5">
                  <c:v>84.174999999999997</c:v>
                </c:pt>
                <c:pt idx="6">
                  <c:v>82.667000000000002</c:v>
                </c:pt>
              </c:numCache>
            </c:numRef>
          </c:val>
        </c:ser>
        <c:dLbls>
          <c:showLegendKey val="0"/>
          <c:showVal val="1"/>
          <c:showCatName val="0"/>
          <c:showSerName val="0"/>
          <c:showPercent val="0"/>
          <c:showBubbleSize val="0"/>
        </c:dLbls>
        <c:gapWidth val="75"/>
        <c:axId val="217229312"/>
        <c:axId val="36680192"/>
      </c:barChart>
      <c:lineChart>
        <c:grouping val="standard"/>
        <c:varyColors val="0"/>
        <c:ser>
          <c:idx val="1"/>
          <c:order val="1"/>
          <c:tx>
            <c:strRef>
              <c:f>Лист1!$B$9</c:f>
              <c:strCache>
                <c:ptCount val="1"/>
                <c:pt idx="0">
                  <c:v>Growth, %</c:v>
                </c:pt>
              </c:strCache>
            </c:strRef>
          </c:tx>
          <c:dLbls>
            <c:delete val="1"/>
          </c:dLbls>
          <c:val>
            <c:numRef>
              <c:f>Лист1!$D$9:$J$9</c:f>
              <c:numCache>
                <c:formatCode>0.00</c:formatCode>
                <c:ptCount val="7"/>
                <c:pt idx="0">
                  <c:v>-3.8736367055283978</c:v>
                </c:pt>
                <c:pt idx="1">
                  <c:v>17.249174056685803</c:v>
                </c:pt>
                <c:pt idx="2">
                  <c:v>9.700800830490877</c:v>
                </c:pt>
                <c:pt idx="3">
                  <c:v>7.3998343951197256</c:v>
                </c:pt>
                <c:pt idx="4">
                  <c:v>-4.482660960412872</c:v>
                </c:pt>
                <c:pt idx="5">
                  <c:v>34.257993312138638</c:v>
                </c:pt>
                <c:pt idx="6">
                  <c:v>-30.058647428347072</c:v>
                </c:pt>
              </c:numCache>
            </c:numRef>
          </c:val>
          <c:smooth val="0"/>
        </c:ser>
        <c:ser>
          <c:idx val="3"/>
          <c:order val="3"/>
          <c:tx>
            <c:strRef>
              <c:f>Лист1!$B$11</c:f>
              <c:strCache>
                <c:ptCount val="1"/>
                <c:pt idx="0">
                  <c:v>Growth, %</c:v>
                </c:pt>
              </c:strCache>
            </c:strRef>
          </c:tx>
          <c:dLbls>
            <c:delete val="1"/>
          </c:dLbls>
          <c:val>
            <c:numRef>
              <c:f>Лист1!$D$11:$J$11</c:f>
              <c:numCache>
                <c:formatCode>0.00</c:formatCode>
                <c:ptCount val="7"/>
                <c:pt idx="0">
                  <c:v>4.4540458744823326</c:v>
                </c:pt>
                <c:pt idx="1">
                  <c:v>19.494481614913937</c:v>
                </c:pt>
                <c:pt idx="2">
                  <c:v>12.549451250638086</c:v>
                </c:pt>
                <c:pt idx="3">
                  <c:v>7.812344979094334</c:v>
                </c:pt>
                <c:pt idx="4">
                  <c:v>-17.066533450773662</c:v>
                </c:pt>
                <c:pt idx="5">
                  <c:v>33.431085043988276</c:v>
                </c:pt>
                <c:pt idx="6">
                  <c:v>-1.7915057915057844</c:v>
                </c:pt>
              </c:numCache>
            </c:numRef>
          </c:val>
          <c:smooth val="0"/>
        </c:ser>
        <c:dLbls>
          <c:showLegendKey val="0"/>
          <c:showVal val="1"/>
          <c:showCatName val="0"/>
          <c:showSerName val="0"/>
          <c:showPercent val="0"/>
          <c:showBubbleSize val="0"/>
        </c:dLbls>
        <c:marker val="1"/>
        <c:smooth val="0"/>
        <c:axId val="217229312"/>
        <c:axId val="36680192"/>
      </c:lineChart>
      <c:catAx>
        <c:axId val="217229312"/>
        <c:scaling>
          <c:orientation val="minMax"/>
        </c:scaling>
        <c:delete val="0"/>
        <c:axPos val="b"/>
        <c:majorTickMark val="none"/>
        <c:minorTickMark val="none"/>
        <c:tickLblPos val="nextTo"/>
        <c:crossAx val="36680192"/>
        <c:crosses val="autoZero"/>
        <c:auto val="1"/>
        <c:lblAlgn val="ctr"/>
        <c:lblOffset val="100"/>
        <c:noMultiLvlLbl val="0"/>
      </c:catAx>
      <c:valAx>
        <c:axId val="36680192"/>
        <c:scaling>
          <c:orientation val="minMax"/>
        </c:scaling>
        <c:delete val="0"/>
        <c:axPos val="l"/>
        <c:numFmt formatCode="0.00" sourceLinked="1"/>
        <c:majorTickMark val="none"/>
        <c:minorTickMark val="none"/>
        <c:tickLblPos val="nextTo"/>
        <c:crossAx val="217229312"/>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4.6680154564012824E-2"/>
          <c:w val="0.94166666666666665"/>
          <c:h val="0.83733996792067655"/>
        </c:manualLayout>
      </c:layout>
      <c:barChart>
        <c:barDir val="col"/>
        <c:grouping val="stacked"/>
        <c:varyColors val="0"/>
        <c:ser>
          <c:idx val="0"/>
          <c:order val="0"/>
          <c:tx>
            <c:strRef>
              <c:f>Лист2!$B$3</c:f>
              <c:strCache>
                <c:ptCount val="1"/>
                <c:pt idx="0">
                  <c:v>Europe</c:v>
                </c:pt>
              </c:strCache>
            </c:strRef>
          </c:tx>
          <c:invertIfNegative val="0"/>
          <c:cat>
            <c:numRef>
              <c:f>Лист2!$C$2:$D$2</c:f>
              <c:numCache>
                <c:formatCode>0</c:formatCode>
                <c:ptCount val="2"/>
                <c:pt idx="0">
                  <c:v>2021</c:v>
                </c:pt>
                <c:pt idx="1">
                  <c:v>2022</c:v>
                </c:pt>
              </c:numCache>
            </c:numRef>
          </c:cat>
          <c:val>
            <c:numRef>
              <c:f>Лист2!$C$3:$D$3</c:f>
              <c:numCache>
                <c:formatCode>#,###,##0.0;\–#,###,##0.0;"–"</c:formatCode>
                <c:ptCount val="2"/>
                <c:pt idx="0">
                  <c:v>40.376607310745484</c:v>
                </c:pt>
                <c:pt idx="1">
                  <c:v>59.12220664110167</c:v>
                </c:pt>
              </c:numCache>
            </c:numRef>
          </c:val>
        </c:ser>
        <c:ser>
          <c:idx val="1"/>
          <c:order val="1"/>
          <c:tx>
            <c:strRef>
              <c:f>Лист2!$B$4</c:f>
              <c:strCache>
                <c:ptCount val="1"/>
                <c:pt idx="0">
                  <c:v>Asia</c:v>
                </c:pt>
              </c:strCache>
            </c:strRef>
          </c:tx>
          <c:invertIfNegative val="0"/>
          <c:cat>
            <c:numRef>
              <c:f>Лист2!$C$2:$D$2</c:f>
              <c:numCache>
                <c:formatCode>0</c:formatCode>
                <c:ptCount val="2"/>
                <c:pt idx="0">
                  <c:v>2021</c:v>
                </c:pt>
                <c:pt idx="1">
                  <c:v>2022</c:v>
                </c:pt>
              </c:numCache>
            </c:numRef>
          </c:cat>
          <c:val>
            <c:numRef>
              <c:f>Лист2!$C$4:$D$4</c:f>
              <c:numCache>
                <c:formatCode>#,###,##0.0;\–#,###,##0.0;"–"</c:formatCode>
                <c:ptCount val="2"/>
                <c:pt idx="0">
                  <c:v>31.468765834216729</c:v>
                </c:pt>
                <c:pt idx="1">
                  <c:v>19.837947608595737</c:v>
                </c:pt>
              </c:numCache>
            </c:numRef>
          </c:val>
        </c:ser>
        <c:ser>
          <c:idx val="2"/>
          <c:order val="2"/>
          <c:tx>
            <c:strRef>
              <c:f>Лист2!$B$5</c:f>
              <c:strCache>
                <c:ptCount val="1"/>
                <c:pt idx="0">
                  <c:v>America</c:v>
                </c:pt>
              </c:strCache>
            </c:strRef>
          </c:tx>
          <c:invertIfNegative val="0"/>
          <c:cat>
            <c:numRef>
              <c:f>Лист2!$C$2:$D$2</c:f>
              <c:numCache>
                <c:formatCode>0</c:formatCode>
                <c:ptCount val="2"/>
                <c:pt idx="0">
                  <c:v>2021</c:v>
                </c:pt>
                <c:pt idx="1">
                  <c:v>2022</c:v>
                </c:pt>
              </c:numCache>
            </c:numRef>
          </c:cat>
          <c:val>
            <c:numRef>
              <c:f>Лист2!$C$5:$D$5</c:f>
              <c:numCache>
                <c:formatCode>#,###,##0.0;\–#,###,##0.0;"–"</c:formatCode>
                <c:ptCount val="2"/>
                <c:pt idx="0">
                  <c:v>9.0917402635576163</c:v>
                </c:pt>
                <c:pt idx="1">
                  <c:v>9.6994558224717142</c:v>
                </c:pt>
              </c:numCache>
            </c:numRef>
          </c:val>
        </c:ser>
        <c:ser>
          <c:idx val="3"/>
          <c:order val="3"/>
          <c:tx>
            <c:strRef>
              <c:f>Лист2!$B$6</c:f>
              <c:strCache>
                <c:ptCount val="1"/>
                <c:pt idx="0">
                  <c:v>   Africa</c:v>
                </c:pt>
              </c:strCache>
            </c:strRef>
          </c:tx>
          <c:invertIfNegative val="0"/>
          <c:cat>
            <c:numRef>
              <c:f>Лист2!$C$2:$D$2</c:f>
              <c:numCache>
                <c:formatCode>0</c:formatCode>
                <c:ptCount val="2"/>
                <c:pt idx="0">
                  <c:v>2021</c:v>
                </c:pt>
                <c:pt idx="1">
                  <c:v>2022</c:v>
                </c:pt>
              </c:numCache>
            </c:numRef>
          </c:cat>
          <c:val>
            <c:numRef>
              <c:f>Лист2!$C$6:$D$6</c:f>
              <c:numCache>
                <c:formatCode>#,###,##0.0;\–#,###,##0.0;"–"</c:formatCode>
                <c:ptCount val="2"/>
                <c:pt idx="0">
                  <c:v>7.1553276985178647</c:v>
                </c:pt>
                <c:pt idx="1">
                  <c:v>3.9144158547144987</c:v>
                </c:pt>
              </c:numCache>
            </c:numRef>
          </c:val>
        </c:ser>
        <c:ser>
          <c:idx val="4"/>
          <c:order val="4"/>
          <c:tx>
            <c:strRef>
              <c:f>Лист2!$B$7</c:f>
              <c:strCache>
                <c:ptCount val="1"/>
                <c:pt idx="0">
                  <c:v>Australia and Oceania</c:v>
                </c:pt>
              </c:strCache>
            </c:strRef>
          </c:tx>
          <c:invertIfNegative val="0"/>
          <c:cat>
            <c:numRef>
              <c:f>Лист2!$C$2:$D$2</c:f>
              <c:numCache>
                <c:formatCode>0</c:formatCode>
                <c:ptCount val="2"/>
                <c:pt idx="0">
                  <c:v>2021</c:v>
                </c:pt>
                <c:pt idx="1">
                  <c:v>2022</c:v>
                </c:pt>
              </c:numCache>
            </c:numRef>
          </c:cat>
          <c:val>
            <c:numRef>
              <c:f>Лист2!$C$7:$D$7</c:f>
              <c:numCache>
                <c:formatCode>#,###,##0.0;\–#,###,##0.0;"–"</c:formatCode>
                <c:ptCount val="2"/>
                <c:pt idx="0">
                  <c:v>0.20773988107332156</c:v>
                </c:pt>
                <c:pt idx="1">
                  <c:v>0.19744537477414262</c:v>
                </c:pt>
              </c:numCache>
            </c:numRef>
          </c:val>
        </c:ser>
        <c:ser>
          <c:idx val="5"/>
          <c:order val="5"/>
          <c:tx>
            <c:strRef>
              <c:f>Лист2!$B$8</c:f>
              <c:strCache>
                <c:ptCount val="1"/>
                <c:pt idx="0">
                  <c:v>CIS countries</c:v>
                </c:pt>
              </c:strCache>
            </c:strRef>
          </c:tx>
          <c:invertIfNegative val="0"/>
          <c:cat>
            <c:numRef>
              <c:f>Лист2!$C$2:$D$2</c:f>
              <c:numCache>
                <c:formatCode>0</c:formatCode>
                <c:ptCount val="2"/>
                <c:pt idx="0">
                  <c:v>2021</c:v>
                </c:pt>
                <c:pt idx="1">
                  <c:v>2022</c:v>
                </c:pt>
              </c:numCache>
            </c:numRef>
          </c:cat>
          <c:val>
            <c:numRef>
              <c:f>Лист2!$C$8:$D$8</c:f>
              <c:numCache>
                <c:formatCode>#,###,##0.0;\–#,###,##0.0;"–"</c:formatCode>
                <c:ptCount val="2"/>
                <c:pt idx="0">
                  <c:v>11.42275225755791</c:v>
                </c:pt>
                <c:pt idx="1">
                  <c:v>6.9450048241382332</c:v>
                </c:pt>
              </c:numCache>
            </c:numRef>
          </c:val>
        </c:ser>
        <c:dLbls>
          <c:showLegendKey val="0"/>
          <c:showVal val="1"/>
          <c:showCatName val="0"/>
          <c:showSerName val="0"/>
          <c:showPercent val="0"/>
          <c:showBubbleSize val="0"/>
        </c:dLbls>
        <c:gapWidth val="95"/>
        <c:overlap val="100"/>
        <c:axId val="217230336"/>
        <c:axId val="36683072"/>
      </c:barChart>
      <c:catAx>
        <c:axId val="217230336"/>
        <c:scaling>
          <c:orientation val="minMax"/>
        </c:scaling>
        <c:delete val="0"/>
        <c:axPos val="b"/>
        <c:numFmt formatCode="0" sourceLinked="1"/>
        <c:majorTickMark val="none"/>
        <c:minorTickMark val="none"/>
        <c:tickLblPos val="nextTo"/>
        <c:crossAx val="36683072"/>
        <c:crosses val="autoZero"/>
        <c:auto val="1"/>
        <c:lblAlgn val="ctr"/>
        <c:lblOffset val="100"/>
        <c:noMultiLvlLbl val="0"/>
      </c:catAx>
      <c:valAx>
        <c:axId val="36683072"/>
        <c:scaling>
          <c:orientation val="minMax"/>
        </c:scaling>
        <c:delete val="1"/>
        <c:axPos val="l"/>
        <c:numFmt formatCode="#,###,##0.0;\–#,###,##0.0;&quot;–&quot;" sourceLinked="1"/>
        <c:majorTickMark val="out"/>
        <c:minorTickMark val="none"/>
        <c:tickLblPos val="nextTo"/>
        <c:crossAx val="217230336"/>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Лист3!$A$12</c:f>
              <c:strCache>
                <c:ptCount val="1"/>
                <c:pt idx="0">
                  <c:v>EU countries</c:v>
                </c:pt>
              </c:strCache>
            </c:strRef>
          </c:tx>
          <c:invertIfNegative val="0"/>
          <c:cat>
            <c:strRef>
              <c:f>Лист3!$B$3:$I$4</c:f>
              <c:strCache>
                <c:ptCount val="8"/>
                <c:pt idx="0">
                  <c:v>2015*</c:v>
                </c:pt>
                <c:pt idx="1">
                  <c:v>2016</c:v>
                </c:pt>
                <c:pt idx="2">
                  <c:v>2017</c:v>
                </c:pt>
                <c:pt idx="3">
                  <c:v>2018</c:v>
                </c:pt>
                <c:pt idx="4">
                  <c:v>2019</c:v>
                </c:pt>
                <c:pt idx="5">
                  <c:v>2020</c:v>
                </c:pt>
                <c:pt idx="6">
                  <c:v>2021</c:v>
                </c:pt>
                <c:pt idx="7">
                  <c:v>2022</c:v>
                </c:pt>
              </c:strCache>
            </c:strRef>
          </c:cat>
          <c:val>
            <c:numRef>
              <c:f>Лист3!$B$12:$I$12</c:f>
              <c:numCache>
                <c:formatCode>0.0</c:formatCode>
                <c:ptCount val="8"/>
                <c:pt idx="0">
                  <c:v>31.965369371775786</c:v>
                </c:pt>
                <c:pt idx="1">
                  <c:v>35.01170837290924</c:v>
                </c:pt>
                <c:pt idx="2">
                  <c:v>36.655564360587142</c:v>
                </c:pt>
                <c:pt idx="3">
                  <c:v>37.842899308482103</c:v>
                </c:pt>
                <c:pt idx="4">
                  <c:v>38.292553031355872</c:v>
                </c:pt>
                <c:pt idx="5">
                  <c:v>38.086329394896275</c:v>
                </c:pt>
                <c:pt idx="6">
                  <c:v>38.209069135853071</c:v>
                </c:pt>
                <c:pt idx="7">
                  <c:v>59.573185455992238</c:v>
                </c:pt>
              </c:numCache>
            </c:numRef>
          </c:val>
        </c:ser>
        <c:ser>
          <c:idx val="1"/>
          <c:order val="1"/>
          <c:tx>
            <c:strRef>
              <c:f>Лист3!$A$13</c:f>
              <c:strCache>
                <c:ptCount val="1"/>
                <c:pt idx="0">
                  <c:v>       CIS countries</c:v>
                </c:pt>
              </c:strCache>
            </c:strRef>
          </c:tx>
          <c:invertIfNegative val="0"/>
          <c:cat>
            <c:strRef>
              <c:f>Лист3!$B$3:$I$4</c:f>
              <c:strCache>
                <c:ptCount val="8"/>
                <c:pt idx="0">
                  <c:v>2015*</c:v>
                </c:pt>
                <c:pt idx="1">
                  <c:v>2016</c:v>
                </c:pt>
                <c:pt idx="2">
                  <c:v>2017</c:v>
                </c:pt>
                <c:pt idx="3">
                  <c:v>2018</c:v>
                </c:pt>
                <c:pt idx="4">
                  <c:v>2019</c:v>
                </c:pt>
                <c:pt idx="5">
                  <c:v>2020</c:v>
                </c:pt>
                <c:pt idx="6">
                  <c:v>2021</c:v>
                </c:pt>
                <c:pt idx="7">
                  <c:v>2022</c:v>
                </c:pt>
              </c:strCache>
            </c:strRef>
          </c:cat>
          <c:val>
            <c:numRef>
              <c:f>Лист3!$B$13:$I$13</c:f>
              <c:numCache>
                <c:formatCode>0.0</c:formatCode>
                <c:ptCount val="8"/>
                <c:pt idx="0">
                  <c:v>26.234121077421857</c:v>
                </c:pt>
                <c:pt idx="1">
                  <c:v>22.021143710203212</c:v>
                </c:pt>
                <c:pt idx="2">
                  <c:v>21.975101172919953</c:v>
                </c:pt>
                <c:pt idx="3">
                  <c:v>20.992507631116457</c:v>
                </c:pt>
                <c:pt idx="4">
                  <c:v>18.175372252422594</c:v>
                </c:pt>
                <c:pt idx="5">
                  <c:v>14.715005816207832</c:v>
                </c:pt>
                <c:pt idx="6">
                  <c:v>14.25225888615938</c:v>
                </c:pt>
                <c:pt idx="7">
                  <c:v>16.719650804763571</c:v>
                </c:pt>
              </c:numCache>
            </c:numRef>
          </c:val>
        </c:ser>
        <c:dLbls>
          <c:showLegendKey val="0"/>
          <c:showVal val="1"/>
          <c:showCatName val="0"/>
          <c:showSerName val="0"/>
          <c:showPercent val="0"/>
          <c:showBubbleSize val="0"/>
        </c:dLbls>
        <c:gapWidth val="95"/>
        <c:overlap val="100"/>
        <c:axId val="217230848"/>
        <c:axId val="225862784"/>
      </c:barChart>
      <c:catAx>
        <c:axId val="217230848"/>
        <c:scaling>
          <c:orientation val="minMax"/>
        </c:scaling>
        <c:delete val="0"/>
        <c:axPos val="b"/>
        <c:majorTickMark val="none"/>
        <c:minorTickMark val="none"/>
        <c:tickLblPos val="nextTo"/>
        <c:crossAx val="225862784"/>
        <c:crosses val="autoZero"/>
        <c:auto val="1"/>
        <c:lblAlgn val="ctr"/>
        <c:lblOffset val="100"/>
        <c:noMultiLvlLbl val="0"/>
      </c:catAx>
      <c:valAx>
        <c:axId val="225862784"/>
        <c:scaling>
          <c:orientation val="minMax"/>
        </c:scaling>
        <c:delete val="1"/>
        <c:axPos val="l"/>
        <c:numFmt formatCode="0.0" sourceLinked="1"/>
        <c:majorTickMark val="out"/>
        <c:minorTickMark val="none"/>
        <c:tickLblPos val="nextTo"/>
        <c:crossAx val="217230848"/>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488407699037617E-2"/>
          <c:y val="5.1400554097404488E-2"/>
          <c:w val="0.91117825896762905"/>
          <c:h val="0.89874599008457279"/>
        </c:manualLayout>
      </c:layout>
      <c:barChart>
        <c:barDir val="col"/>
        <c:grouping val="clustered"/>
        <c:varyColors val="0"/>
        <c:ser>
          <c:idx val="0"/>
          <c:order val="0"/>
          <c:tx>
            <c:strRef>
              <c:f>Лист3!$A$5</c:f>
              <c:strCache>
                <c:ptCount val="1"/>
                <c:pt idx="0">
                  <c:v>Goods export</c:v>
                </c:pt>
              </c:strCache>
            </c:strRef>
          </c:tx>
          <c:invertIfNegative val="0"/>
          <c:cat>
            <c:strRef>
              <c:f>Лист3!$C$3:$I$4</c:f>
              <c:strCache>
                <c:ptCount val="7"/>
                <c:pt idx="0">
                  <c:v>2016</c:v>
                </c:pt>
                <c:pt idx="1">
                  <c:v>2017</c:v>
                </c:pt>
                <c:pt idx="2">
                  <c:v>2018</c:v>
                </c:pt>
                <c:pt idx="3">
                  <c:v>2019</c:v>
                </c:pt>
                <c:pt idx="4">
                  <c:v>2020</c:v>
                </c:pt>
                <c:pt idx="5">
                  <c:v>2021</c:v>
                </c:pt>
                <c:pt idx="6">
                  <c:v>2022</c:v>
                </c:pt>
              </c:strCache>
            </c:strRef>
          </c:cat>
          <c:val>
            <c:numRef>
              <c:f>Лист3!$C$5:$I$5</c:f>
              <c:numCache>
                <c:formatCode>0.00</c:formatCode>
                <c:ptCount val="7"/>
                <c:pt idx="0">
                  <c:v>72.943835854633974</c:v>
                </c:pt>
                <c:pt idx="1">
                  <c:v>73.596692866676548</c:v>
                </c:pt>
                <c:pt idx="2">
                  <c:v>73.239603224225633</c:v>
                </c:pt>
                <c:pt idx="3">
                  <c:v>72.520297060859718</c:v>
                </c:pt>
                <c:pt idx="4">
                  <c:v>74.362099922578949</c:v>
                </c:pt>
                <c:pt idx="5">
                  <c:v>77.435463290145265</c:v>
                </c:pt>
                <c:pt idx="6">
                  <c:v>71.746338040522758</c:v>
                </c:pt>
              </c:numCache>
            </c:numRef>
          </c:val>
        </c:ser>
        <c:ser>
          <c:idx val="2"/>
          <c:order val="2"/>
          <c:tx>
            <c:strRef>
              <c:f>Лист3!$A$7</c:f>
              <c:strCache>
                <c:ptCount val="1"/>
                <c:pt idx="0">
                  <c:v>Services export</c:v>
                </c:pt>
              </c:strCache>
            </c:strRef>
          </c:tx>
          <c:invertIfNegative val="0"/>
          <c:cat>
            <c:strRef>
              <c:f>Лист3!$C$3:$I$4</c:f>
              <c:strCache>
                <c:ptCount val="7"/>
                <c:pt idx="0">
                  <c:v>2016</c:v>
                </c:pt>
                <c:pt idx="1">
                  <c:v>2017</c:v>
                </c:pt>
                <c:pt idx="2">
                  <c:v>2018</c:v>
                </c:pt>
                <c:pt idx="3">
                  <c:v>2019</c:v>
                </c:pt>
                <c:pt idx="4">
                  <c:v>2020</c:v>
                </c:pt>
                <c:pt idx="5">
                  <c:v>2021</c:v>
                </c:pt>
                <c:pt idx="6">
                  <c:v>2022</c:v>
                </c:pt>
              </c:strCache>
            </c:strRef>
          </c:cat>
          <c:val>
            <c:numRef>
              <c:f>Лист3!$C$7:$I$7</c:f>
              <c:numCache>
                <c:formatCode>0.00</c:formatCode>
                <c:ptCount val="7"/>
                <c:pt idx="0">
                  <c:v>27.056164145366022</c:v>
                </c:pt>
                <c:pt idx="1">
                  <c:v>26.403307133323448</c:v>
                </c:pt>
                <c:pt idx="2">
                  <c:v>26.760396775774371</c:v>
                </c:pt>
                <c:pt idx="3">
                  <c:v>27.479702939140278</c:v>
                </c:pt>
                <c:pt idx="4">
                  <c:v>25.637900077421058</c:v>
                </c:pt>
                <c:pt idx="5">
                  <c:v>22.564536709854735</c:v>
                </c:pt>
                <c:pt idx="6">
                  <c:v>28.253661959477238</c:v>
                </c:pt>
              </c:numCache>
            </c:numRef>
          </c:val>
        </c:ser>
        <c:dLbls>
          <c:showLegendKey val="0"/>
          <c:showVal val="1"/>
          <c:showCatName val="0"/>
          <c:showSerName val="0"/>
          <c:showPercent val="0"/>
          <c:showBubbleSize val="0"/>
        </c:dLbls>
        <c:gapWidth val="75"/>
        <c:axId val="218599936"/>
        <c:axId val="225864512"/>
      </c:barChart>
      <c:lineChart>
        <c:grouping val="standard"/>
        <c:varyColors val="0"/>
        <c:ser>
          <c:idx val="1"/>
          <c:order val="1"/>
          <c:tx>
            <c:strRef>
              <c:f>Лист3!$A$6</c:f>
              <c:strCache>
                <c:ptCount val="1"/>
                <c:pt idx="0">
                  <c:v>Growth, %</c:v>
                </c:pt>
              </c:strCache>
            </c:strRef>
          </c:tx>
          <c:cat>
            <c:strRef>
              <c:f>Лист3!$C$3:$I$4</c:f>
              <c:strCache>
                <c:ptCount val="7"/>
                <c:pt idx="0">
                  <c:v>2016</c:v>
                </c:pt>
                <c:pt idx="1">
                  <c:v>2017</c:v>
                </c:pt>
                <c:pt idx="2">
                  <c:v>2018</c:v>
                </c:pt>
                <c:pt idx="3">
                  <c:v>2019</c:v>
                </c:pt>
                <c:pt idx="4">
                  <c:v>2020</c:v>
                </c:pt>
                <c:pt idx="5">
                  <c:v>2021</c:v>
                </c:pt>
                <c:pt idx="6">
                  <c:v>2022</c:v>
                </c:pt>
              </c:strCache>
            </c:strRef>
          </c:cat>
          <c:val>
            <c:numRef>
              <c:f>Лист3!$C$6:$I$6</c:f>
              <c:numCache>
                <c:formatCode>0.00</c:formatCode>
                <c:ptCount val="7"/>
                <c:pt idx="0">
                  <c:v>-1.4331487387213002</c:v>
                </c:pt>
                <c:pt idx="1">
                  <c:v>0.89501327205168479</c:v>
                </c:pt>
                <c:pt idx="2">
                  <c:v>-0.48519794645908121</c:v>
                </c:pt>
                <c:pt idx="3">
                  <c:v>-0.98212733507544669</c:v>
                </c:pt>
                <c:pt idx="4">
                  <c:v>2.5397067253786361</c:v>
                </c:pt>
                <c:pt idx="5">
                  <c:v>4.1329701161829888</c:v>
                </c:pt>
                <c:pt idx="6">
                  <c:v>-7.3469247911719151</c:v>
                </c:pt>
              </c:numCache>
            </c:numRef>
          </c:val>
          <c:smooth val="0"/>
        </c:ser>
        <c:ser>
          <c:idx val="3"/>
          <c:order val="3"/>
          <c:tx>
            <c:strRef>
              <c:f>Лист3!$A$8</c:f>
              <c:strCache>
                <c:ptCount val="1"/>
                <c:pt idx="0">
                  <c:v>Growth, %</c:v>
                </c:pt>
              </c:strCache>
            </c:strRef>
          </c:tx>
          <c:cat>
            <c:strRef>
              <c:f>Лист3!$C$3:$I$4</c:f>
              <c:strCache>
                <c:ptCount val="7"/>
                <c:pt idx="0">
                  <c:v>2016</c:v>
                </c:pt>
                <c:pt idx="1">
                  <c:v>2017</c:v>
                </c:pt>
                <c:pt idx="2">
                  <c:v>2018</c:v>
                </c:pt>
                <c:pt idx="3">
                  <c:v>2019</c:v>
                </c:pt>
                <c:pt idx="4">
                  <c:v>2020</c:v>
                </c:pt>
                <c:pt idx="5">
                  <c:v>2021</c:v>
                </c:pt>
                <c:pt idx="6">
                  <c:v>2022</c:v>
                </c:pt>
              </c:strCache>
            </c:strRef>
          </c:cat>
          <c:val>
            <c:numRef>
              <c:f>Лист3!$C$8:$I$8</c:f>
              <c:numCache>
                <c:formatCode>0.00</c:formatCode>
                <c:ptCount val="7"/>
                <c:pt idx="0">
                  <c:v>4.0799010067118218</c:v>
                </c:pt>
                <c:pt idx="1">
                  <c:v>-2.4129695862833245</c:v>
                </c:pt>
                <c:pt idx="2">
                  <c:v>1.3524428612211352</c:v>
                </c:pt>
                <c:pt idx="3">
                  <c:v>2.6879502923405028</c:v>
                </c:pt>
                <c:pt idx="4">
                  <c:v>-6.7024118339207917</c:v>
                </c:pt>
                <c:pt idx="5">
                  <c:v>-11.98757838311802</c:v>
                </c:pt>
                <c:pt idx="6">
                  <c:v>25.212683614008611</c:v>
                </c:pt>
              </c:numCache>
            </c:numRef>
          </c:val>
          <c:smooth val="0"/>
        </c:ser>
        <c:dLbls>
          <c:showLegendKey val="0"/>
          <c:showVal val="0"/>
          <c:showCatName val="0"/>
          <c:showSerName val="0"/>
          <c:showPercent val="0"/>
          <c:showBubbleSize val="0"/>
        </c:dLbls>
        <c:marker val="1"/>
        <c:smooth val="0"/>
        <c:axId val="218599936"/>
        <c:axId val="225864512"/>
      </c:lineChart>
      <c:catAx>
        <c:axId val="218599936"/>
        <c:scaling>
          <c:orientation val="minMax"/>
        </c:scaling>
        <c:delete val="0"/>
        <c:axPos val="b"/>
        <c:majorTickMark val="none"/>
        <c:minorTickMark val="none"/>
        <c:tickLblPos val="nextTo"/>
        <c:crossAx val="225864512"/>
        <c:crosses val="autoZero"/>
        <c:auto val="1"/>
        <c:lblAlgn val="ctr"/>
        <c:lblOffset val="100"/>
        <c:noMultiLvlLbl val="0"/>
      </c:catAx>
      <c:valAx>
        <c:axId val="225864512"/>
        <c:scaling>
          <c:orientation val="minMax"/>
        </c:scaling>
        <c:delete val="0"/>
        <c:axPos val="l"/>
        <c:numFmt formatCode="0.00" sourceLinked="1"/>
        <c:majorTickMark val="none"/>
        <c:minorTickMark val="none"/>
        <c:tickLblPos val="nextTo"/>
        <c:crossAx val="218599936"/>
        <c:crosses val="autoZero"/>
        <c:crossBetween val="between"/>
      </c:valAx>
    </c:plotArea>
    <c:legend>
      <c:legendPos val="b"/>
      <c:layout>
        <c:manualLayout>
          <c:xMode val="edge"/>
          <c:yMode val="edge"/>
          <c:x val="9.2082239720034983E-3"/>
          <c:y val="0.86265820939049287"/>
          <c:w val="0.97325021872265971"/>
          <c:h val="0.10956401283172937"/>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'[Новий Лист Microsoft Excel.xlsx]Лист1'!$B$1</c:f>
              <c:strCache>
                <c:ptCount val="1"/>
                <c:pt idx="0">
                  <c:v>2021</c:v>
                </c:pt>
              </c:strCache>
            </c:strRef>
          </c:tx>
          <c:invertIfNegative val="0"/>
          <c:cat>
            <c:strRef>
              <c:f>'[Новий Лист Microsoft Excel.xlsx]Лист1'!$A$2:$A$13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'[Новий Лист Microsoft Excel.xlsx]Лист1'!$B$2:$B$13</c:f>
              <c:numCache>
                <c:formatCode>General</c:formatCode>
                <c:ptCount val="12"/>
                <c:pt idx="0">
                  <c:v>0.4</c:v>
                </c:pt>
                <c:pt idx="1">
                  <c:v>0.9</c:v>
                </c:pt>
                <c:pt idx="2">
                  <c:v>1.4</c:v>
                </c:pt>
                <c:pt idx="3">
                  <c:v>2</c:v>
                </c:pt>
                <c:pt idx="4">
                  <c:v>2.5</c:v>
                </c:pt>
                <c:pt idx="5">
                  <c:v>3</c:v>
                </c:pt>
                <c:pt idx="6">
                  <c:v>3.6</c:v>
                </c:pt>
                <c:pt idx="7">
                  <c:v>4.2</c:v>
                </c:pt>
                <c:pt idx="8">
                  <c:v>4.8</c:v>
                </c:pt>
                <c:pt idx="9">
                  <c:v>5.5</c:v>
                </c:pt>
                <c:pt idx="10">
                  <c:v>6.2</c:v>
                </c:pt>
                <c:pt idx="11">
                  <c:v>6.9</c:v>
                </c:pt>
              </c:numCache>
            </c:numRef>
          </c:val>
          <c:extLst xmlns:c16r2="http://schemas.microsoft.com/office/drawing/2015/06/chart">
            <c:ext xmlns:c16="http://schemas.microsoft.com/office/drawing/2014/chart" uri="{C3380CC4-5D6E-409C-BE32-E72D297353CC}">
              <c16:uniqueId val="{00000000-402B-4DBB-B5E1-E49845999122}"/>
            </c:ext>
          </c:extLst>
        </c:ser>
        <c:dLbls>
          <c:showLegendKey val="0"/>
          <c:showVal val="0"/>
          <c:showCatName val="0"/>
          <c:showSerName val="0"/>
          <c:showPercent val="0"/>
          <c:showBubbleSize val="0"/>
        </c:dLbls>
        <c:gapWidth val="150"/>
        <c:axId val="135129600"/>
        <c:axId val="225866240"/>
      </c:barChart>
      <c:lineChart>
        <c:grouping val="standard"/>
        <c:varyColors val="0"/>
        <c:ser>
          <c:idx val="1"/>
          <c:order val="1"/>
          <c:tx>
            <c:strRef>
              <c:f>'[Новий Лист Microsoft Excel.xlsx]Лист1'!$C$1</c:f>
              <c:strCache>
                <c:ptCount val="1"/>
                <c:pt idx="0">
                  <c:v>2022</c:v>
                </c:pt>
              </c:strCache>
            </c:strRef>
          </c:tx>
          <c:cat>
            <c:strRef>
              <c:f>'[Новий Лист Microsoft Excel.xlsx]Лист1'!$A$2:$A$13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'[Новий Лист Microsoft Excel.xlsx]Лист1'!$C$2:$C$13</c:f>
              <c:numCache>
                <c:formatCode>General</c:formatCode>
                <c:ptCount val="12"/>
                <c:pt idx="0">
                  <c:v>0.6</c:v>
                </c:pt>
                <c:pt idx="1">
                  <c:v>1.5</c:v>
                </c:pt>
                <c:pt idx="2">
                  <c:v>2</c:v>
                </c:pt>
                <c:pt idx="3">
                  <c:v>2.6</c:v>
                </c:pt>
                <c:pt idx="4">
                  <c:v>3.2</c:v>
                </c:pt>
                <c:pt idx="5">
                  <c:v>3.7</c:v>
                </c:pt>
                <c:pt idx="6">
                  <c:v>4.3</c:v>
                </c:pt>
                <c:pt idx="7">
                  <c:v>4.9000000000000004</c:v>
                </c:pt>
                <c:pt idx="8">
                  <c:v>5.5</c:v>
                </c:pt>
                <c:pt idx="9">
                  <c:v>6</c:v>
                </c:pt>
                <c:pt idx="10">
                  <c:v>6.6</c:v>
                </c:pt>
                <c:pt idx="11">
                  <c:v>7.3</c:v>
                </c:pt>
              </c:numCache>
            </c:numRef>
          </c:val>
          <c:smooth val="0"/>
          <c:extLst xmlns:c16r2="http://schemas.microsoft.com/office/drawing/2015/06/chart">
            <c:ext xmlns:c16="http://schemas.microsoft.com/office/drawing/2014/chart" uri="{C3380CC4-5D6E-409C-BE32-E72D297353CC}">
              <c16:uniqueId val="{00000001-402B-4DBB-B5E1-E49845999122}"/>
            </c:ext>
          </c:extLst>
        </c:ser>
        <c:dLbls>
          <c:showLegendKey val="0"/>
          <c:showVal val="0"/>
          <c:showCatName val="0"/>
          <c:showSerName val="0"/>
          <c:showPercent val="0"/>
          <c:showBubbleSize val="0"/>
        </c:dLbls>
        <c:marker val="1"/>
        <c:smooth val="0"/>
        <c:axId val="135129600"/>
        <c:axId val="225866240"/>
      </c:lineChart>
      <c:catAx>
        <c:axId val="135129600"/>
        <c:scaling>
          <c:orientation val="minMax"/>
        </c:scaling>
        <c:delete val="0"/>
        <c:axPos val="b"/>
        <c:numFmt formatCode="General" sourceLinked="0"/>
        <c:majorTickMark val="none"/>
        <c:minorTickMark val="none"/>
        <c:tickLblPos val="nextTo"/>
        <c:crossAx val="225866240"/>
        <c:crosses val="autoZero"/>
        <c:auto val="1"/>
        <c:lblAlgn val="ctr"/>
        <c:lblOffset val="100"/>
        <c:noMultiLvlLbl val="0"/>
      </c:catAx>
      <c:valAx>
        <c:axId val="225866240"/>
        <c:scaling>
          <c:orientation val="minMax"/>
        </c:scaling>
        <c:delete val="0"/>
        <c:axPos val="l"/>
        <c:majorGridlines/>
        <c:title>
          <c:tx>
            <c:rich>
              <a:bodyPr/>
              <a:lstStyle/>
              <a:p>
                <a:pPr>
                  <a:defRPr/>
                </a:pPr>
                <a:r>
                  <a:rPr lang="en-US"/>
                  <a:t>billiond USD</a:t>
                </a:r>
                <a:endParaRPr lang="ru-RU"/>
              </a:p>
            </c:rich>
          </c:tx>
          <c:overlay val="0"/>
        </c:title>
        <c:numFmt formatCode="General" sourceLinked="1"/>
        <c:majorTickMark val="none"/>
        <c:minorTickMark val="none"/>
        <c:tickLblPos val="nextTo"/>
        <c:crossAx val="135129600"/>
        <c:crosses val="autoZero"/>
        <c:crossBetween val="between"/>
      </c:valAx>
      <c:dTable>
        <c:showHorzBorder val="1"/>
        <c:showVertBorder val="1"/>
        <c:showOutline val="1"/>
        <c:showKeys val="1"/>
      </c:dTable>
    </c:plotArea>
    <c:plotVisOnly val="1"/>
    <c:dispBlanksAs val="gap"/>
    <c:showDLblsOverMax val="0"/>
  </c:chart>
  <c:txPr>
    <a:bodyPr/>
    <a:lstStyle/>
    <a:p>
      <a:pPr>
        <a:defRPr sz="800">
          <a:latin typeface="Times New Roman" pitchFamily="18" charset="0"/>
          <a:cs typeface="Times New Roman"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Лист1!$A$12</c:f>
              <c:strCache>
                <c:ptCount val="1"/>
                <c:pt idx="0">
                  <c:v>Intermediate goods</c:v>
                </c:pt>
              </c:strCache>
            </c:strRef>
          </c:tx>
          <c:invertIfNegative val="0"/>
          <c:cat>
            <c:strRef>
              <c:f>Лист1!$B$1:$M$2</c:f>
              <c:strCach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strCache>
            </c:strRef>
          </c:cat>
          <c:val>
            <c:numRef>
              <c:f>Лист1!$B$12:$M$12</c:f>
              <c:numCache>
                <c:formatCode>#,##0</c:formatCode>
                <c:ptCount val="12"/>
                <c:pt idx="0">
                  <c:v>9119</c:v>
                </c:pt>
                <c:pt idx="1">
                  <c:v>13947</c:v>
                </c:pt>
                <c:pt idx="2">
                  <c:v>13045</c:v>
                </c:pt>
                <c:pt idx="3">
                  <c:v>11242</c:v>
                </c:pt>
                <c:pt idx="4">
                  <c:v>9878</c:v>
                </c:pt>
                <c:pt idx="5">
                  <c:v>9942</c:v>
                </c:pt>
                <c:pt idx="6">
                  <c:v>14263</c:v>
                </c:pt>
                <c:pt idx="7">
                  <c:v>14904</c:v>
                </c:pt>
                <c:pt idx="8">
                  <c:v>18365</c:v>
                </c:pt>
                <c:pt idx="9">
                  <c:v>18330</c:v>
                </c:pt>
                <c:pt idx="10">
                  <c:v>23147</c:v>
                </c:pt>
                <c:pt idx="11">
                  <c:v>19447</c:v>
                </c:pt>
              </c:numCache>
            </c:numRef>
          </c:val>
        </c:ser>
        <c:dLbls>
          <c:showLegendKey val="0"/>
          <c:showVal val="1"/>
          <c:showCatName val="0"/>
          <c:showSerName val="0"/>
          <c:showPercent val="0"/>
          <c:showBubbleSize val="0"/>
        </c:dLbls>
        <c:gapWidth val="150"/>
        <c:overlap val="-25"/>
        <c:axId val="249873408"/>
        <c:axId val="225867968"/>
      </c:barChart>
      <c:lineChart>
        <c:grouping val="standard"/>
        <c:varyColors val="0"/>
        <c:ser>
          <c:idx val="1"/>
          <c:order val="1"/>
          <c:tx>
            <c:strRef>
              <c:f>Лист1!$A$13</c:f>
              <c:strCache>
                <c:ptCount val="1"/>
                <c:pt idx="0">
                  <c:v>Consumer goods</c:v>
                </c:pt>
              </c:strCache>
            </c:strRef>
          </c:tx>
          <c:cat>
            <c:strRef>
              <c:f>Лист1!$B$1:$M$2</c:f>
              <c:strCach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strCache>
            </c:strRef>
          </c:cat>
          <c:val>
            <c:numRef>
              <c:f>Лист1!$B$13:$M$13</c:f>
              <c:numCache>
                <c:formatCode>#,##0</c:formatCode>
                <c:ptCount val="12"/>
                <c:pt idx="0">
                  <c:v>3678</c:v>
                </c:pt>
                <c:pt idx="1">
                  <c:v>3954</c:v>
                </c:pt>
                <c:pt idx="2">
                  <c:v>3986</c:v>
                </c:pt>
                <c:pt idx="3">
                  <c:v>5365</c:v>
                </c:pt>
                <c:pt idx="4">
                  <c:v>4535</c:v>
                </c:pt>
                <c:pt idx="5">
                  <c:v>5237</c:v>
                </c:pt>
                <c:pt idx="6">
                  <c:v>3471</c:v>
                </c:pt>
                <c:pt idx="7">
                  <c:v>3683</c:v>
                </c:pt>
                <c:pt idx="8">
                  <c:v>3748</c:v>
                </c:pt>
                <c:pt idx="9">
                  <c:v>3805</c:v>
                </c:pt>
                <c:pt idx="10">
                  <c:v>4513</c:v>
                </c:pt>
                <c:pt idx="11">
                  <c:v>3916</c:v>
                </c:pt>
              </c:numCache>
            </c:numRef>
          </c:val>
          <c:smooth val="0"/>
        </c:ser>
        <c:dLbls>
          <c:showLegendKey val="0"/>
          <c:showVal val="1"/>
          <c:showCatName val="0"/>
          <c:showSerName val="0"/>
          <c:showPercent val="0"/>
          <c:showBubbleSize val="0"/>
        </c:dLbls>
        <c:marker val="1"/>
        <c:smooth val="0"/>
        <c:axId val="249873408"/>
        <c:axId val="225867968"/>
      </c:lineChart>
      <c:catAx>
        <c:axId val="249873408"/>
        <c:scaling>
          <c:orientation val="minMax"/>
        </c:scaling>
        <c:delete val="0"/>
        <c:axPos val="b"/>
        <c:majorTickMark val="none"/>
        <c:minorTickMark val="none"/>
        <c:tickLblPos val="nextTo"/>
        <c:crossAx val="225867968"/>
        <c:crosses val="autoZero"/>
        <c:auto val="1"/>
        <c:lblAlgn val="ctr"/>
        <c:lblOffset val="100"/>
        <c:noMultiLvlLbl val="0"/>
      </c:catAx>
      <c:valAx>
        <c:axId val="225867968"/>
        <c:scaling>
          <c:orientation val="minMax"/>
        </c:scaling>
        <c:delete val="1"/>
        <c:axPos val="l"/>
        <c:numFmt formatCode="#,##0" sourceLinked="1"/>
        <c:majorTickMark val="out"/>
        <c:minorTickMark val="none"/>
        <c:tickLblPos val="nextTo"/>
        <c:crossAx val="249873408"/>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F9F6E4-E842-438A-9200-CC891695C93D}" type="doc">
      <dgm:prSet loTypeId="urn:microsoft.com/office/officeart/2005/8/layout/vList5" loCatId="list" qsTypeId="urn:microsoft.com/office/officeart/2005/8/quickstyle/simple1" qsCatId="simple" csTypeId="urn:microsoft.com/office/officeart/2005/8/colors/accent1_1" csCatId="accent1" phldr="1"/>
      <dgm:spPr/>
      <dgm:t>
        <a:bodyPr/>
        <a:lstStyle/>
        <a:p>
          <a:endParaRPr lang="ru-RU"/>
        </a:p>
      </dgm:t>
    </dgm:pt>
    <dgm:pt modelId="{A62F0F4E-1434-4BF8-8F60-2B2A835327C3}">
      <dgm:prSet phldrT="[Текст]" custT="1"/>
      <dgm:spPr>
        <a:xfrm>
          <a:off x="230" y="1601"/>
          <a:ext cx="1182362" cy="770408"/>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pl-PL" sz="1200" b="0" i="0">
              <a:solidFill>
                <a:sysClr val="windowText" lastClr="000000">
                  <a:hueOff val="0"/>
                  <a:satOff val="0"/>
                  <a:lumOff val="0"/>
                  <a:alphaOff val="0"/>
                </a:sysClr>
              </a:solidFill>
              <a:latin typeface="Times New Roman" pitchFamily="18" charset="0"/>
              <a:ea typeface="+mn-ea"/>
              <a:cs typeface="Times New Roman" pitchFamily="18" charset="0"/>
            </a:rPr>
            <a:t>International treaties within the UN</a:t>
          </a:r>
          <a:endParaRPr lang="ru-RU" sz="12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7EF0296-2F31-4886-920B-F424E075C522}" type="parTrans" cxnId="{66639B03-D05C-4895-8E0A-CB5F310D6D1D}">
      <dgm:prSet/>
      <dgm:spPr/>
      <dgm:t>
        <a:bodyPr/>
        <a:lstStyle/>
        <a:p>
          <a:endParaRPr lang="ru-RU" sz="1200" b="0" i="0">
            <a:latin typeface="Times New Roman" pitchFamily="18" charset="0"/>
            <a:cs typeface="Times New Roman" pitchFamily="18" charset="0"/>
          </a:endParaRPr>
        </a:p>
      </dgm:t>
    </dgm:pt>
    <dgm:pt modelId="{1EEFD312-BC45-4D57-9A7A-D19444119CD5}" type="sibTrans" cxnId="{66639B03-D05C-4895-8E0A-CB5F310D6D1D}">
      <dgm:prSet/>
      <dgm:spPr/>
      <dgm:t>
        <a:bodyPr/>
        <a:lstStyle/>
        <a:p>
          <a:endParaRPr lang="ru-RU" sz="1200" b="0" i="0">
            <a:latin typeface="Times New Roman" pitchFamily="18" charset="0"/>
            <a:cs typeface="Times New Roman" pitchFamily="18" charset="0"/>
          </a:endParaRPr>
        </a:p>
      </dgm:t>
    </dgm:pt>
    <dgm:pt modelId="{9E647B8F-36B9-4D79-9E05-73A451803F72}">
      <dgm:prSet phldrT="[Текст]" custT="1"/>
      <dgm:spPr>
        <a:xfrm rot="5400000">
          <a:off x="3026149" y="-1764914"/>
          <a:ext cx="616327" cy="4303440"/>
        </a:xfrm>
        <a:solidFill>
          <a:sysClr val="window" lastClr="FFFFFF">
            <a:alpha val="90000"/>
            <a:tint val="40000"/>
            <a:hueOff val="0"/>
            <a:satOff val="0"/>
            <a:lumOff val="0"/>
            <a:alphaOff val="0"/>
          </a:sysClr>
        </a:solidFill>
        <a:ln w="25400" cap="flat" cmpd="sng" algn="ctr">
          <a:solidFill>
            <a:srgbClr val="4F81BD">
              <a:alpha val="90000"/>
              <a:hueOff val="0"/>
              <a:satOff val="0"/>
              <a:lumOff val="0"/>
              <a:alphaOff val="0"/>
            </a:srgbClr>
          </a:solidFill>
          <a:prstDash val="solid"/>
        </a:ln>
        <a:effectLst/>
      </dgm:spPr>
      <dgm:t>
        <a:bodyPr/>
        <a:lstStyle/>
        <a:p>
          <a:r>
            <a:rPr lang="pl-PL" sz="1200" b="0" i="0">
              <a:solidFill>
                <a:sysClr val="windowText" lastClr="000000">
                  <a:hueOff val="0"/>
                  <a:satOff val="0"/>
                  <a:lumOff val="0"/>
                  <a:alphaOff val="0"/>
                </a:sysClr>
              </a:solidFill>
              <a:latin typeface="Times New Roman" pitchFamily="18" charset="0"/>
              <a:ea typeface="+mn-ea"/>
              <a:cs typeface="Times New Roman" pitchFamily="18" charset="0"/>
            </a:rPr>
            <a:t>international treaties containing uniform rules of law between the governments of two, several or many countries, providing for the observance of generally agreed rules in a certain area</a:t>
          </a:r>
          <a:endParaRPr lang="ru-RU" sz="12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640115E-A4B9-44EA-928F-8E43EAA70907}" type="parTrans" cxnId="{0BAFDF00-82EC-4BD4-8CBD-4B731BBD1B71}">
      <dgm:prSet/>
      <dgm:spPr/>
      <dgm:t>
        <a:bodyPr/>
        <a:lstStyle/>
        <a:p>
          <a:endParaRPr lang="ru-RU" sz="1200" b="0" i="0">
            <a:latin typeface="Times New Roman" pitchFamily="18" charset="0"/>
            <a:cs typeface="Times New Roman" pitchFamily="18" charset="0"/>
          </a:endParaRPr>
        </a:p>
      </dgm:t>
    </dgm:pt>
    <dgm:pt modelId="{518C3180-D724-406F-B848-1D0EB43716B2}" type="sibTrans" cxnId="{0BAFDF00-82EC-4BD4-8CBD-4B731BBD1B71}">
      <dgm:prSet/>
      <dgm:spPr/>
      <dgm:t>
        <a:bodyPr/>
        <a:lstStyle/>
        <a:p>
          <a:endParaRPr lang="ru-RU" sz="1200" b="0" i="0">
            <a:latin typeface="Times New Roman" pitchFamily="18" charset="0"/>
            <a:cs typeface="Times New Roman" pitchFamily="18" charset="0"/>
          </a:endParaRPr>
        </a:p>
      </dgm:t>
    </dgm:pt>
    <dgm:pt modelId="{3A583EE7-E547-4A39-AC1C-72D52900B2FD}">
      <dgm:prSet phldrT="[Текст]" custT="1"/>
      <dgm:spPr>
        <a:xfrm>
          <a:off x="230" y="810530"/>
          <a:ext cx="1188148" cy="770408"/>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pl-PL" sz="1200" b="0" i="0">
              <a:solidFill>
                <a:sysClr val="windowText" lastClr="000000">
                  <a:hueOff val="0"/>
                  <a:satOff val="0"/>
                  <a:lumOff val="0"/>
                  <a:alphaOff val="0"/>
                </a:sysClr>
              </a:solidFill>
              <a:latin typeface="Times New Roman" pitchFamily="18" charset="0"/>
              <a:ea typeface="+mn-ea"/>
              <a:cs typeface="Times New Roman" pitchFamily="18" charset="0"/>
            </a:rPr>
            <a:t>International treaties within the framework of GATT/WTO</a:t>
          </a:r>
          <a:endParaRPr lang="ru-RU" sz="12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52AC3C8-7D1E-44B8-AEFD-C605120438FB}" type="parTrans" cxnId="{8DD894E1-75F7-4114-AF2A-14F37FD2DEBF}">
      <dgm:prSet/>
      <dgm:spPr/>
      <dgm:t>
        <a:bodyPr/>
        <a:lstStyle/>
        <a:p>
          <a:endParaRPr lang="ru-RU" sz="1200" b="0" i="0">
            <a:latin typeface="Times New Roman" pitchFamily="18" charset="0"/>
            <a:cs typeface="Times New Roman" pitchFamily="18" charset="0"/>
          </a:endParaRPr>
        </a:p>
      </dgm:t>
    </dgm:pt>
    <dgm:pt modelId="{0633A3F3-AAFF-43F6-B563-31593F0DE49B}" type="sibTrans" cxnId="{8DD894E1-75F7-4114-AF2A-14F37FD2DEBF}">
      <dgm:prSet/>
      <dgm:spPr/>
      <dgm:t>
        <a:bodyPr/>
        <a:lstStyle/>
        <a:p>
          <a:endParaRPr lang="ru-RU" sz="1200" b="0" i="0">
            <a:latin typeface="Times New Roman" pitchFamily="18" charset="0"/>
            <a:cs typeface="Times New Roman" pitchFamily="18" charset="0"/>
          </a:endParaRPr>
        </a:p>
      </dgm:t>
    </dgm:pt>
    <dgm:pt modelId="{3B8C9D75-B6D9-49D0-AF52-1E76EAE01FA4}">
      <dgm:prSet phldrT="[Текст]" custT="1"/>
      <dgm:spPr>
        <a:xfrm rot="5400000">
          <a:off x="3028862" y="-952912"/>
          <a:ext cx="616327" cy="4297295"/>
        </a:xfrm>
        <a:solidFill>
          <a:sysClr val="window" lastClr="FFFFFF">
            <a:alpha val="90000"/>
            <a:tint val="40000"/>
            <a:hueOff val="0"/>
            <a:satOff val="0"/>
            <a:lumOff val="0"/>
            <a:alphaOff val="0"/>
          </a:sysClr>
        </a:solidFill>
        <a:ln w="25400" cap="flat" cmpd="sng" algn="ctr">
          <a:solidFill>
            <a:srgbClr val="4F81BD">
              <a:alpha val="90000"/>
              <a:hueOff val="0"/>
              <a:satOff val="0"/>
              <a:lumOff val="0"/>
              <a:alphaOff val="0"/>
            </a:srgbClr>
          </a:solidFill>
          <a:prstDash val="solid"/>
        </a:ln>
        <a:effectLst/>
      </dgm:spPr>
      <dgm:t>
        <a:bodyPr/>
        <a:lstStyle/>
        <a:p>
          <a:r>
            <a:rPr lang="pl-PL" sz="1200" b="0" i="0">
              <a:solidFill>
                <a:sysClr val="windowText" lastClr="000000">
                  <a:hueOff val="0"/>
                  <a:satOff val="0"/>
                  <a:lumOff val="0"/>
                  <a:alphaOff val="0"/>
                </a:sysClr>
              </a:solidFill>
              <a:latin typeface="Times New Roman" pitchFamily="18" charset="0"/>
              <a:ea typeface="+mn-ea"/>
              <a:cs typeface="Times New Roman" pitchFamily="18" charset="0"/>
            </a:rPr>
            <a:t>international treaties containing unified rules for trade and economic cooperation between the governments of two, several or many countries, providing for compliance with generally agreed rules in this area.</a:t>
          </a:r>
          <a:endParaRPr lang="ru-RU" sz="12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C762EA8-29CA-43A8-B2AC-F0A14AA9DEBD}" type="parTrans" cxnId="{5D530665-DF28-40D7-8544-5A63C33729A6}">
      <dgm:prSet/>
      <dgm:spPr/>
      <dgm:t>
        <a:bodyPr/>
        <a:lstStyle/>
        <a:p>
          <a:endParaRPr lang="ru-RU" sz="1200" b="0" i="0">
            <a:latin typeface="Times New Roman" pitchFamily="18" charset="0"/>
            <a:cs typeface="Times New Roman" pitchFamily="18" charset="0"/>
          </a:endParaRPr>
        </a:p>
      </dgm:t>
    </dgm:pt>
    <dgm:pt modelId="{DE77105A-C86E-46EF-BE0D-F47FD1104470}" type="sibTrans" cxnId="{5D530665-DF28-40D7-8544-5A63C33729A6}">
      <dgm:prSet/>
      <dgm:spPr/>
      <dgm:t>
        <a:bodyPr/>
        <a:lstStyle/>
        <a:p>
          <a:endParaRPr lang="ru-RU" sz="1200" b="0" i="0">
            <a:latin typeface="Times New Roman" pitchFamily="18" charset="0"/>
            <a:cs typeface="Times New Roman" pitchFamily="18" charset="0"/>
          </a:endParaRPr>
        </a:p>
      </dgm:t>
    </dgm:pt>
    <dgm:pt modelId="{0EB72204-D504-4D8C-8001-EC76CDA989AE}">
      <dgm:prSet phldrT="[Текст]" custT="1"/>
      <dgm:spPr>
        <a:xfrm>
          <a:off x="230" y="1619460"/>
          <a:ext cx="1209365" cy="770408"/>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pl-PL" sz="1200" b="0" i="0">
              <a:solidFill>
                <a:sysClr val="windowText" lastClr="000000">
                  <a:hueOff val="0"/>
                  <a:satOff val="0"/>
                  <a:lumOff val="0"/>
                  <a:alphaOff val="0"/>
                </a:sysClr>
              </a:solidFill>
              <a:latin typeface="Times New Roman" pitchFamily="18" charset="0"/>
              <a:ea typeface="+mn-ea"/>
              <a:cs typeface="Times New Roman" pitchFamily="18" charset="0"/>
            </a:rPr>
            <a:t>International agreements within the W</a:t>
          </a:r>
          <a:r>
            <a:rPr lang="en-US" sz="1200" b="0" i="0">
              <a:solidFill>
                <a:sysClr val="windowText" lastClr="000000">
                  <a:hueOff val="0"/>
                  <a:satOff val="0"/>
                  <a:lumOff val="0"/>
                  <a:alphaOff val="0"/>
                </a:sysClr>
              </a:solidFill>
              <a:latin typeface="Times New Roman" pitchFamily="18" charset="0"/>
              <a:ea typeface="+mn-ea"/>
              <a:cs typeface="Times New Roman" pitchFamily="18" charset="0"/>
            </a:rPr>
            <a:t>C</a:t>
          </a:r>
          <a:r>
            <a:rPr lang="pl-PL" sz="1200" b="0" i="0">
              <a:solidFill>
                <a:sysClr val="windowText" lastClr="000000">
                  <a:hueOff val="0"/>
                  <a:satOff val="0"/>
                  <a:lumOff val="0"/>
                  <a:alphaOff val="0"/>
                </a:sysClr>
              </a:solidFill>
              <a:latin typeface="Times New Roman" pitchFamily="18" charset="0"/>
              <a:ea typeface="+mn-ea"/>
              <a:cs typeface="Times New Roman" pitchFamily="18" charset="0"/>
            </a:rPr>
            <a:t>O</a:t>
          </a:r>
          <a:endParaRPr lang="ru-RU" sz="12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1484EA7-59FD-464F-B65B-D350485C8359}" type="parTrans" cxnId="{4BC200E8-9EBC-4829-BBC7-224304D43A43}">
      <dgm:prSet/>
      <dgm:spPr/>
      <dgm:t>
        <a:bodyPr/>
        <a:lstStyle/>
        <a:p>
          <a:endParaRPr lang="ru-RU" sz="1200" b="0" i="0">
            <a:latin typeface="Times New Roman" pitchFamily="18" charset="0"/>
            <a:cs typeface="Times New Roman" pitchFamily="18" charset="0"/>
          </a:endParaRPr>
        </a:p>
      </dgm:t>
    </dgm:pt>
    <dgm:pt modelId="{E43FF382-7B2B-44AA-8116-00893B00B4B4}" type="sibTrans" cxnId="{4BC200E8-9EBC-4829-BBC7-224304D43A43}">
      <dgm:prSet/>
      <dgm:spPr/>
      <dgm:t>
        <a:bodyPr/>
        <a:lstStyle/>
        <a:p>
          <a:endParaRPr lang="ru-RU" sz="1200" b="0" i="0">
            <a:latin typeface="Times New Roman" pitchFamily="18" charset="0"/>
            <a:cs typeface="Times New Roman" pitchFamily="18" charset="0"/>
          </a:endParaRPr>
        </a:p>
      </dgm:t>
    </dgm:pt>
    <dgm:pt modelId="{2ECF69F4-9C10-4DF8-94FD-3997D6AD1968}">
      <dgm:prSet phldrT="[Текст]" custT="1"/>
      <dgm:spPr>
        <a:xfrm rot="5400000">
          <a:off x="3039719" y="-133622"/>
          <a:ext cx="616327" cy="4276574"/>
        </a:xfrm>
        <a:solidFill>
          <a:sysClr val="window" lastClr="FFFFFF">
            <a:alpha val="90000"/>
            <a:tint val="40000"/>
            <a:hueOff val="0"/>
            <a:satOff val="0"/>
            <a:lumOff val="0"/>
            <a:alphaOff val="0"/>
          </a:sysClr>
        </a:solidFill>
        <a:ln w="25400" cap="flat" cmpd="sng" algn="ctr">
          <a:solidFill>
            <a:srgbClr val="4F81BD">
              <a:alpha val="90000"/>
              <a:hueOff val="0"/>
              <a:satOff val="0"/>
              <a:lumOff val="0"/>
              <a:alphaOff val="0"/>
            </a:srgbClr>
          </a:solidFill>
          <a:prstDash val="solid"/>
        </a:ln>
        <a:effectLst/>
      </dgm:spPr>
      <dgm:t>
        <a:bodyPr/>
        <a:lstStyle/>
        <a:p>
          <a:r>
            <a:rPr lang="pl-PL" sz="1200" b="0" i="0">
              <a:solidFill>
                <a:sysClr val="windowText" lastClr="000000">
                  <a:hueOff val="0"/>
                  <a:satOff val="0"/>
                  <a:lumOff val="0"/>
                  <a:alphaOff val="0"/>
                </a:sysClr>
              </a:solidFill>
              <a:latin typeface="Times New Roman" pitchFamily="18" charset="0"/>
              <a:ea typeface="+mn-ea"/>
              <a:cs typeface="Times New Roman" pitchFamily="18" charset="0"/>
            </a:rPr>
            <a:t>conventions aimed at establishing the basic principles of the customs regime for countries that have joined these conventions, as well as general rules for the implementation of customs control and collection of customs tariffs, cooperation between countries of the world community in this area.</a:t>
          </a:r>
          <a:endParaRPr lang="ru-RU" sz="12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6C8964F-0E0E-47D4-9545-D714A13FF652}" type="parTrans" cxnId="{8640B008-8647-414D-96E0-8073B37DC332}">
      <dgm:prSet/>
      <dgm:spPr/>
      <dgm:t>
        <a:bodyPr/>
        <a:lstStyle/>
        <a:p>
          <a:endParaRPr lang="ru-RU" sz="1200" b="0" i="0">
            <a:latin typeface="Times New Roman" pitchFamily="18" charset="0"/>
            <a:cs typeface="Times New Roman" pitchFamily="18" charset="0"/>
          </a:endParaRPr>
        </a:p>
      </dgm:t>
    </dgm:pt>
    <dgm:pt modelId="{6E5A78CA-093E-40C6-8D62-78512E496C86}" type="sibTrans" cxnId="{8640B008-8647-414D-96E0-8073B37DC332}">
      <dgm:prSet/>
      <dgm:spPr/>
      <dgm:t>
        <a:bodyPr/>
        <a:lstStyle/>
        <a:p>
          <a:endParaRPr lang="ru-RU" sz="1200" b="0" i="0">
            <a:latin typeface="Times New Roman" pitchFamily="18" charset="0"/>
            <a:cs typeface="Times New Roman" pitchFamily="18" charset="0"/>
          </a:endParaRPr>
        </a:p>
      </dgm:t>
    </dgm:pt>
    <dgm:pt modelId="{ACA34E66-C2B9-4E3C-821D-FFB8C6EFB313}">
      <dgm:prSet phldrT="[Текст]" custT="1"/>
      <dgm:spPr>
        <a:xfrm>
          <a:off x="230" y="2428389"/>
          <a:ext cx="1232511" cy="770408"/>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pl-PL" sz="1200" b="0" i="0">
              <a:solidFill>
                <a:sysClr val="windowText" lastClr="000000">
                  <a:hueOff val="0"/>
                  <a:satOff val="0"/>
                  <a:lumOff val="0"/>
                  <a:alphaOff val="0"/>
                </a:sysClr>
              </a:solidFill>
              <a:latin typeface="Times New Roman" pitchFamily="18" charset="0"/>
              <a:ea typeface="+mn-ea"/>
              <a:cs typeface="Times New Roman" pitchFamily="18" charset="0"/>
            </a:rPr>
            <a:t>International multilateral treaties within economic unions</a:t>
          </a:r>
          <a:endParaRPr lang="ru-RU" sz="12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80363C1-0F1E-4F8F-A96B-0DAEE41ED275}" type="parTrans" cxnId="{75BF69C5-B0D2-4C40-A5FA-09764558488A}">
      <dgm:prSet/>
      <dgm:spPr/>
      <dgm:t>
        <a:bodyPr/>
        <a:lstStyle/>
        <a:p>
          <a:endParaRPr lang="ru-RU" sz="1200" b="0" i="0">
            <a:latin typeface="Times New Roman" pitchFamily="18" charset="0"/>
            <a:cs typeface="Times New Roman" pitchFamily="18" charset="0"/>
          </a:endParaRPr>
        </a:p>
      </dgm:t>
    </dgm:pt>
    <dgm:pt modelId="{9385D2EC-9F25-4E23-BB07-240F4E8563B7}" type="sibTrans" cxnId="{75BF69C5-B0D2-4C40-A5FA-09764558488A}">
      <dgm:prSet/>
      <dgm:spPr/>
      <dgm:t>
        <a:bodyPr/>
        <a:lstStyle/>
        <a:p>
          <a:endParaRPr lang="ru-RU" sz="1200" b="0" i="0">
            <a:latin typeface="Times New Roman" pitchFamily="18" charset="0"/>
            <a:cs typeface="Times New Roman" pitchFamily="18" charset="0"/>
          </a:endParaRPr>
        </a:p>
      </dgm:t>
    </dgm:pt>
    <dgm:pt modelId="{8F50AA1E-9170-43AE-B25A-A38409CFD227}">
      <dgm:prSet custT="1"/>
      <dgm:spPr>
        <a:xfrm rot="5400000">
          <a:off x="3050752" y="687418"/>
          <a:ext cx="616327" cy="4252349"/>
        </a:xfrm>
        <a:solidFill>
          <a:sysClr val="window" lastClr="FFFFFF">
            <a:alpha val="90000"/>
            <a:tint val="40000"/>
            <a:hueOff val="0"/>
            <a:satOff val="0"/>
            <a:lumOff val="0"/>
            <a:alphaOff val="0"/>
          </a:sysClr>
        </a:solidFill>
        <a:ln w="25400" cap="flat" cmpd="sng" algn="ctr">
          <a:solidFill>
            <a:srgbClr val="4F81BD">
              <a:alpha val="90000"/>
              <a:hueOff val="0"/>
              <a:satOff val="0"/>
              <a:lumOff val="0"/>
              <a:alphaOff val="0"/>
            </a:srgbClr>
          </a:solidFill>
          <a:prstDash val="solid"/>
        </a:ln>
        <a:effectLst/>
      </dgm:spPr>
      <dgm:t>
        <a:bodyPr/>
        <a:lstStyle/>
        <a:p>
          <a:r>
            <a:rPr lang="pl-PL" sz="1200" b="0" i="0">
              <a:solidFill>
                <a:sysClr val="windowText" lastClr="000000">
                  <a:hueOff val="0"/>
                  <a:satOff val="0"/>
                  <a:lumOff val="0"/>
                  <a:alphaOff val="0"/>
                </a:sysClr>
              </a:solidFill>
              <a:latin typeface="Times New Roman" pitchFamily="18" charset="0"/>
              <a:ea typeface="+mn-ea"/>
              <a:cs typeface="Times New Roman" pitchFamily="18" charset="0"/>
            </a:rPr>
            <a:t>international treaties containing unified norms of foreign economic activity between the governments of several member countries of the relevant economic bloc, providing for compliance with generally agreed rules in this area.</a:t>
          </a:r>
          <a:endParaRPr lang="ru-RU" sz="12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19FCCC3-B846-4CE5-A822-0D10886DA433}" type="parTrans" cxnId="{99F1A055-4638-4FBC-BDBA-2E5D9A5F82BF}">
      <dgm:prSet/>
      <dgm:spPr/>
      <dgm:t>
        <a:bodyPr/>
        <a:lstStyle/>
        <a:p>
          <a:endParaRPr lang="ru-RU" sz="1200" b="0" i="0">
            <a:latin typeface="Times New Roman" pitchFamily="18" charset="0"/>
            <a:cs typeface="Times New Roman" pitchFamily="18" charset="0"/>
          </a:endParaRPr>
        </a:p>
      </dgm:t>
    </dgm:pt>
    <dgm:pt modelId="{723D4B91-D0FF-4CC6-A7B4-0ECEF93090AE}" type="sibTrans" cxnId="{99F1A055-4638-4FBC-BDBA-2E5D9A5F82BF}">
      <dgm:prSet/>
      <dgm:spPr/>
      <dgm:t>
        <a:bodyPr/>
        <a:lstStyle/>
        <a:p>
          <a:endParaRPr lang="ru-RU" sz="1200" b="0" i="0">
            <a:latin typeface="Times New Roman" pitchFamily="18" charset="0"/>
            <a:cs typeface="Times New Roman" pitchFamily="18" charset="0"/>
          </a:endParaRPr>
        </a:p>
      </dgm:t>
    </dgm:pt>
    <dgm:pt modelId="{AD09A920-5499-40B5-8051-A87978F6A64E}" type="pres">
      <dgm:prSet presAssocID="{21F9F6E4-E842-438A-9200-CC891695C93D}" presName="Name0" presStyleCnt="0">
        <dgm:presLayoutVars>
          <dgm:dir/>
          <dgm:animLvl val="lvl"/>
          <dgm:resizeHandles val="exact"/>
        </dgm:presLayoutVars>
      </dgm:prSet>
      <dgm:spPr/>
      <dgm:t>
        <a:bodyPr/>
        <a:lstStyle/>
        <a:p>
          <a:endParaRPr lang="ru-RU"/>
        </a:p>
      </dgm:t>
    </dgm:pt>
    <dgm:pt modelId="{516B28C5-8A7F-4FCC-AE58-D4A81AECFD3C}" type="pres">
      <dgm:prSet presAssocID="{A62F0F4E-1434-4BF8-8F60-2B2A835327C3}" presName="linNode" presStyleCnt="0"/>
      <dgm:spPr/>
    </dgm:pt>
    <dgm:pt modelId="{AAD5DC8A-AC3C-4B86-819A-85EC9C897D8E}" type="pres">
      <dgm:prSet presAssocID="{A62F0F4E-1434-4BF8-8F60-2B2A835327C3}" presName="parentText" presStyleLbl="node1" presStyleIdx="0" presStyleCnt="4">
        <dgm:presLayoutVars>
          <dgm:chMax val="1"/>
          <dgm:bulletEnabled val="1"/>
        </dgm:presLayoutVars>
      </dgm:prSet>
      <dgm:spPr>
        <a:prstGeom prst="roundRect">
          <a:avLst/>
        </a:prstGeom>
      </dgm:spPr>
      <dgm:t>
        <a:bodyPr/>
        <a:lstStyle/>
        <a:p>
          <a:endParaRPr lang="ru-RU"/>
        </a:p>
      </dgm:t>
    </dgm:pt>
    <dgm:pt modelId="{7DD54204-D7E9-40FE-8643-7B9FDD4F4153}" type="pres">
      <dgm:prSet presAssocID="{A62F0F4E-1434-4BF8-8F60-2B2A835327C3}" presName="descendantText" presStyleLbl="alignAccFollowNode1" presStyleIdx="0" presStyleCnt="4" custScaleX="204733">
        <dgm:presLayoutVars>
          <dgm:bulletEnabled val="1"/>
        </dgm:presLayoutVars>
      </dgm:prSet>
      <dgm:spPr>
        <a:prstGeom prst="round2SameRect">
          <a:avLst/>
        </a:prstGeom>
      </dgm:spPr>
      <dgm:t>
        <a:bodyPr/>
        <a:lstStyle/>
        <a:p>
          <a:endParaRPr lang="ru-RU"/>
        </a:p>
      </dgm:t>
    </dgm:pt>
    <dgm:pt modelId="{A04B6A6B-025B-48B7-863D-17A4BFBD9CDF}" type="pres">
      <dgm:prSet presAssocID="{1EEFD312-BC45-4D57-9A7A-D19444119CD5}" presName="sp" presStyleCnt="0"/>
      <dgm:spPr/>
    </dgm:pt>
    <dgm:pt modelId="{E06786FD-8C2B-4028-AB0F-D55C86391092}" type="pres">
      <dgm:prSet presAssocID="{3A583EE7-E547-4A39-AC1C-72D52900B2FD}" presName="linNode" presStyleCnt="0"/>
      <dgm:spPr/>
    </dgm:pt>
    <dgm:pt modelId="{3B0A002B-FF84-4BAA-BEAD-814F1B0E7026}" type="pres">
      <dgm:prSet presAssocID="{3A583EE7-E547-4A39-AC1C-72D52900B2FD}" presName="parentText" presStyleLbl="node1" presStyleIdx="1" presStyleCnt="4">
        <dgm:presLayoutVars>
          <dgm:chMax val="1"/>
          <dgm:bulletEnabled val="1"/>
        </dgm:presLayoutVars>
      </dgm:prSet>
      <dgm:spPr>
        <a:prstGeom prst="roundRect">
          <a:avLst/>
        </a:prstGeom>
      </dgm:spPr>
      <dgm:t>
        <a:bodyPr/>
        <a:lstStyle/>
        <a:p>
          <a:endParaRPr lang="ru-RU"/>
        </a:p>
      </dgm:t>
    </dgm:pt>
    <dgm:pt modelId="{75ADAEC9-1249-4023-BE5C-14484965646E}" type="pres">
      <dgm:prSet presAssocID="{3A583EE7-E547-4A39-AC1C-72D52900B2FD}" presName="descendantText" presStyleLbl="alignAccFollowNode1" presStyleIdx="1" presStyleCnt="4" custScaleX="203445">
        <dgm:presLayoutVars>
          <dgm:bulletEnabled val="1"/>
        </dgm:presLayoutVars>
      </dgm:prSet>
      <dgm:spPr>
        <a:prstGeom prst="round2SameRect">
          <a:avLst/>
        </a:prstGeom>
      </dgm:spPr>
      <dgm:t>
        <a:bodyPr/>
        <a:lstStyle/>
        <a:p>
          <a:endParaRPr lang="ru-RU"/>
        </a:p>
      </dgm:t>
    </dgm:pt>
    <dgm:pt modelId="{710A7A53-A104-48D9-B225-AE282C10333C}" type="pres">
      <dgm:prSet presAssocID="{0633A3F3-AAFF-43F6-B563-31593F0DE49B}" presName="sp" presStyleCnt="0"/>
      <dgm:spPr/>
    </dgm:pt>
    <dgm:pt modelId="{7D96D35D-348D-41DA-9E2F-9425B8F9D767}" type="pres">
      <dgm:prSet presAssocID="{0EB72204-D504-4D8C-8001-EC76CDA989AE}" presName="linNode" presStyleCnt="0"/>
      <dgm:spPr/>
    </dgm:pt>
    <dgm:pt modelId="{D690CCEE-CB43-40F0-9C13-20A885DC3BA7}" type="pres">
      <dgm:prSet presAssocID="{0EB72204-D504-4D8C-8001-EC76CDA989AE}" presName="parentText" presStyleLbl="node1" presStyleIdx="2" presStyleCnt="4">
        <dgm:presLayoutVars>
          <dgm:chMax val="1"/>
          <dgm:bulletEnabled val="1"/>
        </dgm:presLayoutVars>
      </dgm:prSet>
      <dgm:spPr>
        <a:prstGeom prst="roundRect">
          <a:avLst/>
        </a:prstGeom>
      </dgm:spPr>
      <dgm:t>
        <a:bodyPr/>
        <a:lstStyle/>
        <a:p>
          <a:endParaRPr lang="ru-RU"/>
        </a:p>
      </dgm:t>
    </dgm:pt>
    <dgm:pt modelId="{AA275F09-E7BB-4170-91BD-ADAE87130C74}" type="pres">
      <dgm:prSet presAssocID="{0EB72204-D504-4D8C-8001-EC76CDA989AE}" presName="descendantText" presStyleLbl="alignAccFollowNode1" presStyleIdx="2" presStyleCnt="4" custScaleX="198912" custScaleY="131190">
        <dgm:presLayoutVars>
          <dgm:bulletEnabled val="1"/>
        </dgm:presLayoutVars>
      </dgm:prSet>
      <dgm:spPr>
        <a:prstGeom prst="round2SameRect">
          <a:avLst/>
        </a:prstGeom>
      </dgm:spPr>
      <dgm:t>
        <a:bodyPr/>
        <a:lstStyle/>
        <a:p>
          <a:endParaRPr lang="ru-RU"/>
        </a:p>
      </dgm:t>
    </dgm:pt>
    <dgm:pt modelId="{B6D1EDA7-CF8A-49DF-B36C-0D5383F264C5}" type="pres">
      <dgm:prSet presAssocID="{E43FF382-7B2B-44AA-8116-00893B00B4B4}" presName="sp" presStyleCnt="0"/>
      <dgm:spPr/>
    </dgm:pt>
    <dgm:pt modelId="{EB6DD36E-B686-4D71-B38B-D805520FA61D}" type="pres">
      <dgm:prSet presAssocID="{ACA34E66-C2B9-4E3C-821D-FFB8C6EFB313}" presName="linNode" presStyleCnt="0"/>
      <dgm:spPr/>
    </dgm:pt>
    <dgm:pt modelId="{C2E095C3-A65A-4495-817F-9C90B8A035A2}" type="pres">
      <dgm:prSet presAssocID="{ACA34E66-C2B9-4E3C-821D-FFB8C6EFB313}" presName="parentText" presStyleLbl="node1" presStyleIdx="3" presStyleCnt="4">
        <dgm:presLayoutVars>
          <dgm:chMax val="1"/>
          <dgm:bulletEnabled val="1"/>
        </dgm:presLayoutVars>
      </dgm:prSet>
      <dgm:spPr>
        <a:prstGeom prst="roundRect">
          <a:avLst/>
        </a:prstGeom>
      </dgm:spPr>
      <dgm:t>
        <a:bodyPr/>
        <a:lstStyle/>
        <a:p>
          <a:endParaRPr lang="ru-RU"/>
        </a:p>
      </dgm:t>
    </dgm:pt>
    <dgm:pt modelId="{1DFE7D18-539D-4B81-B03F-0D3074299849}" type="pres">
      <dgm:prSet presAssocID="{ACA34E66-C2B9-4E3C-821D-FFB8C6EFB313}" presName="descendantText" presStyleLbl="alignAccFollowNode1" presStyleIdx="3" presStyleCnt="4" custScaleX="194071">
        <dgm:presLayoutVars>
          <dgm:bulletEnabled val="1"/>
        </dgm:presLayoutVars>
      </dgm:prSet>
      <dgm:spPr>
        <a:prstGeom prst="round2SameRect">
          <a:avLst/>
        </a:prstGeom>
      </dgm:spPr>
      <dgm:t>
        <a:bodyPr/>
        <a:lstStyle/>
        <a:p>
          <a:endParaRPr lang="ru-RU"/>
        </a:p>
      </dgm:t>
    </dgm:pt>
  </dgm:ptLst>
  <dgm:cxnLst>
    <dgm:cxn modelId="{8640B008-8647-414D-96E0-8073B37DC332}" srcId="{0EB72204-D504-4D8C-8001-EC76CDA989AE}" destId="{2ECF69F4-9C10-4DF8-94FD-3997D6AD1968}" srcOrd="0" destOrd="0" parTransId="{46C8964F-0E0E-47D4-9545-D714A13FF652}" sibTransId="{6E5A78CA-093E-40C6-8D62-78512E496C86}"/>
    <dgm:cxn modelId="{66639B03-D05C-4895-8E0A-CB5F310D6D1D}" srcId="{21F9F6E4-E842-438A-9200-CC891695C93D}" destId="{A62F0F4E-1434-4BF8-8F60-2B2A835327C3}" srcOrd="0" destOrd="0" parTransId="{A7EF0296-2F31-4886-920B-F424E075C522}" sibTransId="{1EEFD312-BC45-4D57-9A7A-D19444119CD5}"/>
    <dgm:cxn modelId="{8DD894E1-75F7-4114-AF2A-14F37FD2DEBF}" srcId="{21F9F6E4-E842-438A-9200-CC891695C93D}" destId="{3A583EE7-E547-4A39-AC1C-72D52900B2FD}" srcOrd="1" destOrd="0" parTransId="{152AC3C8-7D1E-44B8-AEFD-C605120438FB}" sibTransId="{0633A3F3-AAFF-43F6-B563-31593F0DE49B}"/>
    <dgm:cxn modelId="{8BC9CED7-D6AF-4395-8490-52812F12B1ED}" type="presOf" srcId="{A62F0F4E-1434-4BF8-8F60-2B2A835327C3}" destId="{AAD5DC8A-AC3C-4B86-819A-85EC9C897D8E}" srcOrd="0" destOrd="0" presId="urn:microsoft.com/office/officeart/2005/8/layout/vList5"/>
    <dgm:cxn modelId="{7B140062-68AC-4D6B-9610-5DCE5C6486E9}" type="presOf" srcId="{0EB72204-D504-4D8C-8001-EC76CDA989AE}" destId="{D690CCEE-CB43-40F0-9C13-20A885DC3BA7}" srcOrd="0" destOrd="0" presId="urn:microsoft.com/office/officeart/2005/8/layout/vList5"/>
    <dgm:cxn modelId="{CE7C7266-3E92-4BFD-B4C9-5691F127AEA1}" type="presOf" srcId="{ACA34E66-C2B9-4E3C-821D-FFB8C6EFB313}" destId="{C2E095C3-A65A-4495-817F-9C90B8A035A2}" srcOrd="0" destOrd="0" presId="urn:microsoft.com/office/officeart/2005/8/layout/vList5"/>
    <dgm:cxn modelId="{9241B901-B108-41C7-A3FD-3C057BAEEAD7}" type="presOf" srcId="{2ECF69F4-9C10-4DF8-94FD-3997D6AD1968}" destId="{AA275F09-E7BB-4170-91BD-ADAE87130C74}" srcOrd="0" destOrd="0" presId="urn:microsoft.com/office/officeart/2005/8/layout/vList5"/>
    <dgm:cxn modelId="{B9A87FB2-6C56-4AAE-8F65-7CAECCB93A7D}" type="presOf" srcId="{3A583EE7-E547-4A39-AC1C-72D52900B2FD}" destId="{3B0A002B-FF84-4BAA-BEAD-814F1B0E7026}" srcOrd="0" destOrd="0" presId="urn:microsoft.com/office/officeart/2005/8/layout/vList5"/>
    <dgm:cxn modelId="{5D530665-DF28-40D7-8544-5A63C33729A6}" srcId="{3A583EE7-E547-4A39-AC1C-72D52900B2FD}" destId="{3B8C9D75-B6D9-49D0-AF52-1E76EAE01FA4}" srcOrd="0" destOrd="0" parTransId="{7C762EA8-29CA-43A8-B2AC-F0A14AA9DEBD}" sibTransId="{DE77105A-C86E-46EF-BE0D-F47FD1104470}"/>
    <dgm:cxn modelId="{4BC200E8-9EBC-4829-BBC7-224304D43A43}" srcId="{21F9F6E4-E842-438A-9200-CC891695C93D}" destId="{0EB72204-D504-4D8C-8001-EC76CDA989AE}" srcOrd="2" destOrd="0" parTransId="{E1484EA7-59FD-464F-B65B-D350485C8359}" sibTransId="{E43FF382-7B2B-44AA-8116-00893B00B4B4}"/>
    <dgm:cxn modelId="{99F1A055-4638-4FBC-BDBA-2E5D9A5F82BF}" srcId="{ACA34E66-C2B9-4E3C-821D-FFB8C6EFB313}" destId="{8F50AA1E-9170-43AE-B25A-A38409CFD227}" srcOrd="0" destOrd="0" parTransId="{519FCCC3-B846-4CE5-A822-0D10886DA433}" sibTransId="{723D4B91-D0FF-4CC6-A7B4-0ECEF93090AE}"/>
    <dgm:cxn modelId="{B001AC89-776C-4E1A-AA16-51E1D38DD4C3}" type="presOf" srcId="{3B8C9D75-B6D9-49D0-AF52-1E76EAE01FA4}" destId="{75ADAEC9-1249-4023-BE5C-14484965646E}" srcOrd="0" destOrd="0" presId="urn:microsoft.com/office/officeart/2005/8/layout/vList5"/>
    <dgm:cxn modelId="{E7F94926-E351-4853-8109-C21E27E78875}" type="presOf" srcId="{21F9F6E4-E842-438A-9200-CC891695C93D}" destId="{AD09A920-5499-40B5-8051-A87978F6A64E}" srcOrd="0" destOrd="0" presId="urn:microsoft.com/office/officeart/2005/8/layout/vList5"/>
    <dgm:cxn modelId="{75BF69C5-B0D2-4C40-A5FA-09764558488A}" srcId="{21F9F6E4-E842-438A-9200-CC891695C93D}" destId="{ACA34E66-C2B9-4E3C-821D-FFB8C6EFB313}" srcOrd="3" destOrd="0" parTransId="{A80363C1-0F1E-4F8F-A96B-0DAEE41ED275}" sibTransId="{9385D2EC-9F25-4E23-BB07-240F4E8563B7}"/>
    <dgm:cxn modelId="{B225CC26-E035-49DF-B622-27ABE1B2A6A8}" type="presOf" srcId="{8F50AA1E-9170-43AE-B25A-A38409CFD227}" destId="{1DFE7D18-539D-4B81-B03F-0D3074299849}" srcOrd="0" destOrd="0" presId="urn:microsoft.com/office/officeart/2005/8/layout/vList5"/>
    <dgm:cxn modelId="{DA6C7952-B7F0-4967-9F03-5A69410AF1F1}" type="presOf" srcId="{9E647B8F-36B9-4D79-9E05-73A451803F72}" destId="{7DD54204-D7E9-40FE-8643-7B9FDD4F4153}" srcOrd="0" destOrd="0" presId="urn:microsoft.com/office/officeart/2005/8/layout/vList5"/>
    <dgm:cxn modelId="{0BAFDF00-82EC-4BD4-8CBD-4B731BBD1B71}" srcId="{A62F0F4E-1434-4BF8-8F60-2B2A835327C3}" destId="{9E647B8F-36B9-4D79-9E05-73A451803F72}" srcOrd="0" destOrd="0" parTransId="{8640115E-A4B9-44EA-928F-8E43EAA70907}" sibTransId="{518C3180-D724-406F-B848-1D0EB43716B2}"/>
    <dgm:cxn modelId="{CDC5FBF3-170E-4A17-9022-279138C7059F}" type="presParOf" srcId="{AD09A920-5499-40B5-8051-A87978F6A64E}" destId="{516B28C5-8A7F-4FCC-AE58-D4A81AECFD3C}" srcOrd="0" destOrd="0" presId="urn:microsoft.com/office/officeart/2005/8/layout/vList5"/>
    <dgm:cxn modelId="{79BB8B67-D485-4E90-82D6-755B295CBEE1}" type="presParOf" srcId="{516B28C5-8A7F-4FCC-AE58-D4A81AECFD3C}" destId="{AAD5DC8A-AC3C-4B86-819A-85EC9C897D8E}" srcOrd="0" destOrd="0" presId="urn:microsoft.com/office/officeart/2005/8/layout/vList5"/>
    <dgm:cxn modelId="{37D8D4E4-5754-4C11-8CF9-3F8B853E1975}" type="presParOf" srcId="{516B28C5-8A7F-4FCC-AE58-D4A81AECFD3C}" destId="{7DD54204-D7E9-40FE-8643-7B9FDD4F4153}" srcOrd="1" destOrd="0" presId="urn:microsoft.com/office/officeart/2005/8/layout/vList5"/>
    <dgm:cxn modelId="{57862E34-D475-4155-BE4C-4921146DA6C8}" type="presParOf" srcId="{AD09A920-5499-40B5-8051-A87978F6A64E}" destId="{A04B6A6B-025B-48B7-863D-17A4BFBD9CDF}" srcOrd="1" destOrd="0" presId="urn:microsoft.com/office/officeart/2005/8/layout/vList5"/>
    <dgm:cxn modelId="{19C0710E-A892-4F95-886A-AC3011B2397B}" type="presParOf" srcId="{AD09A920-5499-40B5-8051-A87978F6A64E}" destId="{E06786FD-8C2B-4028-AB0F-D55C86391092}" srcOrd="2" destOrd="0" presId="urn:microsoft.com/office/officeart/2005/8/layout/vList5"/>
    <dgm:cxn modelId="{286C5580-2FC7-4792-A1CF-A999FDF575F8}" type="presParOf" srcId="{E06786FD-8C2B-4028-AB0F-D55C86391092}" destId="{3B0A002B-FF84-4BAA-BEAD-814F1B0E7026}" srcOrd="0" destOrd="0" presId="urn:microsoft.com/office/officeart/2005/8/layout/vList5"/>
    <dgm:cxn modelId="{191467CE-9769-42DD-8642-2059F1B77496}" type="presParOf" srcId="{E06786FD-8C2B-4028-AB0F-D55C86391092}" destId="{75ADAEC9-1249-4023-BE5C-14484965646E}" srcOrd="1" destOrd="0" presId="urn:microsoft.com/office/officeart/2005/8/layout/vList5"/>
    <dgm:cxn modelId="{1C3EEE49-D3ED-4396-9054-DFD49A0BC685}" type="presParOf" srcId="{AD09A920-5499-40B5-8051-A87978F6A64E}" destId="{710A7A53-A104-48D9-B225-AE282C10333C}" srcOrd="3" destOrd="0" presId="urn:microsoft.com/office/officeart/2005/8/layout/vList5"/>
    <dgm:cxn modelId="{1F34A1C5-929E-4B02-B76E-525517F743FB}" type="presParOf" srcId="{AD09A920-5499-40B5-8051-A87978F6A64E}" destId="{7D96D35D-348D-41DA-9E2F-9425B8F9D767}" srcOrd="4" destOrd="0" presId="urn:microsoft.com/office/officeart/2005/8/layout/vList5"/>
    <dgm:cxn modelId="{B5D83EF5-EDB6-4749-B9E3-966177BB922D}" type="presParOf" srcId="{7D96D35D-348D-41DA-9E2F-9425B8F9D767}" destId="{D690CCEE-CB43-40F0-9C13-20A885DC3BA7}" srcOrd="0" destOrd="0" presId="urn:microsoft.com/office/officeart/2005/8/layout/vList5"/>
    <dgm:cxn modelId="{A6AB0D7E-06B4-4D15-AC96-54A9215094FB}" type="presParOf" srcId="{7D96D35D-348D-41DA-9E2F-9425B8F9D767}" destId="{AA275F09-E7BB-4170-91BD-ADAE87130C74}" srcOrd="1" destOrd="0" presId="urn:microsoft.com/office/officeart/2005/8/layout/vList5"/>
    <dgm:cxn modelId="{15482A26-0CA9-490E-8ADA-1270CDC03CA1}" type="presParOf" srcId="{AD09A920-5499-40B5-8051-A87978F6A64E}" destId="{B6D1EDA7-CF8A-49DF-B36C-0D5383F264C5}" srcOrd="5" destOrd="0" presId="urn:microsoft.com/office/officeart/2005/8/layout/vList5"/>
    <dgm:cxn modelId="{C6C8B7CC-06D2-4B2E-B37F-399C3DB9F2D0}" type="presParOf" srcId="{AD09A920-5499-40B5-8051-A87978F6A64E}" destId="{EB6DD36E-B686-4D71-B38B-D805520FA61D}" srcOrd="6" destOrd="0" presId="urn:microsoft.com/office/officeart/2005/8/layout/vList5"/>
    <dgm:cxn modelId="{4B8639E9-8C91-400F-B52B-4482E1A1A5EB}" type="presParOf" srcId="{EB6DD36E-B686-4D71-B38B-D805520FA61D}" destId="{C2E095C3-A65A-4495-817F-9C90B8A035A2}" srcOrd="0" destOrd="0" presId="urn:microsoft.com/office/officeart/2005/8/layout/vList5"/>
    <dgm:cxn modelId="{DA0C0CE3-E9F2-4640-A5F8-BDE4F66FC2F8}" type="presParOf" srcId="{EB6DD36E-B686-4D71-B38B-D805520FA61D}" destId="{1DFE7D18-539D-4B81-B03F-0D3074299849}"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D54204-D7E9-40FE-8643-7B9FDD4F4153}">
      <dsp:nvSpPr>
        <dsp:cNvPr id="0" name=""/>
        <dsp:cNvSpPr/>
      </dsp:nvSpPr>
      <dsp:spPr>
        <a:xfrm rot="5400000">
          <a:off x="2898176" y="-1655888"/>
          <a:ext cx="706880" cy="4196708"/>
        </a:xfrm>
        <a:prstGeom prst="round2SameRect">
          <a:avLst/>
        </a:prstGeom>
        <a:solidFill>
          <a:sysClr val="window" lastClr="FFFFFF">
            <a:alpha val="90000"/>
            <a:tint val="40000"/>
            <a:hueOff val="0"/>
            <a:satOff val="0"/>
            <a:lumOff val="0"/>
            <a:alphaOff val="0"/>
          </a:sysClr>
        </a:solidFill>
        <a:ln w="25400" cap="flat" cmpd="sng" algn="ctr">
          <a:solidFill>
            <a:srgbClr val="4F81BD">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b="0" i="0" kern="1200">
              <a:solidFill>
                <a:sysClr val="windowText" lastClr="000000">
                  <a:hueOff val="0"/>
                  <a:satOff val="0"/>
                  <a:lumOff val="0"/>
                  <a:alphaOff val="0"/>
                </a:sysClr>
              </a:solidFill>
              <a:latin typeface="Times New Roman" pitchFamily="18" charset="0"/>
              <a:ea typeface="+mn-ea"/>
              <a:cs typeface="Times New Roman" pitchFamily="18" charset="0"/>
            </a:rPr>
            <a:t>international treaties containing uniform rules of law between the governments of two, several or many countries, providing for the observance of generally agreed rules in a certain area</a:t>
          </a:r>
          <a:endParaRPr lang="ru-RU" sz="12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153263" y="123532"/>
        <a:ext cx="4162201" cy="637866"/>
      </dsp:txXfrm>
    </dsp:sp>
    <dsp:sp modelId="{AAD5DC8A-AC3C-4B86-819A-85EC9C897D8E}">
      <dsp:nvSpPr>
        <dsp:cNvPr id="0" name=""/>
        <dsp:cNvSpPr/>
      </dsp:nvSpPr>
      <dsp:spPr>
        <a:xfrm>
          <a:off x="224" y="665"/>
          <a:ext cx="1153037" cy="883600"/>
        </a:xfrm>
        <a:prstGeom prst="round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pl-PL" sz="1200" b="0" i="0" kern="1200">
              <a:solidFill>
                <a:sysClr val="windowText" lastClr="000000">
                  <a:hueOff val="0"/>
                  <a:satOff val="0"/>
                  <a:lumOff val="0"/>
                  <a:alphaOff val="0"/>
                </a:sysClr>
              </a:solidFill>
              <a:latin typeface="Times New Roman" pitchFamily="18" charset="0"/>
              <a:ea typeface="+mn-ea"/>
              <a:cs typeface="Times New Roman" pitchFamily="18" charset="0"/>
            </a:rPr>
            <a:t>International treaties within the UN</a:t>
          </a:r>
          <a:endParaRPr lang="ru-RU" sz="12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358" y="43799"/>
        <a:ext cx="1066769" cy="797332"/>
      </dsp:txXfrm>
    </dsp:sp>
    <dsp:sp modelId="{75ADAEC9-1249-4023-BE5C-14484965646E}">
      <dsp:nvSpPr>
        <dsp:cNvPr id="0" name=""/>
        <dsp:cNvSpPr/>
      </dsp:nvSpPr>
      <dsp:spPr>
        <a:xfrm rot="5400000">
          <a:off x="2900822" y="-725111"/>
          <a:ext cx="706880" cy="4190716"/>
        </a:xfrm>
        <a:prstGeom prst="round2SameRect">
          <a:avLst/>
        </a:prstGeom>
        <a:solidFill>
          <a:sysClr val="window" lastClr="FFFFFF">
            <a:alpha val="90000"/>
            <a:tint val="40000"/>
            <a:hueOff val="0"/>
            <a:satOff val="0"/>
            <a:lumOff val="0"/>
            <a:alphaOff val="0"/>
          </a:sysClr>
        </a:solidFill>
        <a:ln w="25400" cap="flat" cmpd="sng" algn="ctr">
          <a:solidFill>
            <a:srgbClr val="4F81BD">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b="0" i="0" kern="1200">
              <a:solidFill>
                <a:sysClr val="windowText" lastClr="000000">
                  <a:hueOff val="0"/>
                  <a:satOff val="0"/>
                  <a:lumOff val="0"/>
                  <a:alphaOff val="0"/>
                </a:sysClr>
              </a:solidFill>
              <a:latin typeface="Times New Roman" pitchFamily="18" charset="0"/>
              <a:ea typeface="+mn-ea"/>
              <a:cs typeface="Times New Roman" pitchFamily="18" charset="0"/>
            </a:rPr>
            <a:t>international treaties containing unified rules for trade and economic cooperation between the governments of two, several or many countries, providing for compliance with generally agreed rules in this area.</a:t>
          </a:r>
          <a:endParaRPr lang="ru-RU" sz="12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158905" y="1051313"/>
        <a:ext cx="4156209" cy="637866"/>
      </dsp:txXfrm>
    </dsp:sp>
    <dsp:sp modelId="{3B0A002B-FF84-4BAA-BEAD-814F1B0E7026}">
      <dsp:nvSpPr>
        <dsp:cNvPr id="0" name=""/>
        <dsp:cNvSpPr/>
      </dsp:nvSpPr>
      <dsp:spPr>
        <a:xfrm>
          <a:off x="224" y="928445"/>
          <a:ext cx="1158680" cy="883600"/>
        </a:xfrm>
        <a:prstGeom prst="round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pl-PL" sz="1200" b="0" i="0" kern="1200">
              <a:solidFill>
                <a:sysClr val="windowText" lastClr="000000">
                  <a:hueOff val="0"/>
                  <a:satOff val="0"/>
                  <a:lumOff val="0"/>
                  <a:alphaOff val="0"/>
                </a:sysClr>
              </a:solidFill>
              <a:latin typeface="Times New Roman" pitchFamily="18" charset="0"/>
              <a:ea typeface="+mn-ea"/>
              <a:cs typeface="Times New Roman" pitchFamily="18" charset="0"/>
            </a:rPr>
            <a:t>International treaties within the framework of GATT/WTO</a:t>
          </a:r>
          <a:endParaRPr lang="ru-RU" sz="12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358" y="971579"/>
        <a:ext cx="1072412" cy="797332"/>
      </dsp:txXfrm>
    </dsp:sp>
    <dsp:sp modelId="{AA275F09-E7BB-4170-91BD-ADAE87130C74}">
      <dsp:nvSpPr>
        <dsp:cNvPr id="0" name=""/>
        <dsp:cNvSpPr/>
      </dsp:nvSpPr>
      <dsp:spPr>
        <a:xfrm rot="5400000">
          <a:off x="2801171" y="234650"/>
          <a:ext cx="927356" cy="4170508"/>
        </a:xfrm>
        <a:prstGeom prst="round2SameRect">
          <a:avLst/>
        </a:prstGeom>
        <a:solidFill>
          <a:sysClr val="window" lastClr="FFFFFF">
            <a:alpha val="90000"/>
            <a:tint val="40000"/>
            <a:hueOff val="0"/>
            <a:satOff val="0"/>
            <a:lumOff val="0"/>
            <a:alphaOff val="0"/>
          </a:sysClr>
        </a:solidFill>
        <a:ln w="25400" cap="flat" cmpd="sng" algn="ctr">
          <a:solidFill>
            <a:srgbClr val="4F81BD">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b="0" i="0" kern="1200">
              <a:solidFill>
                <a:sysClr val="windowText" lastClr="000000">
                  <a:hueOff val="0"/>
                  <a:satOff val="0"/>
                  <a:lumOff val="0"/>
                  <a:alphaOff val="0"/>
                </a:sysClr>
              </a:solidFill>
              <a:latin typeface="Times New Roman" pitchFamily="18" charset="0"/>
              <a:ea typeface="+mn-ea"/>
              <a:cs typeface="Times New Roman" pitchFamily="18" charset="0"/>
            </a:rPr>
            <a:t>conventions aimed at establishing the basic principles of the customs regime for countries that have joined these conventions, as well as general rules for the implementation of customs control and collection of customs tariffs, cooperation between countries of the world community in this area.</a:t>
          </a:r>
          <a:endParaRPr lang="ru-RU" sz="12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179595" y="1901496"/>
        <a:ext cx="4125238" cy="836816"/>
      </dsp:txXfrm>
    </dsp:sp>
    <dsp:sp modelId="{D690CCEE-CB43-40F0-9C13-20A885DC3BA7}">
      <dsp:nvSpPr>
        <dsp:cNvPr id="0" name=""/>
        <dsp:cNvSpPr/>
      </dsp:nvSpPr>
      <dsp:spPr>
        <a:xfrm>
          <a:off x="224" y="1878104"/>
          <a:ext cx="1179371" cy="883600"/>
        </a:xfrm>
        <a:prstGeom prst="round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pl-PL" sz="1200" b="0" i="0" kern="1200">
              <a:solidFill>
                <a:sysClr val="windowText" lastClr="000000">
                  <a:hueOff val="0"/>
                  <a:satOff val="0"/>
                  <a:lumOff val="0"/>
                  <a:alphaOff val="0"/>
                </a:sysClr>
              </a:solidFill>
              <a:latin typeface="Times New Roman" pitchFamily="18" charset="0"/>
              <a:ea typeface="+mn-ea"/>
              <a:cs typeface="Times New Roman" pitchFamily="18" charset="0"/>
            </a:rPr>
            <a:t>International agreements within the W</a:t>
          </a:r>
          <a:r>
            <a:rPr lang="en-US" sz="1200" b="0" i="0" kern="1200">
              <a:solidFill>
                <a:sysClr val="windowText" lastClr="000000">
                  <a:hueOff val="0"/>
                  <a:satOff val="0"/>
                  <a:lumOff val="0"/>
                  <a:alphaOff val="0"/>
                </a:sysClr>
              </a:solidFill>
              <a:latin typeface="Times New Roman" pitchFamily="18" charset="0"/>
              <a:ea typeface="+mn-ea"/>
              <a:cs typeface="Times New Roman" pitchFamily="18" charset="0"/>
            </a:rPr>
            <a:t>C</a:t>
          </a:r>
          <a:r>
            <a:rPr lang="pl-PL" sz="1200" b="0" i="0" kern="1200">
              <a:solidFill>
                <a:sysClr val="windowText" lastClr="000000">
                  <a:hueOff val="0"/>
                  <a:satOff val="0"/>
                  <a:lumOff val="0"/>
                  <a:alphaOff val="0"/>
                </a:sysClr>
              </a:solidFill>
              <a:latin typeface="Times New Roman" pitchFamily="18" charset="0"/>
              <a:ea typeface="+mn-ea"/>
              <a:cs typeface="Times New Roman" pitchFamily="18" charset="0"/>
            </a:rPr>
            <a:t>O</a:t>
          </a:r>
          <a:endParaRPr lang="ru-RU" sz="12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358" y="1921238"/>
        <a:ext cx="1093103" cy="797332"/>
      </dsp:txXfrm>
    </dsp:sp>
    <dsp:sp modelId="{1DFE7D18-539D-4B81-B03F-0D3074299849}">
      <dsp:nvSpPr>
        <dsp:cNvPr id="0" name=""/>
        <dsp:cNvSpPr/>
      </dsp:nvSpPr>
      <dsp:spPr>
        <a:xfrm rot="5400000">
          <a:off x="2922169" y="1196120"/>
          <a:ext cx="706880" cy="4146885"/>
        </a:xfrm>
        <a:prstGeom prst="round2SameRect">
          <a:avLst/>
        </a:prstGeom>
        <a:solidFill>
          <a:sysClr val="window" lastClr="FFFFFF">
            <a:alpha val="90000"/>
            <a:tint val="40000"/>
            <a:hueOff val="0"/>
            <a:satOff val="0"/>
            <a:lumOff val="0"/>
            <a:alphaOff val="0"/>
          </a:sysClr>
        </a:solidFill>
        <a:ln w="25400" cap="flat" cmpd="sng" algn="ctr">
          <a:solidFill>
            <a:srgbClr val="4F81BD">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pl-PL" sz="1200" b="0" i="0" kern="1200">
              <a:solidFill>
                <a:sysClr val="windowText" lastClr="000000">
                  <a:hueOff val="0"/>
                  <a:satOff val="0"/>
                  <a:lumOff val="0"/>
                  <a:alphaOff val="0"/>
                </a:sysClr>
              </a:solidFill>
              <a:latin typeface="Times New Roman" pitchFamily="18" charset="0"/>
              <a:ea typeface="+mn-ea"/>
              <a:cs typeface="Times New Roman" pitchFamily="18" charset="0"/>
            </a:rPr>
            <a:t>international treaties containing unified norms of foreign economic activity between the governments of several member countries of the relevant economic bloc, providing for compliance with generally agreed rules in this area.</a:t>
          </a:r>
          <a:endParaRPr lang="ru-RU" sz="12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202167" y="2950630"/>
        <a:ext cx="4112378" cy="637866"/>
      </dsp:txXfrm>
    </dsp:sp>
    <dsp:sp modelId="{C2E095C3-A65A-4495-817F-9C90B8A035A2}">
      <dsp:nvSpPr>
        <dsp:cNvPr id="0" name=""/>
        <dsp:cNvSpPr/>
      </dsp:nvSpPr>
      <dsp:spPr>
        <a:xfrm>
          <a:off x="224" y="2827763"/>
          <a:ext cx="1201943" cy="883600"/>
        </a:xfrm>
        <a:prstGeom prst="round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pl-PL" sz="1200" b="0" i="0" kern="1200">
              <a:solidFill>
                <a:sysClr val="windowText" lastClr="000000">
                  <a:hueOff val="0"/>
                  <a:satOff val="0"/>
                  <a:lumOff val="0"/>
                  <a:alphaOff val="0"/>
                </a:sysClr>
              </a:solidFill>
              <a:latin typeface="Times New Roman" pitchFamily="18" charset="0"/>
              <a:ea typeface="+mn-ea"/>
              <a:cs typeface="Times New Roman" pitchFamily="18" charset="0"/>
            </a:rPr>
            <a:t>International multilateral treaties within economic unions</a:t>
          </a:r>
          <a:endParaRPr lang="ru-RU" sz="12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358" y="2870897"/>
        <a:ext cx="1115675" cy="79733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8</Pages>
  <Words>6345</Words>
  <Characters>3617</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cp:lastModifiedBy>
  <cp:revision>2</cp:revision>
  <dcterms:created xsi:type="dcterms:W3CDTF">2024-01-16T20:37:00Z</dcterms:created>
  <dcterms:modified xsi:type="dcterms:W3CDTF">2024-01-16T20:37:00Z</dcterms:modified>
</cp:coreProperties>
</file>