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25" w:rsidRPr="00652725" w:rsidRDefault="00652725" w:rsidP="00652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52725">
        <w:rPr>
          <w:rFonts w:ascii="Times New Roman" w:hAnsi="Times New Roman" w:cs="Times New Roman"/>
          <w:sz w:val="28"/>
          <w:szCs w:val="28"/>
          <w:lang w:val="uk-UA"/>
        </w:rPr>
        <w:t xml:space="preserve">Костюк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uk-UA"/>
        </w:rPr>
        <w:t>Кирил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uk-UA"/>
        </w:rPr>
        <w:t xml:space="preserve"> Ігорович</w:t>
      </w:r>
    </w:p>
    <w:p w:rsidR="00652725" w:rsidRPr="00652725" w:rsidRDefault="00652725" w:rsidP="006527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52725">
        <w:rPr>
          <w:rFonts w:ascii="Times New Roman" w:hAnsi="Times New Roman" w:cs="Times New Roman"/>
          <w:sz w:val="28"/>
          <w:szCs w:val="28"/>
          <w:lang w:val="uk-UA"/>
        </w:rPr>
        <w:t>Студент ІІІ курсу, спеціальності 123 «Комп’ютерна інженерія»</w:t>
      </w:r>
    </w:p>
    <w:p w:rsidR="00652725" w:rsidRPr="00652725" w:rsidRDefault="00652725" w:rsidP="00652725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5272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Київський столичний університет імені Бориса Грінченка, Київ </w:t>
      </w:r>
    </w:p>
    <w:p w:rsidR="00FB361A" w:rsidRDefault="00FB361A" w:rsidP="00DB18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648C" w:rsidRDefault="00652725" w:rsidP="00811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РОЗРОБКА ПОЛІТИК БЕЗПЕКИ ДЛЯ </w:t>
      </w:r>
      <w:r w:rsidRPr="00652725">
        <w:rPr>
          <w:rFonts w:ascii="Times New Roman" w:hAnsi="Times New Roman" w:cs="Times New Roman"/>
          <w:b/>
          <w:sz w:val="28"/>
          <w:szCs w:val="28"/>
        </w:rPr>
        <w:t>ZERO</w:t>
      </w:r>
      <w:r w:rsidRPr="00652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2725">
        <w:rPr>
          <w:rFonts w:ascii="Times New Roman" w:hAnsi="Times New Roman" w:cs="Times New Roman"/>
          <w:b/>
          <w:sz w:val="28"/>
          <w:szCs w:val="28"/>
        </w:rPr>
        <w:t>TRUST</w:t>
      </w:r>
      <w:r w:rsidRPr="00652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АРХІТЕКТУРИ В </w:t>
      </w:r>
      <w:r w:rsidRPr="00652725">
        <w:rPr>
          <w:rFonts w:ascii="Times New Roman" w:hAnsi="Times New Roman" w:cs="Times New Roman"/>
          <w:b/>
          <w:sz w:val="28"/>
          <w:szCs w:val="28"/>
        </w:rPr>
        <w:t>IOT</w:t>
      </w:r>
      <w:r w:rsidRPr="00652725">
        <w:rPr>
          <w:rFonts w:ascii="Times New Roman" w:hAnsi="Times New Roman" w:cs="Times New Roman"/>
          <w:b/>
          <w:sz w:val="28"/>
          <w:szCs w:val="28"/>
          <w:lang w:val="uk-UA"/>
        </w:rPr>
        <w:t>-ІНФРАСТРУКТУРІ</w:t>
      </w:r>
    </w:p>
    <w:p w:rsidR="00652725" w:rsidRPr="002A1C0B" w:rsidRDefault="00652725" w:rsidP="006527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2725" w:rsidRPr="00652725" w:rsidRDefault="00652725" w:rsidP="00652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розвитком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Інтернету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речей (</w:t>
      </w:r>
      <w:proofErr w:type="spellStart"/>
      <w:r w:rsidRPr="00652725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зростає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потреба в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парадигмах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традиційна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периметрова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модель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гарантувати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належний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відкритому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динамічному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та гетерогенному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Концепція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Zero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Trust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Architecture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652725">
        <w:rPr>
          <w:rFonts w:ascii="Times New Roman" w:hAnsi="Times New Roman" w:cs="Times New Roman"/>
          <w:sz w:val="28"/>
          <w:szCs w:val="28"/>
        </w:rPr>
        <w:t>ZTA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), яка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базується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принципі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нікому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довіряй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замовчуванням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», стала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ключовим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напрямом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побудови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моделей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BC4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40C7" w:rsidRPr="00BC40C7">
        <w:rPr>
          <w:rFonts w:ascii="Times New Roman" w:hAnsi="Times New Roman" w:cs="Times New Roman"/>
          <w:sz w:val="28"/>
          <w:szCs w:val="28"/>
          <w:lang w:val="ru-RU"/>
        </w:rPr>
        <w:t xml:space="preserve">[1, </w:t>
      </w:r>
      <w:r w:rsidR="00BC40C7" w:rsidRPr="00BC40C7">
        <w:rPr>
          <w:rFonts w:ascii="Times New Roman" w:hAnsi="Times New Roman" w:cs="Times New Roman"/>
          <w:sz w:val="28"/>
          <w:szCs w:val="28"/>
        </w:rPr>
        <w:t>c</w:t>
      </w:r>
      <w:r w:rsidR="00BC40C7" w:rsidRPr="00BC40C7">
        <w:rPr>
          <w:rFonts w:ascii="Times New Roman" w:hAnsi="Times New Roman" w:cs="Times New Roman"/>
          <w:sz w:val="28"/>
          <w:szCs w:val="28"/>
          <w:lang w:val="ru-RU"/>
        </w:rPr>
        <w:t>. 2782]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особливо в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великої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недовірених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пристроїв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взаємодіють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розподілених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інфраструктурах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2725" w:rsidRPr="00652725" w:rsidRDefault="00652725" w:rsidP="00652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Основна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ідея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Zero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Trust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постійному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контролі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доступу,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валідації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ідентичності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контексту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оцінці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ризику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наданням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взаємодію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У межах</w:t>
      </w:r>
      <w:proofErr w:type="gram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запропоновано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модель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політик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враховує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специфіку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обмежені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пристроїв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динамічну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змінність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контексту,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загрози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lateral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movement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пристроїв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невідомим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скомпрометованим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походженням</w:t>
      </w:r>
      <w:proofErr w:type="spellEnd"/>
      <w:r w:rsidR="00BC40C7" w:rsidRPr="00BC40C7">
        <w:rPr>
          <w:rFonts w:ascii="Times New Roman" w:hAnsi="Times New Roman" w:cs="Times New Roman"/>
          <w:sz w:val="28"/>
          <w:szCs w:val="28"/>
          <w:lang w:val="ru-RU"/>
        </w:rPr>
        <w:t xml:space="preserve"> [2, </w:t>
      </w:r>
      <w:r w:rsidR="00BC40C7" w:rsidRPr="00BC40C7">
        <w:rPr>
          <w:rFonts w:ascii="Times New Roman" w:hAnsi="Times New Roman" w:cs="Times New Roman"/>
          <w:sz w:val="28"/>
          <w:szCs w:val="28"/>
        </w:rPr>
        <w:t>c</w:t>
      </w:r>
      <w:r w:rsidR="00BC40C7" w:rsidRPr="00BC40C7">
        <w:rPr>
          <w:rFonts w:ascii="Times New Roman" w:hAnsi="Times New Roman" w:cs="Times New Roman"/>
          <w:sz w:val="28"/>
          <w:szCs w:val="28"/>
          <w:lang w:val="ru-RU"/>
        </w:rPr>
        <w:t>. 633–635]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Розроблену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реалізовано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моделі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контролю доступу </w:t>
      </w:r>
      <w:r w:rsidRPr="00652725">
        <w:rPr>
          <w:rFonts w:ascii="Times New Roman" w:hAnsi="Times New Roman" w:cs="Times New Roman"/>
          <w:sz w:val="28"/>
          <w:szCs w:val="28"/>
        </w:rPr>
        <w:t>ABAC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652725">
        <w:rPr>
          <w:rFonts w:ascii="Times New Roman" w:hAnsi="Times New Roman" w:cs="Times New Roman"/>
          <w:sz w:val="28"/>
          <w:szCs w:val="28"/>
        </w:rPr>
        <w:t>Attribute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52725">
        <w:rPr>
          <w:rFonts w:ascii="Times New Roman" w:hAnsi="Times New Roman" w:cs="Times New Roman"/>
          <w:sz w:val="28"/>
          <w:szCs w:val="28"/>
        </w:rPr>
        <w:t>Based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Access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Control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) з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динамічної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довіри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до кожного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вузла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поведінкового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трафіку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2725" w:rsidRPr="00652725" w:rsidRDefault="00652725" w:rsidP="00652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базується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ідентифікації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пристроїв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прив’язці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атрибутів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(тип пристрою,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ризику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контекст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місцезнаходження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роль),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визначенні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дозволених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оцінці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поточної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. Формально доступ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описується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предикатною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функцією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доступу, де для кожного пристрою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​ та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виконується перевірка умов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F)</m:t>
        </m:r>
      </m:oMath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F</m:t>
        </m:r>
      </m:oMath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множина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контекстних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умова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виконується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дозвіл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інакше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доступ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блокується</w:t>
      </w:r>
      <w:proofErr w:type="spellEnd"/>
      <w:r w:rsidR="00BC40C7" w:rsidRPr="00BC40C7">
        <w:rPr>
          <w:rFonts w:ascii="Times New Roman" w:hAnsi="Times New Roman" w:cs="Times New Roman"/>
          <w:sz w:val="28"/>
          <w:szCs w:val="28"/>
          <w:lang w:val="ru-RU"/>
        </w:rPr>
        <w:t xml:space="preserve"> [1, </w:t>
      </w:r>
      <w:r w:rsidR="00BC40C7" w:rsidRPr="00BC40C7">
        <w:rPr>
          <w:rFonts w:ascii="Times New Roman" w:hAnsi="Times New Roman" w:cs="Times New Roman"/>
          <w:sz w:val="28"/>
          <w:szCs w:val="28"/>
        </w:rPr>
        <w:t>c</w:t>
      </w:r>
      <w:r w:rsidR="00BC40C7" w:rsidRPr="00BC40C7">
        <w:rPr>
          <w:rFonts w:ascii="Times New Roman" w:hAnsi="Times New Roman" w:cs="Times New Roman"/>
          <w:sz w:val="28"/>
          <w:szCs w:val="28"/>
          <w:lang w:val="ru-RU"/>
        </w:rPr>
        <w:t>. 2784]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гнучке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довірою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можливістю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швидкої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ревізії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політик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2725" w:rsidRPr="00652725" w:rsidRDefault="00652725" w:rsidP="00652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Запропонована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архітектура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Zero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Trust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52725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п’ять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компонентів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52725">
        <w:rPr>
          <w:rFonts w:ascii="Times New Roman" w:hAnsi="Times New Roman" w:cs="Times New Roman"/>
          <w:sz w:val="28"/>
          <w:szCs w:val="28"/>
        </w:rPr>
        <w:t>Policy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Decision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Point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652725">
        <w:rPr>
          <w:rFonts w:ascii="Times New Roman" w:hAnsi="Times New Roman" w:cs="Times New Roman"/>
          <w:sz w:val="28"/>
          <w:szCs w:val="28"/>
        </w:rPr>
        <w:t>PDP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ухвалює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652725">
        <w:rPr>
          <w:rFonts w:ascii="Times New Roman" w:hAnsi="Times New Roman" w:cs="Times New Roman"/>
          <w:sz w:val="28"/>
          <w:szCs w:val="28"/>
        </w:rPr>
        <w:t>Policy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Enforcement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Point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652725">
        <w:rPr>
          <w:rFonts w:ascii="Times New Roman" w:hAnsi="Times New Roman" w:cs="Times New Roman"/>
          <w:sz w:val="28"/>
          <w:szCs w:val="28"/>
        </w:rPr>
        <w:t>PEP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шлюз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проксі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виконує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652725">
        <w:rPr>
          <w:rFonts w:ascii="Times New Roman" w:hAnsi="Times New Roman" w:cs="Times New Roman"/>
          <w:sz w:val="28"/>
          <w:szCs w:val="28"/>
        </w:rPr>
        <w:t>Identity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Provider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брокер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автентифікації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652725">
        <w:rPr>
          <w:rFonts w:ascii="Times New Roman" w:hAnsi="Times New Roman" w:cs="Times New Roman"/>
          <w:sz w:val="28"/>
          <w:szCs w:val="28"/>
        </w:rPr>
        <w:t>Telemetry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Monitor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збирач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поведінкових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пристроїв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652725">
        <w:rPr>
          <w:rFonts w:ascii="Times New Roman" w:hAnsi="Times New Roman" w:cs="Times New Roman"/>
          <w:sz w:val="28"/>
          <w:szCs w:val="28"/>
        </w:rPr>
        <w:t>Trust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Engine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механізм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обчислення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довіри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поведінкових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моделей і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телеметрії</w:t>
      </w:r>
      <w:proofErr w:type="spellEnd"/>
      <w:r w:rsidR="00BC40C7" w:rsidRPr="00BC40C7">
        <w:rPr>
          <w:rFonts w:ascii="Times New Roman" w:hAnsi="Times New Roman" w:cs="Times New Roman"/>
          <w:sz w:val="28"/>
          <w:szCs w:val="28"/>
          <w:lang w:val="ru-RU"/>
        </w:rPr>
        <w:t xml:space="preserve"> [1, </w:t>
      </w:r>
      <w:r w:rsidR="00BC40C7" w:rsidRPr="00BC40C7">
        <w:rPr>
          <w:rFonts w:ascii="Times New Roman" w:hAnsi="Times New Roman" w:cs="Times New Roman"/>
          <w:sz w:val="28"/>
          <w:szCs w:val="28"/>
        </w:rPr>
        <w:t>c</w:t>
      </w:r>
      <w:r w:rsidR="00BC40C7" w:rsidRPr="00BC40C7">
        <w:rPr>
          <w:rFonts w:ascii="Times New Roman" w:hAnsi="Times New Roman" w:cs="Times New Roman"/>
          <w:sz w:val="28"/>
          <w:szCs w:val="28"/>
          <w:lang w:val="ru-RU"/>
        </w:rPr>
        <w:t>. 2785–2786]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компоненти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взаємодіють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безперервного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контролю та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16C7" w:rsidRPr="008116C7" w:rsidRDefault="008116C7" w:rsidP="008116C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116C7">
        <w:rPr>
          <w:rFonts w:ascii="Times New Roman" w:hAnsi="Times New Roman" w:cs="Times New Roman"/>
          <w:bCs/>
          <w:sz w:val="28"/>
          <w:szCs w:val="28"/>
        </w:rPr>
        <w:t>Policy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Decision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Point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8116C7">
        <w:rPr>
          <w:rFonts w:ascii="Times New Roman" w:hAnsi="Times New Roman" w:cs="Times New Roman"/>
          <w:bCs/>
          <w:sz w:val="28"/>
          <w:szCs w:val="28"/>
        </w:rPr>
        <w:t>PDP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виступає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центральним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елементом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архітектури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який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основі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заданих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політик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поточного контексту (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атрибути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пристрою, ресурсу,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дії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середовища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ухвалює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рішення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 доступ.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Його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реалізація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може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базуватись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мікросервісах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із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інтеграцією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системи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типу </w:t>
      </w:r>
      <w:r w:rsidRPr="008116C7">
        <w:rPr>
          <w:rFonts w:ascii="Times New Roman" w:hAnsi="Times New Roman" w:cs="Times New Roman"/>
          <w:bCs/>
          <w:sz w:val="28"/>
          <w:szCs w:val="28"/>
        </w:rPr>
        <w:t>Kubernetes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чи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Open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Policy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Agent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масштабування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8116C7" w:rsidRPr="008116C7" w:rsidRDefault="008116C7" w:rsidP="008116C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116C7">
        <w:rPr>
          <w:rFonts w:ascii="Times New Roman" w:hAnsi="Times New Roman" w:cs="Times New Roman"/>
          <w:bCs/>
          <w:sz w:val="28"/>
          <w:szCs w:val="28"/>
        </w:rPr>
        <w:t>Policy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Enforcement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Point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8116C7">
        <w:rPr>
          <w:rFonts w:ascii="Times New Roman" w:hAnsi="Times New Roman" w:cs="Times New Roman"/>
          <w:bCs/>
          <w:sz w:val="28"/>
          <w:szCs w:val="28"/>
        </w:rPr>
        <w:t>PEP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зазвичай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реалізується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вигляді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шлюзу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між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</w:rPr>
        <w:t>IoT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пристроєм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ресурсом.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Він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виконує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рішення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PDP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контролює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трафік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шифрування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</w:rPr>
        <w:t>QoS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ізолює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пристрій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разі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порушень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політики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забезпечуючи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сегментацію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захист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критичних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компонентів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мережі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8116C7" w:rsidRPr="008116C7" w:rsidRDefault="008116C7" w:rsidP="008116C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116C7">
        <w:rPr>
          <w:rFonts w:ascii="Times New Roman" w:hAnsi="Times New Roman" w:cs="Times New Roman"/>
          <w:bCs/>
          <w:sz w:val="28"/>
          <w:szCs w:val="28"/>
        </w:rPr>
        <w:t>Identity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Provider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8116C7">
        <w:rPr>
          <w:rFonts w:ascii="Times New Roman" w:hAnsi="Times New Roman" w:cs="Times New Roman"/>
          <w:bCs/>
          <w:sz w:val="28"/>
          <w:szCs w:val="28"/>
        </w:rPr>
        <w:t>IDP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здійснює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автентифікацію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</w:rPr>
        <w:t>IoT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пристроїв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підтримуючи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сертифікати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8116C7">
        <w:rPr>
          <w:rFonts w:ascii="Times New Roman" w:hAnsi="Times New Roman" w:cs="Times New Roman"/>
          <w:bCs/>
          <w:sz w:val="28"/>
          <w:szCs w:val="28"/>
        </w:rPr>
        <w:t>TPM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8116C7">
        <w:rPr>
          <w:rFonts w:ascii="Times New Roman" w:hAnsi="Times New Roman" w:cs="Times New Roman"/>
          <w:bCs/>
          <w:sz w:val="28"/>
          <w:szCs w:val="28"/>
        </w:rPr>
        <w:t>Device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Fingerprinting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токени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8116C7">
        <w:rPr>
          <w:rFonts w:ascii="Times New Roman" w:hAnsi="Times New Roman" w:cs="Times New Roman"/>
          <w:bCs/>
          <w:sz w:val="28"/>
          <w:szCs w:val="28"/>
        </w:rPr>
        <w:t>OAuth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2, </w:t>
      </w:r>
      <w:r w:rsidRPr="008116C7">
        <w:rPr>
          <w:rFonts w:ascii="Times New Roman" w:hAnsi="Times New Roman" w:cs="Times New Roman"/>
          <w:bCs/>
          <w:sz w:val="28"/>
          <w:szCs w:val="28"/>
        </w:rPr>
        <w:t>JWT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 і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протоколи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FIDO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2/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</w:rPr>
        <w:t>WebAuthn</w:t>
      </w:r>
      <w:proofErr w:type="spellEnd"/>
      <w:r w:rsidR="00BC40C7" w:rsidRPr="00BC40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[2, </w:t>
      </w:r>
      <w:r w:rsidR="00BC40C7" w:rsidRPr="00BC40C7">
        <w:rPr>
          <w:rFonts w:ascii="Times New Roman" w:hAnsi="Times New Roman" w:cs="Times New Roman"/>
          <w:bCs/>
          <w:sz w:val="28"/>
          <w:szCs w:val="28"/>
        </w:rPr>
        <w:t>c</w:t>
      </w:r>
      <w:r w:rsidR="00BC40C7" w:rsidRPr="00BC40C7">
        <w:rPr>
          <w:rFonts w:ascii="Times New Roman" w:hAnsi="Times New Roman" w:cs="Times New Roman"/>
          <w:bCs/>
          <w:sz w:val="28"/>
          <w:szCs w:val="28"/>
          <w:lang w:val="ru-RU"/>
        </w:rPr>
        <w:t>. 640]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Також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IDP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формує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атрибути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подальшої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обробки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PDP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8116C7" w:rsidRPr="008116C7" w:rsidRDefault="008116C7" w:rsidP="008116C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116C7">
        <w:rPr>
          <w:rFonts w:ascii="Times New Roman" w:hAnsi="Times New Roman" w:cs="Times New Roman"/>
          <w:bCs/>
          <w:sz w:val="28"/>
          <w:szCs w:val="28"/>
        </w:rPr>
        <w:t>Telemetry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Monitor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8116C7">
        <w:rPr>
          <w:rFonts w:ascii="Times New Roman" w:hAnsi="Times New Roman" w:cs="Times New Roman"/>
          <w:bCs/>
          <w:sz w:val="28"/>
          <w:szCs w:val="28"/>
        </w:rPr>
        <w:t>TM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постійно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збирає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поведінкові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дані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навантаження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8116C7">
        <w:rPr>
          <w:rFonts w:ascii="Times New Roman" w:hAnsi="Times New Roman" w:cs="Times New Roman"/>
          <w:bCs/>
          <w:sz w:val="28"/>
          <w:szCs w:val="28"/>
        </w:rPr>
        <w:t>API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запити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протоколи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нормалізує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їх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передає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r w:rsidRPr="008116C7">
        <w:rPr>
          <w:rFonts w:ascii="Times New Roman" w:hAnsi="Times New Roman" w:cs="Times New Roman"/>
          <w:bCs/>
          <w:sz w:val="28"/>
          <w:szCs w:val="28"/>
        </w:rPr>
        <w:t>Trust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Engine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8116C7">
        <w:rPr>
          <w:rFonts w:ascii="Times New Roman" w:hAnsi="Times New Roman" w:cs="Times New Roman"/>
          <w:bCs/>
          <w:sz w:val="28"/>
          <w:szCs w:val="28"/>
        </w:rPr>
        <w:t>TE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який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формує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динамічний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Trust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Score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основі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історії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активності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шаблонів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поведінки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ризиків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8116C7">
        <w:rPr>
          <w:rFonts w:ascii="Times New Roman" w:hAnsi="Times New Roman" w:cs="Times New Roman"/>
          <w:bCs/>
          <w:sz w:val="28"/>
          <w:szCs w:val="28"/>
        </w:rPr>
        <w:t>TE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може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застосовувати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машинне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навчання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чи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нечітку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логіку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класифікації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пристроїв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рівнем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довіри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8116C7" w:rsidRPr="008116C7" w:rsidRDefault="008116C7" w:rsidP="008116C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Уся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система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працює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реальному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часі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після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підключення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нового пристрою </w:t>
      </w:r>
      <w:r w:rsidRPr="008116C7">
        <w:rPr>
          <w:rFonts w:ascii="Times New Roman" w:hAnsi="Times New Roman" w:cs="Times New Roman"/>
          <w:bCs/>
          <w:sz w:val="28"/>
          <w:szCs w:val="28"/>
        </w:rPr>
        <w:t>IDP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ідентифікує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його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8116C7">
        <w:rPr>
          <w:rFonts w:ascii="Times New Roman" w:hAnsi="Times New Roman" w:cs="Times New Roman"/>
          <w:bCs/>
          <w:sz w:val="28"/>
          <w:szCs w:val="28"/>
        </w:rPr>
        <w:t>PDP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приймає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рішення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урахуванням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оцінки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TE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а </w:t>
      </w:r>
      <w:r w:rsidRPr="008116C7">
        <w:rPr>
          <w:rFonts w:ascii="Times New Roman" w:hAnsi="Times New Roman" w:cs="Times New Roman"/>
          <w:bCs/>
          <w:sz w:val="28"/>
          <w:szCs w:val="28"/>
        </w:rPr>
        <w:t>PEP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забезпечує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виконання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Якщо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TM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виявляє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відхилення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поведінці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8116C7">
        <w:rPr>
          <w:rFonts w:ascii="Times New Roman" w:hAnsi="Times New Roman" w:cs="Times New Roman"/>
          <w:bCs/>
          <w:sz w:val="28"/>
          <w:szCs w:val="28"/>
        </w:rPr>
        <w:t>Trust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116C7">
        <w:rPr>
          <w:rFonts w:ascii="Times New Roman" w:hAnsi="Times New Roman" w:cs="Times New Roman"/>
          <w:bCs/>
          <w:sz w:val="28"/>
          <w:szCs w:val="28"/>
        </w:rPr>
        <w:t>Engine</w:t>
      </w:r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знижує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рівень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довіри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і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політика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доступу автоматично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змінюється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аж до </w:t>
      </w:r>
      <w:proofErr w:type="spellStart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>ізоляції</w:t>
      </w:r>
      <w:proofErr w:type="spellEnd"/>
      <w:r w:rsidRPr="00811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пристрою.</w:t>
      </w:r>
    </w:p>
    <w:p w:rsidR="00652725" w:rsidRPr="00652725" w:rsidRDefault="00652725" w:rsidP="00652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запропонований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певні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По-перше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низькі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пристроїв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унеможливлюють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повноцінну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локальну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перевірку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запитів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По-друге</w:t>
      </w:r>
      <w:proofErr w:type="spellEnd"/>
      <w:proofErr w:type="gramEnd"/>
      <w:r w:rsidRPr="00652725">
        <w:rPr>
          <w:rFonts w:ascii="Times New Roman" w:hAnsi="Times New Roman" w:cs="Times New Roman"/>
          <w:sz w:val="28"/>
          <w:szCs w:val="28"/>
          <w:lang w:val="ru-RU"/>
        </w:rPr>
        <w:t>, шлюз контролю (</w:t>
      </w:r>
      <w:r w:rsidRPr="00652725">
        <w:rPr>
          <w:rFonts w:ascii="Times New Roman" w:hAnsi="Times New Roman" w:cs="Times New Roman"/>
          <w:sz w:val="28"/>
          <w:szCs w:val="28"/>
        </w:rPr>
        <w:t>PEP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стати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єдиною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точкою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відмови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По-третє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реалізація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централізованого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журналювання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Pr="00652725">
        <w:rPr>
          <w:rFonts w:ascii="Times New Roman" w:hAnsi="Times New Roman" w:cs="Times New Roman"/>
          <w:sz w:val="28"/>
          <w:szCs w:val="28"/>
        </w:rPr>
        <w:t>SIEM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-системами для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повноцінного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загроз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у реальному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часі</w:t>
      </w:r>
      <w:proofErr w:type="spellEnd"/>
      <w:r w:rsidR="00BC40C7" w:rsidRPr="00BC40C7">
        <w:rPr>
          <w:rFonts w:ascii="Times New Roman" w:hAnsi="Times New Roman" w:cs="Times New Roman"/>
          <w:sz w:val="28"/>
          <w:szCs w:val="28"/>
          <w:lang w:val="ru-RU"/>
        </w:rPr>
        <w:t xml:space="preserve"> [2, </w:t>
      </w:r>
      <w:r w:rsidR="00BC40C7" w:rsidRPr="00BC40C7">
        <w:rPr>
          <w:rFonts w:ascii="Times New Roman" w:hAnsi="Times New Roman" w:cs="Times New Roman"/>
          <w:sz w:val="28"/>
          <w:szCs w:val="28"/>
        </w:rPr>
        <w:t>c</w:t>
      </w:r>
      <w:r w:rsidR="00BC40C7" w:rsidRPr="00BC40C7">
        <w:rPr>
          <w:rFonts w:ascii="Times New Roman" w:hAnsi="Times New Roman" w:cs="Times New Roman"/>
          <w:sz w:val="28"/>
          <w:szCs w:val="28"/>
          <w:lang w:val="ru-RU"/>
        </w:rPr>
        <w:t>. 646–647]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Незважаючи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запропонована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модель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демонструє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зниженні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ризику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компрометації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2725" w:rsidRPr="00652725" w:rsidRDefault="00652725" w:rsidP="00652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чином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розроблена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Pr="00652725">
        <w:rPr>
          <w:rFonts w:ascii="Times New Roman" w:hAnsi="Times New Roman" w:cs="Times New Roman"/>
          <w:sz w:val="28"/>
          <w:szCs w:val="28"/>
        </w:rPr>
        <w:t>Zero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Trust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52725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багаторівневий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атрибутивного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доступом,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довіри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поведінкового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мікросегментації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Надалі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планується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дослідити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автоматизації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політик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машинного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розширити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інтеграцію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хмарними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725">
        <w:rPr>
          <w:rFonts w:ascii="Times New Roman" w:hAnsi="Times New Roman" w:cs="Times New Roman"/>
          <w:sz w:val="28"/>
          <w:szCs w:val="28"/>
        </w:rPr>
        <w:t>SIEM</w:t>
      </w:r>
      <w:r w:rsidRPr="0065272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рішеннями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адаптувати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модель до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ресурсобідних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платфор</w:t>
      </w:r>
      <w:bookmarkStart w:id="0" w:name="_GoBack"/>
      <w:bookmarkEnd w:id="0"/>
      <w:r w:rsidRPr="00652725">
        <w:rPr>
          <w:rFonts w:ascii="Times New Roman" w:hAnsi="Times New Roman" w:cs="Times New Roman"/>
          <w:sz w:val="28"/>
          <w:szCs w:val="28"/>
          <w:lang w:val="ru-RU"/>
        </w:rPr>
        <w:t>м (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базі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</w:rPr>
        <w:t>MicroPython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2725">
        <w:rPr>
          <w:rFonts w:ascii="Times New Roman" w:hAnsi="Times New Roman" w:cs="Times New Roman"/>
          <w:sz w:val="28"/>
          <w:szCs w:val="28"/>
        </w:rPr>
        <w:t>TinyML</w:t>
      </w:r>
      <w:proofErr w:type="spellEnd"/>
      <w:r w:rsidRPr="00652725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B03BF6" w:rsidRPr="00652725" w:rsidRDefault="00463D5A" w:rsidP="00652725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2725">
        <w:rPr>
          <w:rFonts w:ascii="Times New Roman" w:hAnsi="Times New Roman" w:cs="Times New Roman"/>
          <w:b/>
          <w:sz w:val="24"/>
          <w:szCs w:val="24"/>
        </w:rPr>
        <w:t>Список</w:t>
      </w:r>
      <w:proofErr w:type="spellEnd"/>
      <w:r w:rsidRPr="00652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725">
        <w:rPr>
          <w:rFonts w:ascii="Times New Roman" w:hAnsi="Times New Roman" w:cs="Times New Roman"/>
          <w:b/>
          <w:sz w:val="24"/>
          <w:szCs w:val="24"/>
        </w:rPr>
        <w:t>літератури</w:t>
      </w:r>
      <w:proofErr w:type="spellEnd"/>
      <w:r w:rsidRPr="00652725">
        <w:rPr>
          <w:rFonts w:ascii="Times New Roman" w:hAnsi="Times New Roman" w:cs="Times New Roman"/>
          <w:b/>
          <w:sz w:val="24"/>
          <w:szCs w:val="24"/>
        </w:rPr>
        <w:t>:</w:t>
      </w:r>
    </w:p>
    <w:p w:rsidR="008116C7" w:rsidRPr="008116C7" w:rsidRDefault="008116C7" w:rsidP="00652725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116C7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R., Kumar C., Ahmed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Barbhuiya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F. ACS-FIT: A Secure and Efficient Access Control Scheme for Fog-enabled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// Proceedings of the 2020 IEEE International Conference on Systems, Man, and Cybernetics (SMC), Toronto, ON, Canada, 2020. – P. 2782–2789. – DOI: 10.1109/SMC42975.2020.9283362.</w:t>
      </w:r>
    </w:p>
    <w:p w:rsidR="00DB18BC" w:rsidRPr="00652725" w:rsidRDefault="008116C7" w:rsidP="008116C7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116C7">
        <w:rPr>
          <w:rFonts w:ascii="Times New Roman" w:hAnsi="Times New Roman" w:cs="Times New Roman"/>
          <w:sz w:val="24"/>
          <w:szCs w:val="24"/>
        </w:rPr>
        <w:t>Костюк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Ю.,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Хорольська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Бебешко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Б.,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Довженко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Коршун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Пазинін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Інструментальні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інформаційної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прихованих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загроз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інфраструктурі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хмарних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обчислень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Кібербезпека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16C7">
        <w:rPr>
          <w:rFonts w:ascii="Times New Roman" w:hAnsi="Times New Roman" w:cs="Times New Roman"/>
          <w:sz w:val="24"/>
          <w:szCs w:val="24"/>
        </w:rPr>
        <w:t>техніка</w:t>
      </w:r>
      <w:proofErr w:type="spellEnd"/>
      <w:r w:rsidRPr="008116C7">
        <w:rPr>
          <w:rFonts w:ascii="Times New Roman" w:hAnsi="Times New Roman" w:cs="Times New Roman"/>
          <w:sz w:val="24"/>
          <w:szCs w:val="24"/>
        </w:rPr>
        <w:t xml:space="preserve">. – 2025. – Т. 4, № 28. – С. 633–655. – DOI: </w:t>
      </w:r>
      <w:hyperlink r:id="rId5" w:tgtFrame="_new" w:history="1">
        <w:r w:rsidRPr="008116C7">
          <w:rPr>
            <w:rStyle w:val="a4"/>
            <w:rFonts w:ascii="Times New Roman" w:hAnsi="Times New Roman" w:cs="Times New Roman"/>
            <w:sz w:val="24"/>
            <w:szCs w:val="24"/>
          </w:rPr>
          <w:t>https://doi.org/10.28925/2663-4023.2025.28.857</w:t>
        </w:r>
      </w:hyperlink>
      <w:r w:rsidRPr="008116C7">
        <w:rPr>
          <w:rFonts w:ascii="Times New Roman" w:hAnsi="Times New Roman" w:cs="Times New Roman"/>
          <w:sz w:val="24"/>
          <w:szCs w:val="24"/>
        </w:rPr>
        <w:t>.</w:t>
      </w:r>
    </w:p>
    <w:sectPr w:rsidR="00DB18BC" w:rsidRPr="00652725" w:rsidSect="008116C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25EF"/>
    <w:multiLevelType w:val="hybridMultilevel"/>
    <w:tmpl w:val="F1665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161C1"/>
    <w:multiLevelType w:val="multilevel"/>
    <w:tmpl w:val="0A5A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9A216B"/>
    <w:multiLevelType w:val="hybridMultilevel"/>
    <w:tmpl w:val="85E2A7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92"/>
    <w:rsid w:val="000D2910"/>
    <w:rsid w:val="000F0180"/>
    <w:rsid w:val="00164E9B"/>
    <w:rsid w:val="00244A4B"/>
    <w:rsid w:val="002A1C0B"/>
    <w:rsid w:val="003633E6"/>
    <w:rsid w:val="00430B21"/>
    <w:rsid w:val="00454B6D"/>
    <w:rsid w:val="00463D5A"/>
    <w:rsid w:val="00620E4E"/>
    <w:rsid w:val="00621E52"/>
    <w:rsid w:val="00652725"/>
    <w:rsid w:val="0075648C"/>
    <w:rsid w:val="007D1C6D"/>
    <w:rsid w:val="008116C7"/>
    <w:rsid w:val="00A25F92"/>
    <w:rsid w:val="00A91D72"/>
    <w:rsid w:val="00B03BF6"/>
    <w:rsid w:val="00B1185B"/>
    <w:rsid w:val="00BC40C7"/>
    <w:rsid w:val="00DB18BC"/>
    <w:rsid w:val="00F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B7AB"/>
  <w15:chartTrackingRefBased/>
  <w15:docId w15:val="{2EDB219E-344C-4AC6-AB69-1D0689AF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18B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21E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8925/2663-4023.2025.28.8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yulia07041980yulia@gmail.com</dc:creator>
  <cp:keywords/>
  <dc:description/>
  <cp:lastModifiedBy>yulia07041980yulia@gmail.com</cp:lastModifiedBy>
  <cp:revision>117</cp:revision>
  <dcterms:created xsi:type="dcterms:W3CDTF">2025-07-09T12:05:00Z</dcterms:created>
  <dcterms:modified xsi:type="dcterms:W3CDTF">2025-07-11T22:02:00Z</dcterms:modified>
</cp:coreProperties>
</file>