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AF48" w14:textId="3A9CD651" w:rsidR="00CF4802" w:rsidRPr="00A56636" w:rsidRDefault="00CF4802" w:rsidP="00A566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Корецький Богдан</w:t>
      </w:r>
      <w:r w:rsidR="00A56636" w:rsidRPr="00A566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636">
        <w:rPr>
          <w:rFonts w:ascii="Times New Roman" w:hAnsi="Times New Roman" w:cs="Times New Roman"/>
          <w:sz w:val="28"/>
          <w:szCs w:val="28"/>
          <w:lang w:val="uk-UA"/>
        </w:rPr>
        <w:t>Сергійович, студент</w:t>
      </w:r>
    </w:p>
    <w:p w14:paraId="2A7D9C57" w14:textId="77777777" w:rsidR="00A56636" w:rsidRPr="00CF4802" w:rsidRDefault="00A56636" w:rsidP="00A5663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4802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Івано-Франківський національний технічний університет нафти і газу, </w:t>
      </w:r>
    </w:p>
    <w:p w14:paraId="2FE3705A" w14:textId="325103C1" w:rsidR="00A56636" w:rsidRDefault="00A56636" w:rsidP="00A5663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4802">
        <w:rPr>
          <w:rFonts w:ascii="Times New Roman" w:hAnsi="Times New Roman" w:cs="Times New Roman"/>
          <w:sz w:val="28"/>
          <w:szCs w:val="28"/>
          <w:lang w:val="uk-UA"/>
        </w:rPr>
        <w:t>м. Івано-Франківськ</w:t>
      </w:r>
      <w:r w:rsidRPr="00CF480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D975E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F4802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</w:p>
    <w:p w14:paraId="6909DC47" w14:textId="40ED4EAF" w:rsidR="00687FD4" w:rsidRPr="00687FD4" w:rsidRDefault="00687FD4" w:rsidP="00A5663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B19E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https://orcid.org/0009-0003-0936-7095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E5CEC6" w14:textId="77777777" w:rsidR="00CF4802" w:rsidRPr="00CF4802" w:rsidRDefault="00CF4802" w:rsidP="00A5663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4802">
        <w:rPr>
          <w:rFonts w:ascii="Times New Roman" w:hAnsi="Times New Roman" w:cs="Times New Roman"/>
          <w:sz w:val="28"/>
          <w:szCs w:val="28"/>
          <w:lang w:val="uk-UA"/>
        </w:rPr>
        <w:t>Розловська</w:t>
      </w:r>
      <w:proofErr w:type="spellEnd"/>
      <w:r w:rsidRPr="00CF4802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Євгеніївна, </w:t>
      </w:r>
      <w:proofErr w:type="spellStart"/>
      <w:r w:rsidRPr="00CF4802">
        <w:rPr>
          <w:rFonts w:ascii="Times New Roman" w:hAnsi="Times New Roman" w:cs="Times New Roman"/>
          <w:sz w:val="28"/>
          <w:szCs w:val="28"/>
          <w:lang w:val="uk-UA"/>
        </w:rPr>
        <w:t>к.геол.н</w:t>
      </w:r>
      <w:proofErr w:type="spellEnd"/>
      <w:r w:rsidRPr="00CF4802">
        <w:rPr>
          <w:rFonts w:ascii="Times New Roman" w:hAnsi="Times New Roman" w:cs="Times New Roman"/>
          <w:sz w:val="28"/>
          <w:szCs w:val="28"/>
          <w:lang w:val="uk-UA"/>
        </w:rPr>
        <w:t>., доцент</w:t>
      </w:r>
    </w:p>
    <w:p w14:paraId="393A4631" w14:textId="77777777" w:rsidR="00CF4802" w:rsidRPr="00CF4802" w:rsidRDefault="00CF4802" w:rsidP="00A5663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4802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Івано-Франківський національний технічний університет нафти і газу, </w:t>
      </w:r>
    </w:p>
    <w:p w14:paraId="0BA38B7D" w14:textId="77777777" w:rsidR="00CF4802" w:rsidRPr="00CF4802" w:rsidRDefault="00CF4802" w:rsidP="00A5663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4802">
        <w:rPr>
          <w:rFonts w:ascii="Times New Roman" w:hAnsi="Times New Roman" w:cs="Times New Roman"/>
          <w:sz w:val="28"/>
          <w:szCs w:val="28"/>
          <w:lang w:val="uk-UA"/>
        </w:rPr>
        <w:t>м. Івано-Франківськ</w:t>
      </w:r>
      <w:r w:rsidRPr="00CF480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CF480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F4802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</w:p>
    <w:p w14:paraId="1C2AEB0B" w14:textId="77777777" w:rsidR="00CF4802" w:rsidRDefault="00687FD4" w:rsidP="00A566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CF4802" w:rsidRPr="00ED2414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https://orcid.org/0000-0002-9259-6774</w:t>
        </w:r>
      </w:hyperlink>
    </w:p>
    <w:p w14:paraId="3587B40D" w14:textId="77777777" w:rsidR="00CF4802" w:rsidRDefault="00CF4802" w:rsidP="00A5663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2133343" w14:textId="77777777" w:rsidR="00CF4802" w:rsidRDefault="00005158" w:rsidP="00A5663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КОЕФІЦІЄНТА ПОРИСТОСТІ ДЛЯ СЕРПУХІВСЬКИХ ВІДКЛАДІВ </w:t>
      </w:r>
      <w:r w:rsidRPr="00005158">
        <w:rPr>
          <w:rFonts w:ascii="Times New Roman" w:hAnsi="Times New Roman" w:cs="Times New Roman"/>
          <w:b/>
          <w:sz w:val="28"/>
          <w:szCs w:val="28"/>
          <w:lang w:val="uk-UA"/>
        </w:rPr>
        <w:t>ПІВНІЧНОЇ ПРИБОРТОВОЇ ЗОНИ ДДЗ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ДАНИМИ АКУСТИЧНОГО ТА ГАММА КАРОТАЖІВ</w:t>
      </w:r>
    </w:p>
    <w:p w14:paraId="25A25155" w14:textId="77777777" w:rsidR="00005158" w:rsidRPr="00005158" w:rsidRDefault="00005158" w:rsidP="00A566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16E200" w14:textId="616F5A6D" w:rsidR="00031DAD" w:rsidRPr="00704D59" w:rsidRDefault="00031DAD" w:rsidP="00D975E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2C">
        <w:rPr>
          <w:rFonts w:ascii="Times New Roman" w:hAnsi="Times New Roman" w:cs="Times New Roman"/>
          <w:sz w:val="28"/>
          <w:szCs w:val="28"/>
          <w:lang w:val="uk-UA"/>
        </w:rPr>
        <w:t>Пористість є одн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з найважливіших властивостей порід</w:t>
      </w:r>
      <w:r w:rsidR="00372A4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>колекторів, від яких залежить накопичення вуглеводнів та їх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віддача при розробці. </w:t>
      </w:r>
      <w:r w:rsidR="00372A43" w:rsidRPr="00372A43">
        <w:rPr>
          <w:rFonts w:ascii="Times New Roman" w:hAnsi="Times New Roman" w:cs="Times New Roman"/>
          <w:sz w:val="28"/>
          <w:szCs w:val="28"/>
          <w:lang w:val="uk-UA"/>
        </w:rPr>
        <w:t xml:space="preserve">При геофізичних дослідженнях нафтогазових свердловин з метою оцінки ємнісних параметрів колекторів </w:t>
      </w:r>
      <w:r w:rsidR="00372A43" w:rsidRPr="00372A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актуальною є задача визначення за даними АК пористості теригенних колекторів </w:t>
      </w:r>
      <w:r w:rsidR="00372A43" w:rsidRPr="00372A43">
        <w:rPr>
          <w:rFonts w:ascii="Times New Roman" w:hAnsi="Times New Roman" w:cs="Times New Roman"/>
          <w:sz w:val="28"/>
          <w:szCs w:val="28"/>
          <w:lang w:val="uk-UA"/>
        </w:rPr>
        <w:t>з врахуванням глинистості</w:t>
      </w:r>
      <w:r w:rsidR="00372A43" w:rsidRPr="00372A4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особливо </w:t>
      </w:r>
      <w:r w:rsidR="00372A43" w:rsidRPr="00372A43">
        <w:rPr>
          <w:rFonts w:ascii="Times New Roman" w:hAnsi="Times New Roman" w:cs="Times New Roman"/>
          <w:sz w:val="28"/>
          <w:szCs w:val="28"/>
          <w:lang w:val="uk-UA"/>
        </w:rPr>
        <w:t>на етапі оперативної інтерпретації даних ГДС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372A43" w:rsidRPr="00372A4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72A43">
        <w:rPr>
          <w:noProof/>
          <w:sz w:val="28"/>
          <w:szCs w:val="28"/>
          <w:lang w:val="uk-UA"/>
        </w:rPr>
        <w:t xml:space="preserve"> 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>Точність визначення пористості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за геофізичними методами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відіграє ключову роль 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>при побудові просторової моделі колекторів та розумінні їх</w:t>
      </w:r>
      <w:r w:rsidR="00372A43"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продуктивності.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E8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Важливим кроком цього процесу 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є з’ясування</w:t>
      </w:r>
      <w:r w:rsidR="00141E8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емпіричної залежності для пористості, яка 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="00141E8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1E8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дани</w:t>
      </w:r>
      <w:r w:rsidR="00141E8D">
        <w:rPr>
          <w:rFonts w:ascii="Times New Roman" w:hAnsi="Times New Roman" w:cs="Times New Roman"/>
          <w:sz w:val="28"/>
          <w:szCs w:val="28"/>
          <w:lang w:val="uk-UA"/>
        </w:rPr>
        <w:t>ми ГДС</w:t>
      </w:r>
      <w:r w:rsidR="00141E8D" w:rsidRPr="00592E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E8F5B7" w14:textId="77777777" w:rsidR="003E64C4" w:rsidRPr="00592E2C" w:rsidRDefault="00031DAD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Для виведення 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емпіричної 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>формули було зібрано та проаналізовано множинні кореляці</w:t>
      </w:r>
      <w:r w:rsidR="00967D1E" w:rsidRPr="00592E2C">
        <w:rPr>
          <w:rFonts w:ascii="Times New Roman" w:hAnsi="Times New Roman" w:cs="Times New Roman"/>
          <w:sz w:val="28"/>
          <w:szCs w:val="28"/>
          <w:lang w:val="uk-UA"/>
        </w:rPr>
        <w:t>йні залежності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>зразками порід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для яких відома пористість за керном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відповідними значеннями акустичного та гамма </w:t>
      </w:r>
      <w:proofErr w:type="spellStart"/>
      <w:r w:rsidRPr="00592E2C">
        <w:rPr>
          <w:rFonts w:ascii="Times New Roman" w:hAnsi="Times New Roman" w:cs="Times New Roman"/>
          <w:sz w:val="28"/>
          <w:szCs w:val="28"/>
          <w:lang w:val="uk-UA"/>
        </w:rPr>
        <w:t>каротажів</w:t>
      </w:r>
      <w:proofErr w:type="spellEnd"/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E81CF5">
        <w:rPr>
          <w:rFonts w:ascii="Times New Roman" w:hAnsi="Times New Roman" w:cs="Times New Roman"/>
          <w:sz w:val="28"/>
          <w:szCs w:val="28"/>
          <w:lang w:val="uk-UA"/>
        </w:rPr>
        <w:t>серпухівських</w:t>
      </w:r>
      <w:proofErr w:type="spellEnd"/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</w:t>
      </w:r>
      <w:r w:rsidR="00E81CF5" w:rsidRPr="00E81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1CF5" w:rsidRPr="00592E2C">
        <w:rPr>
          <w:rFonts w:ascii="Times New Roman" w:hAnsi="Times New Roman" w:cs="Times New Roman"/>
          <w:sz w:val="28"/>
          <w:szCs w:val="28"/>
          <w:lang w:val="uk-UA"/>
        </w:rPr>
        <w:t>нафтогазоконденсатного</w:t>
      </w:r>
      <w:proofErr w:type="spellEnd"/>
      <w:r w:rsidR="00E81CF5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родовища північної прибортової зони ДДЗ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E50" w:rsidRPr="00592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Аналіз одержаних залежностей показує, що між параметрами </w:t>
      </w:r>
      <w:r w:rsidR="00EB667B" w:rsidRPr="00E81CF5">
        <w:rPr>
          <w:rFonts w:ascii="Times New Roman" w:hAnsi="Times New Roman" w:cs="Times New Roman"/>
          <w:i/>
          <w:sz w:val="28"/>
          <w:szCs w:val="28"/>
          <w:lang w:val="uk-UA"/>
        </w:rPr>
        <w:t>∆T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EB667B" w:rsidRPr="00E81CF5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EB667B" w:rsidRPr="00E81CF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задовільний кореляційний зв’язок</w:t>
      </w:r>
      <w:r w:rsidR="00CD233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(рис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33D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, а при введенні в залежності 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>різницев</w:t>
      </w:r>
      <w:r w:rsidR="00D4488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>параметр</w:t>
      </w:r>
      <w:r w:rsidR="00D448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 xml:space="preserve">гамма-каротажу (ГК) </w:t>
      </w:r>
      <w:r w:rsidR="00EB667B" w:rsidRPr="00E81CF5">
        <w:rPr>
          <w:rFonts w:ascii="Times New Roman" w:hAnsi="Times New Roman" w:cs="Times New Roman"/>
          <w:i/>
          <w:sz w:val="28"/>
          <w:szCs w:val="28"/>
          <w:lang w:val="uk-UA"/>
        </w:rPr>
        <w:t>∆Iγ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для врахування глинистості тіснота зв’язку стає ще більшою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81CF5" w:rsidRPr="00E81C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>. Залучення в кореляцію параметр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67B" w:rsidRPr="00E81CF5">
        <w:rPr>
          <w:rFonts w:ascii="Times New Roman" w:hAnsi="Times New Roman" w:cs="Times New Roman"/>
          <w:i/>
          <w:sz w:val="28"/>
          <w:szCs w:val="28"/>
          <w:lang w:val="uk-UA"/>
        </w:rPr>
        <w:t>∆Iγ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не тільки покращити кореляційний зв’язок, а й 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закономірно 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підвищити точність оцінки пористості 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81CF5" w:rsidRPr="00E81CF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АК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>, оскільки врахову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81CF5">
        <w:rPr>
          <w:rFonts w:ascii="Times New Roman" w:hAnsi="Times New Roman" w:cs="Times New Roman"/>
          <w:sz w:val="28"/>
          <w:szCs w:val="28"/>
          <w:lang w:val="uk-UA"/>
        </w:rPr>
        <w:t xml:space="preserve"> параметр глинистості для колекторів</w:t>
      </w:r>
      <w:r w:rsidR="00EB667B" w:rsidRPr="00592E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4355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272D8C" w14:textId="77777777" w:rsidR="00967D1E" w:rsidRPr="00592E2C" w:rsidRDefault="00687FD4" w:rsidP="00A566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72512B3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.4pt;margin-top:83.65pt;width:43.8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" filled="f" stroked="f">
            <v:textbox style="mso-next-textbox:#Text Box 2;mso-fit-shape-to-text:t">
              <w:txbxContent>
                <w:p w14:paraId="2338D4A5" w14:textId="77777777" w:rsidR="005531F2" w:rsidRPr="005531F2" w:rsidRDefault="005531F2" w:rsidP="005531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 = 32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2EF3E979">
          <v:shape id="_x0000_s1027" type="#_x0000_t202" style="position:absolute;left:0;text-align:left;margin-left:87.15pt;margin-top:-.2pt;width:4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YkDgIAAPs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" filled="f" stroked="f">
            <v:textbox style="mso-next-textbox:#_x0000_s1027;mso-fit-shape-to-text:t">
              <w:txbxContent>
                <w:p w14:paraId="4DE648F7" w14:textId="77777777" w:rsidR="009917AC" w:rsidRPr="009917AC" w:rsidRDefault="009917AC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proofErr w:type="spellStart"/>
                  <w:r w:rsidRPr="009917AC">
                    <w:rPr>
                      <w:rFonts w:ascii="Times New Roman" w:hAnsi="Times New Roman" w:cs="Times New Roman"/>
                      <w:lang w:val="uk-UA"/>
                    </w:rPr>
                    <w:t>К</w:t>
                  </w:r>
                  <w:r w:rsidRPr="00267BA8">
                    <w:rPr>
                      <w:rFonts w:ascii="Times New Roman" w:hAnsi="Times New Roman" w:cs="Times New Roman"/>
                      <w:lang w:val="uk-UA"/>
                    </w:rPr>
                    <w:t>п</w:t>
                  </w:r>
                  <w:proofErr w:type="spellEnd"/>
                  <w:r w:rsidRPr="009917AC">
                    <w:rPr>
                      <w:rFonts w:ascii="Times New Roman" w:hAnsi="Times New Roman" w:cs="Times New Roman"/>
                      <w:lang w:val="uk-UA"/>
                    </w:rPr>
                    <w:t>, %</w:t>
                  </w:r>
                </w:p>
              </w:txbxContent>
            </v:textbox>
          </v:shape>
        </w:pict>
      </w:r>
      <w:r w:rsidR="00CD233D" w:rsidRPr="00592E2C">
        <w:rPr>
          <w:noProof/>
          <w:lang w:val="uk-UA" w:eastAsia="uk-UA"/>
        </w:rPr>
        <w:drawing>
          <wp:inline distT="0" distB="0" distL="0" distR="0" wp14:anchorId="5E50909C" wp14:editId="53C89FB7">
            <wp:extent cx="5044440" cy="23469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5B38A1-14BB-46E9-ADB3-52F44721A3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0B12F4" w14:textId="77777777" w:rsidR="00587B1A" w:rsidRPr="00592E2C" w:rsidRDefault="00587B1A" w:rsidP="00A566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2E2C">
        <w:rPr>
          <w:rFonts w:ascii="Times New Roman" w:hAnsi="Times New Roman" w:cs="Times New Roman"/>
          <w:sz w:val="28"/>
          <w:szCs w:val="28"/>
          <w:lang w:val="uk-UA"/>
        </w:rPr>
        <w:t>Рисунок 1 – Залежність пористості, визначеної за керном, та інтервальним часом пробігу початку поздовжньої хвилі</w:t>
      </w:r>
    </w:p>
    <w:p w14:paraId="70E2CBDE" w14:textId="77777777" w:rsidR="0057709B" w:rsidRDefault="0057709B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40174" w14:textId="77777777" w:rsidR="000019FF" w:rsidRDefault="00D912F2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рівняння </w:t>
      </w:r>
      <w:r w:rsidR="00D4488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коефіцієнта 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пористості були взяті 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>лабораторні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за керном для колекторів </w:t>
      </w:r>
      <w:proofErr w:type="spellStart"/>
      <w:r w:rsidR="003762D0" w:rsidRPr="003762D0">
        <w:rPr>
          <w:rFonts w:ascii="Times New Roman" w:hAnsi="Times New Roman" w:cs="Times New Roman"/>
          <w:sz w:val="28"/>
          <w:szCs w:val="28"/>
          <w:lang w:val="uk-UA"/>
        </w:rPr>
        <w:t>верхньо-серпуховських</w:t>
      </w:r>
      <w:proofErr w:type="spellEnd"/>
      <w:r w:rsidR="003762D0" w:rsidRPr="003762D0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, інтервальний час пробігу 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>вступу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поздовжньої хвилі для відповідник горизонтів, та значення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 xml:space="preserve">різницевого 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>параметр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 xml:space="preserve"> ГК </w:t>
      </w:r>
      <w:r w:rsidRPr="0057709B">
        <w:rPr>
          <w:rFonts w:ascii="Times New Roman" w:hAnsi="Times New Roman" w:cs="Times New Roman"/>
          <w:i/>
          <w:sz w:val="28"/>
          <w:szCs w:val="28"/>
          <w:lang w:val="uk-UA"/>
        </w:rPr>
        <w:t>∆Iγ</w:t>
      </w:r>
      <w:r w:rsidR="00D4488B">
        <w:rPr>
          <w:rFonts w:ascii="Times New Roman" w:hAnsi="Times New Roman" w:cs="Times New Roman"/>
          <w:sz w:val="28"/>
          <w:szCs w:val="28"/>
          <w:lang w:val="uk-UA"/>
        </w:rPr>
        <w:t xml:space="preserve"> для низки свердловин </w:t>
      </w:r>
      <w:proofErr w:type="spellStart"/>
      <w:r w:rsidR="00D4488B">
        <w:rPr>
          <w:rFonts w:ascii="Times New Roman" w:hAnsi="Times New Roman" w:cs="Times New Roman"/>
          <w:sz w:val="28"/>
          <w:szCs w:val="28"/>
          <w:lang w:val="uk-UA"/>
        </w:rPr>
        <w:t>нафтогазоконденсатного</w:t>
      </w:r>
      <w:proofErr w:type="spellEnd"/>
      <w:r w:rsidR="00D4488B">
        <w:rPr>
          <w:rFonts w:ascii="Times New Roman" w:hAnsi="Times New Roman" w:cs="Times New Roman"/>
          <w:sz w:val="28"/>
          <w:szCs w:val="28"/>
          <w:lang w:val="uk-UA"/>
        </w:rPr>
        <w:t xml:space="preserve"> родовища</w:t>
      </w:r>
      <w:r w:rsidR="00577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7B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бул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отриман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залежн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A89814" w14:textId="77777777" w:rsidR="000A00AF" w:rsidRPr="00592E2C" w:rsidRDefault="000A00AF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DF2868" w14:textId="77777777" w:rsidR="00D912F2" w:rsidRPr="00592E2C" w:rsidRDefault="00D912F2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09B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D4488B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r w:rsidRPr="0057709B">
        <w:rPr>
          <w:rFonts w:ascii="Times New Roman" w:hAnsi="Times New Roman" w:cs="Times New Roman"/>
          <w:i/>
          <w:sz w:val="28"/>
          <w:szCs w:val="28"/>
          <w:lang w:val="uk-UA"/>
        </w:rPr>
        <w:t>=-27.769+0.186</w:t>
      </w:r>
      <w:r w:rsidR="00650E29" w:rsidRPr="005770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∆T </w:t>
      </w:r>
      <w:r w:rsidRPr="0057709B">
        <w:rPr>
          <w:rFonts w:ascii="Times New Roman" w:hAnsi="Times New Roman" w:cs="Times New Roman"/>
          <w:i/>
          <w:sz w:val="28"/>
          <w:szCs w:val="28"/>
          <w:lang w:val="uk-UA"/>
        </w:rPr>
        <w:t>-8.708∆Iγ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4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2E2C">
        <w:rPr>
          <w:rFonts w:ascii="Times New Roman" w:hAnsi="Times New Roman" w:cs="Times New Roman"/>
          <w:sz w:val="28"/>
          <w:szCs w:val="28"/>
          <w:lang w:val="uk-UA"/>
        </w:rPr>
        <w:t>R = 0,896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</w:p>
    <w:p w14:paraId="491E0243" w14:textId="77777777" w:rsidR="000A00AF" w:rsidRDefault="000A00AF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98E12" w14:textId="77777777" w:rsidR="00650E29" w:rsidRDefault="000A00AF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2E2C" w:rsidRPr="00592E2C">
        <w:rPr>
          <w:rFonts w:ascii="Times New Roman" w:hAnsi="Times New Roman" w:cs="Times New Roman"/>
          <w:sz w:val="28"/>
          <w:szCs w:val="28"/>
          <w:lang w:val="uk-UA"/>
        </w:rPr>
        <w:t>исок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92E2C" w:rsidRPr="00592E2C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 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кореляції характеризу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>тісний зв’язок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 xml:space="preserve">між коефіцієнтом 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порист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, інтервальним часом пробігу поздовжньої хвилі та подвійним різницевим параметр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 xml:space="preserve"> ГК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. Внесення параметр</w:t>
      </w:r>
      <w:r w:rsidR="007252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глибини в статистичн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залежн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не вплинуло б на тісноту зв’язку, </w:t>
      </w:r>
      <w:r w:rsidR="00212665">
        <w:rPr>
          <w:rFonts w:ascii="Times New Roman" w:hAnsi="Times New Roman" w:cs="Times New Roman"/>
          <w:sz w:val="28"/>
          <w:szCs w:val="28"/>
          <w:lang w:val="uk-UA"/>
        </w:rPr>
        <w:t>тому що</w:t>
      </w:r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діапазон зміни глибин залягання </w:t>
      </w:r>
      <w:proofErr w:type="spellStart"/>
      <w:r w:rsidR="00592E2C">
        <w:rPr>
          <w:rFonts w:ascii="Times New Roman" w:hAnsi="Times New Roman" w:cs="Times New Roman"/>
          <w:sz w:val="28"/>
          <w:szCs w:val="28"/>
          <w:lang w:val="uk-UA"/>
        </w:rPr>
        <w:t>серпуховських</w:t>
      </w:r>
      <w:proofErr w:type="spellEnd"/>
      <w:r w:rsidR="00592E2C">
        <w:rPr>
          <w:rFonts w:ascii="Times New Roman" w:hAnsi="Times New Roman" w:cs="Times New Roman"/>
          <w:sz w:val="28"/>
          <w:szCs w:val="28"/>
          <w:lang w:val="uk-UA"/>
        </w:rPr>
        <w:t xml:space="preserve"> відкладів невеликий.</w:t>
      </w:r>
    </w:p>
    <w:p w14:paraId="63DC1830" w14:textId="77777777" w:rsidR="00643E45" w:rsidRDefault="00212665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Визначена з</w:t>
      </w:r>
      <w:r w:rsidR="00643E45">
        <w:rPr>
          <w:rFonts w:ascii="Times New Roman" w:hAnsi="Times New Roman" w:cs="Times New Roman"/>
          <w:sz w:val="28"/>
          <w:szCs w:val="28"/>
          <w:lang w:val="uk-UA"/>
        </w:rPr>
        <w:t>алежність була використана для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</w:t>
      </w:r>
      <w:r w:rsidR="00643E45">
        <w:rPr>
          <w:rFonts w:ascii="Times New Roman" w:hAnsi="Times New Roman" w:cs="Times New Roman"/>
          <w:sz w:val="28"/>
          <w:szCs w:val="28"/>
          <w:lang w:val="uk-UA"/>
        </w:rPr>
        <w:t xml:space="preserve"> значень пористості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серпухівських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колекторів 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свердловин,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кернові дані яких 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бра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>ли участ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статистичному аналізі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ході виведення емпіричних залежностей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. На рисунку 2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>веден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зіставлення пористостей, які були визначені за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762D0">
        <w:rPr>
          <w:rFonts w:ascii="Times New Roman" w:hAnsi="Times New Roman" w:cs="Times New Roman"/>
          <w:sz w:val="28"/>
          <w:szCs w:val="28"/>
          <w:lang w:val="uk-UA"/>
        </w:rPr>
        <w:t xml:space="preserve">им рівнянням та на керновому матеріалі. </w:t>
      </w:r>
    </w:p>
    <w:p w14:paraId="0D98C680" w14:textId="77777777" w:rsidR="00267BA8" w:rsidRDefault="00267BA8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3E6E8" w14:textId="77777777" w:rsidR="00643E45" w:rsidRPr="00592E2C" w:rsidRDefault="00687FD4" w:rsidP="00A566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52A410A9">
          <v:shape id="Text Box 6" o:spid="_x0000_s1028" type="#_x0000_t202" style="position:absolute;left:0;text-align:left;margin-left:318.6pt;margin-top:114.6pt;width:43.8pt;height:110.6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" filled="f" stroked="f">
            <v:textbox style="mso-next-textbox:#Text Box 6;mso-fit-shape-to-text:t">
              <w:txbxContent>
                <w:p w14:paraId="48FE9876" w14:textId="77777777" w:rsidR="00862F6A" w:rsidRPr="00862F6A" w:rsidRDefault="00862F6A" w:rsidP="00862F6A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 =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 w14:anchorId="7B2013C9">
          <v:shape id="Text Box 4" o:spid="_x0000_s1029" type="#_x0000_t202" style="position:absolute;left:0;text-align:left;margin-left:51.6pt;margin-top:0;width:93.6pt;height:2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" filled="f" stroked="f">
            <v:textbox style="mso-next-textbox:#Text Box 4;mso-fit-shape-to-text:t">
              <w:txbxContent>
                <w:p w14:paraId="297EA918" w14:textId="77777777" w:rsidR="00F51C3D" w:rsidRPr="00F51C3D" w:rsidRDefault="00F51C3D" w:rsidP="00F51C3D">
                  <w:pPr>
                    <w:spacing w:line="256" w:lineRule="auto"/>
                    <w:rPr>
                      <w:rFonts w:ascii="Times New Roman" w:eastAsia="Calibri" w:hAnsi="Times New Roman" w:cs="Times New Roman"/>
                      <w:lang w:val="uk-UA"/>
                    </w:rPr>
                  </w:pPr>
                  <w:proofErr w:type="spellStart"/>
                  <w:r w:rsidRPr="00F51C3D">
                    <w:rPr>
                      <w:rFonts w:ascii="Times New Roman" w:eastAsia="Calibri" w:hAnsi="Times New Roman" w:cs="Times New Roman"/>
                      <w:lang w:val="uk-UA"/>
                    </w:rPr>
                    <w:t>Кп</w:t>
                  </w:r>
                  <w:proofErr w:type="spellEnd"/>
                  <w:r w:rsidRPr="00862F6A">
                    <w:rPr>
                      <w:rFonts w:ascii="Times New Roman" w:eastAsia="Calibri" w:hAnsi="Times New Roman" w:cs="Times New Roman"/>
                      <w:vertAlign w:val="superscript"/>
                      <w:lang w:val="ru-RU"/>
                    </w:rPr>
                    <w:t>АК+ГК</w:t>
                  </w:r>
                  <w:r w:rsidRPr="00F51C3D">
                    <w:rPr>
                      <w:rFonts w:ascii="Times New Roman" w:eastAsia="Calibri" w:hAnsi="Times New Roman" w:cs="Times New Roman"/>
                      <w:lang w:val="uk-UA"/>
                    </w:rPr>
                    <w:t>, %</w:t>
                  </w:r>
                </w:p>
              </w:txbxContent>
            </v:textbox>
          </v:shape>
        </w:pict>
      </w:r>
      <w:r>
        <w:rPr>
          <w:noProof/>
        </w:rPr>
        <w:pict w14:anchorId="18A3F18B">
          <v:shape id="Text Box 3" o:spid="_x0000_s1030" type="#_x0000_t202" style="position:absolute;left:0;text-align:left;margin-left:436.2pt;margin-top:190.2pt;width:93.6pt;height:2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" filled="f" stroked="f">
            <v:textbox style="mso-next-textbox:#Text Box 3;mso-fit-shape-to-text:t">
              <w:txbxContent>
                <w:p w14:paraId="0D371208" w14:textId="77777777" w:rsidR="00F51C3D" w:rsidRPr="00F51C3D" w:rsidRDefault="00F51C3D" w:rsidP="00F51C3D">
                  <w:pPr>
                    <w:spacing w:line="256" w:lineRule="auto"/>
                    <w:rPr>
                      <w:rFonts w:ascii="Times New Roman" w:eastAsia="Calibri" w:hAnsi="Times New Roman" w:cs="Times New Roman"/>
                      <w:lang w:val="uk-UA"/>
                    </w:rPr>
                  </w:pPr>
                  <w:proofErr w:type="spellStart"/>
                  <w:r w:rsidRPr="00F51C3D">
                    <w:rPr>
                      <w:rFonts w:ascii="Times New Roman" w:eastAsia="Calibri" w:hAnsi="Times New Roman" w:cs="Times New Roman"/>
                      <w:lang w:val="uk-UA"/>
                    </w:rPr>
                    <w:t>Кп</w:t>
                  </w:r>
                  <w:r w:rsidRPr="00F51C3D">
                    <w:rPr>
                      <w:rFonts w:ascii="Times New Roman" w:eastAsia="Calibri" w:hAnsi="Times New Roman" w:cs="Times New Roman"/>
                      <w:vertAlign w:val="superscript"/>
                      <w:lang w:val="uk-UA"/>
                    </w:rPr>
                    <w:t>керн</w:t>
                  </w:r>
                  <w:proofErr w:type="spellEnd"/>
                  <w:r w:rsidRPr="00F51C3D">
                    <w:rPr>
                      <w:rFonts w:ascii="Times New Roman" w:eastAsia="Calibri" w:hAnsi="Times New Roman" w:cs="Times New Roman"/>
                      <w:lang w:val="uk-UA"/>
                    </w:rPr>
                    <w:t>, %</w:t>
                  </w:r>
                </w:p>
              </w:txbxContent>
            </v:textbox>
          </v:shape>
        </w:pict>
      </w:r>
      <w:r w:rsidR="008F4386">
        <w:rPr>
          <w:noProof/>
          <w:lang w:val="uk-UA" w:eastAsia="uk-UA"/>
        </w:rPr>
        <w:drawing>
          <wp:inline distT="0" distB="0" distL="0" distR="0" wp14:anchorId="64762E25" wp14:editId="24D53AAD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B1EB69B-96E4-4B97-9C4F-C68346B6C3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BE13EB" w14:textId="77777777" w:rsidR="00D912F2" w:rsidRDefault="00862F6A" w:rsidP="00A566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2 </w:t>
      </w:r>
      <w:r w:rsidR="0021266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значень пористості, визначених </w:t>
      </w:r>
      <w:r w:rsidR="00212665">
        <w:rPr>
          <w:rFonts w:ascii="Times New Roman" w:hAnsi="Times New Roman" w:cs="Times New Roman"/>
          <w:sz w:val="28"/>
          <w:szCs w:val="28"/>
          <w:lang w:val="uk-UA"/>
        </w:rPr>
        <w:t>за виведеною емпіричною залежністю та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керн</w:t>
      </w:r>
      <w:r w:rsidR="00212665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АК-ГК для колекторів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серпуховських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відкладів</w:t>
      </w:r>
    </w:p>
    <w:p w14:paraId="480EFCB5" w14:textId="77777777" w:rsidR="00862F6A" w:rsidRDefault="00862F6A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017989" w14:textId="77777777" w:rsidR="00862F6A" w:rsidRDefault="00862F6A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значень пористості показало, що значення </w:t>
      </w:r>
      <w:proofErr w:type="spellStart"/>
      <w:r w:rsidRPr="000A00AF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0A00AF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визначених 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 xml:space="preserve">знайденою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добре співпадають зі значеннями пористості 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керн</w:t>
      </w:r>
      <w:r w:rsidR="000A00AF">
        <w:rPr>
          <w:rFonts w:ascii="Times New Roman" w:hAnsi="Times New Roman" w:cs="Times New Roman"/>
          <w:sz w:val="28"/>
          <w:szCs w:val="28"/>
          <w:lang w:val="uk-UA"/>
        </w:rPr>
        <w:t>ом (</w:t>
      </w:r>
      <w:r w:rsidR="000A00AF">
        <w:rPr>
          <w:rFonts w:ascii="Times New Roman" w:hAnsi="Times New Roman" w:cs="Times New Roman"/>
          <w:sz w:val="28"/>
          <w:szCs w:val="28"/>
        </w:rPr>
        <w:t>R</w:t>
      </w:r>
      <w:r w:rsidR="000A00AF" w:rsidRPr="000A00AF">
        <w:rPr>
          <w:rFonts w:ascii="Times New Roman" w:hAnsi="Times New Roman" w:cs="Times New Roman"/>
          <w:sz w:val="28"/>
          <w:szCs w:val="28"/>
          <w:lang w:val="ru-RU"/>
        </w:rPr>
        <w:t>=0,94)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чином, використання методу АК в комплексі з ГК для оцінки пористості дає </w:t>
      </w:r>
      <w:r w:rsidR="00830B58">
        <w:rPr>
          <w:rFonts w:ascii="Times New Roman" w:hAnsi="Times New Roman" w:cs="Times New Roman"/>
          <w:sz w:val="28"/>
          <w:szCs w:val="28"/>
          <w:lang w:val="uk-UA"/>
        </w:rPr>
        <w:t>надійні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B58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DA01EB7" w14:textId="77777777" w:rsidR="000F7170" w:rsidRDefault="000F7170" w:rsidP="00A566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C710D3" w14:textId="77777777" w:rsidR="00830B58" w:rsidRPr="000F7170" w:rsidRDefault="00830B58" w:rsidP="00A56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B5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170"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>Фролова С.Є. Врахування глинистості порід-колекторів при визначенні коефіцієнта пористості за матеріалами акустичного каротажу. - Розвідка та розробка нафтових і газових родовищ.-Івано-Франківськ.-2010.-№1(34).-С.132-137.</w:t>
      </w:r>
    </w:p>
    <w:p w14:paraId="39DD3DED" w14:textId="77777777" w:rsidR="000F7170" w:rsidRPr="00830B58" w:rsidRDefault="000F7170" w:rsidP="00A56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>Розловська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С.Є., </w:t>
      </w:r>
      <w:proofErr w:type="spellStart"/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>Ганженко</w:t>
      </w:r>
      <w:proofErr w:type="spellEnd"/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Н.С.,</w:t>
      </w:r>
      <w:proofErr w:type="spellStart"/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>Муц</w:t>
      </w:r>
      <w:proofErr w:type="spellEnd"/>
      <w:r w:rsidRPr="000F71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К.І. Зіставлення різних способів визначення коефіцієнта пористості теригенних колекторів з врахуванням глинистості за даними акустичного каротажу. - Геодинаміка. – Львів. – 2013.- №1(14).–С.154-159.</w:t>
      </w:r>
    </w:p>
    <w:p w14:paraId="779D8DAD" w14:textId="77777777" w:rsidR="00D912F2" w:rsidRPr="00592E2C" w:rsidRDefault="00D912F2" w:rsidP="00A56636">
      <w:pPr>
        <w:tabs>
          <w:tab w:val="left" w:pos="2844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2F2" w:rsidRPr="00592E2C" w:rsidSect="00A5663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8D5"/>
    <w:multiLevelType w:val="hybridMultilevel"/>
    <w:tmpl w:val="BB6253D0"/>
    <w:lvl w:ilvl="0" w:tplc="A15E2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D4"/>
    <w:rsid w:val="000019FF"/>
    <w:rsid w:val="00005158"/>
    <w:rsid w:val="00031DAD"/>
    <w:rsid w:val="00061E50"/>
    <w:rsid w:val="000A00AF"/>
    <w:rsid w:val="000F7170"/>
    <w:rsid w:val="00141E8D"/>
    <w:rsid w:val="00212665"/>
    <w:rsid w:val="00267BA8"/>
    <w:rsid w:val="00283C63"/>
    <w:rsid w:val="002F6D71"/>
    <w:rsid w:val="00372A43"/>
    <w:rsid w:val="003762D0"/>
    <w:rsid w:val="003D09C7"/>
    <w:rsid w:val="003E64C4"/>
    <w:rsid w:val="004D0F4D"/>
    <w:rsid w:val="005531F2"/>
    <w:rsid w:val="005637E8"/>
    <w:rsid w:val="0057709B"/>
    <w:rsid w:val="00587B1A"/>
    <w:rsid w:val="00592E2C"/>
    <w:rsid w:val="005B4355"/>
    <w:rsid w:val="005D7671"/>
    <w:rsid w:val="005F30E5"/>
    <w:rsid w:val="00610C7F"/>
    <w:rsid w:val="00643E45"/>
    <w:rsid w:val="00650E29"/>
    <w:rsid w:val="00687FD4"/>
    <w:rsid w:val="00704D59"/>
    <w:rsid w:val="007252E5"/>
    <w:rsid w:val="007950FB"/>
    <w:rsid w:val="007A73D4"/>
    <w:rsid w:val="00830B58"/>
    <w:rsid w:val="00862F6A"/>
    <w:rsid w:val="008F4386"/>
    <w:rsid w:val="00967D1E"/>
    <w:rsid w:val="009917AC"/>
    <w:rsid w:val="00A56636"/>
    <w:rsid w:val="00BC5EF6"/>
    <w:rsid w:val="00CD233D"/>
    <w:rsid w:val="00CF4802"/>
    <w:rsid w:val="00D4488B"/>
    <w:rsid w:val="00D7706A"/>
    <w:rsid w:val="00D912F2"/>
    <w:rsid w:val="00D975E1"/>
    <w:rsid w:val="00E81CF5"/>
    <w:rsid w:val="00EB667B"/>
    <w:rsid w:val="00F51C3D"/>
    <w:rsid w:val="00FE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0FB66DA"/>
  <w15:docId w15:val="{7F120153-521B-409B-9972-FF728EBB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802"/>
    <w:rPr>
      <w:color w:val="5F5F5F" w:themeColor="hyperlink"/>
      <w:u w:val="single"/>
    </w:rPr>
  </w:style>
  <w:style w:type="paragraph" w:customStyle="1" w:styleId="a">
    <w:name w:val="Знак Знак Знак Знак"/>
    <w:basedOn w:val="Normal"/>
    <w:rsid w:val="00372A43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830B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6636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9259-6774" TargetMode="External"/><Relationship Id="rId5" Type="http://schemas.openxmlformats.org/officeDocument/2006/relationships/hyperlink" Target="https://orcid.org/0009-0003-0936-70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&#1059;&#1085;&#1110;&#1074;&#1077;&#1088;&#1089;&#1080;&#1090;&#1077;&#1090;\&#1052;&#1072;&#1075;&#1110;&#1089;&#1090;&#1088;&#1072;&#1090;&#1091;&#1088;&#1072;\&#1052;&#1072;&#1075;&#1110;&#1089;&#1090;&#1077;&#1088;&#1089;&#1100;&#1082;&#1072;%20&#1088;&#1086;&#1073;&#1086;&#1090;&#1072;\&#1057;&#1090;&#1072;&#1090;&#1080;&#1089;&#1090;&#1080;&#1082;&#1072;\&#1050;&#1086;&#1088;&#1077;&#1094;&#1100;&#1082;&#1080;&#1081;%20&#1041;.%20&#1051;&#1072;&#1073;&#1086;&#1088;&#1072;&#1090;&#1086;&#1088;&#1085;&#1072;%20&#1088;&#1086;&#1073;&#1086;&#1090;&#1072;%20&#8470;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9;&#1085;&#1110;&#1074;&#1077;&#1088;&#1089;&#1080;&#1090;&#1077;&#1090;\&#1052;&#1072;&#1075;&#1110;&#1089;&#1090;&#1088;&#1072;&#1090;&#1091;&#1088;&#1072;\&#1052;&#1072;&#1075;&#1110;&#1089;&#1090;&#1077;&#1088;&#1089;&#1100;&#1082;&#1072;%20&#1088;&#1086;&#1073;&#1086;&#1090;&#1072;\&#1057;&#1090;&#1072;&#1090;&#1080;&#1089;&#1090;&#1080;&#1082;&#1072;\&#1050;&#1086;&#1088;&#1077;&#1094;&#1100;&#1082;&#1080;&#1081;%20&#1041;.%20&#1051;&#1072;&#1073;&#1086;&#1088;&#1072;&#1090;&#1086;&#1088;&#1085;&#1072;%20&#1088;&#1086;&#1073;&#1086;&#1090;&#1072;%20&#8470;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69764731070246"/>
          <c:y val="0.14241210502892751"/>
          <c:w val="0.65711932345314872"/>
          <c:h val="0.75434682814180964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2581456018903981E-2"/>
                  <c:y val="-0.1427399700037495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en-US"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Кп</a:t>
                    </a:r>
                    <a:r>
                      <a:rPr lang="en-US" sz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0.2088</a:t>
                    </a:r>
                    <a:r>
                      <a:rPr lang="el-GR" sz="1200" baseline="0">
                        <a:solidFill>
                          <a:sysClr val="windowText" lastClr="000000"/>
                        </a:solidFill>
                        <a:latin typeface="Times New Roman"/>
                        <a:cs typeface="Times New Roman"/>
                      </a:rPr>
                      <a:t>Δ</a:t>
                    </a:r>
                    <a:r>
                      <a:rPr lang="uk-UA" sz="1200" baseline="0">
                        <a:solidFill>
                          <a:sysClr val="windowText" lastClr="000000"/>
                        </a:solidFill>
                        <a:latin typeface="Times New Roman"/>
                        <a:cs typeface="Times New Roman"/>
                      </a:rPr>
                      <a:t>Т</a:t>
                    </a:r>
                    <a:r>
                      <a:rPr lang="en-US" sz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- 35.112, R = 0.85</a:t>
                    </a:r>
                    <a:endParaRPr lang="en-US" sz="120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'Акутистика глинистість'!$B$38:$B$69</c:f>
              <c:numCache>
                <c:formatCode>0.00</c:formatCode>
                <c:ptCount val="32"/>
                <c:pt idx="0">
                  <c:v>250</c:v>
                </c:pt>
                <c:pt idx="1">
                  <c:v>272</c:v>
                </c:pt>
                <c:pt idx="2">
                  <c:v>276</c:v>
                </c:pt>
                <c:pt idx="3">
                  <c:v>235.55272727272705</c:v>
                </c:pt>
                <c:pt idx="4">
                  <c:v>246</c:v>
                </c:pt>
                <c:pt idx="5">
                  <c:v>244</c:v>
                </c:pt>
                <c:pt idx="6">
                  <c:v>256</c:v>
                </c:pt>
                <c:pt idx="7">
                  <c:v>246.49</c:v>
                </c:pt>
                <c:pt idx="8">
                  <c:v>277.86500000000001</c:v>
                </c:pt>
                <c:pt idx="9">
                  <c:v>232</c:v>
                </c:pt>
                <c:pt idx="10">
                  <c:v>224.0471014492754</c:v>
                </c:pt>
                <c:pt idx="11">
                  <c:v>246</c:v>
                </c:pt>
                <c:pt idx="12">
                  <c:v>241.48123287671234</c:v>
                </c:pt>
                <c:pt idx="13">
                  <c:v>220</c:v>
                </c:pt>
                <c:pt idx="14">
                  <c:v>256.28466666666674</c:v>
                </c:pt>
                <c:pt idx="15">
                  <c:v>261.81</c:v>
                </c:pt>
                <c:pt idx="16">
                  <c:v>254</c:v>
                </c:pt>
                <c:pt idx="17">
                  <c:v>235.47625000000002</c:v>
                </c:pt>
                <c:pt idx="18">
                  <c:v>245</c:v>
                </c:pt>
                <c:pt idx="19">
                  <c:v>252.46272727272734</c:v>
                </c:pt>
                <c:pt idx="20">
                  <c:v>254</c:v>
                </c:pt>
                <c:pt idx="21">
                  <c:v>256</c:v>
                </c:pt>
                <c:pt idx="22">
                  <c:v>246</c:v>
                </c:pt>
                <c:pt idx="23">
                  <c:v>230</c:v>
                </c:pt>
                <c:pt idx="24">
                  <c:v>238</c:v>
                </c:pt>
                <c:pt idx="25">
                  <c:v>248</c:v>
                </c:pt>
                <c:pt idx="26">
                  <c:v>260</c:v>
                </c:pt>
                <c:pt idx="27">
                  <c:v>226.70499999999998</c:v>
                </c:pt>
                <c:pt idx="28">
                  <c:v>243.07181818181817</c:v>
                </c:pt>
                <c:pt idx="29">
                  <c:v>240.14499999999998</c:v>
                </c:pt>
                <c:pt idx="30">
                  <c:v>228.00200000000001</c:v>
                </c:pt>
                <c:pt idx="31">
                  <c:v>237.14238095238099</c:v>
                </c:pt>
              </c:numCache>
            </c:numRef>
          </c:xVal>
          <c:yVal>
            <c:numRef>
              <c:f>'Акутистика глинистість'!$C$38:$C$69</c:f>
              <c:numCache>
                <c:formatCode>General</c:formatCode>
                <c:ptCount val="32"/>
                <c:pt idx="0">
                  <c:v>14.5</c:v>
                </c:pt>
                <c:pt idx="1">
                  <c:v>21.3</c:v>
                </c:pt>
                <c:pt idx="2">
                  <c:v>22.4</c:v>
                </c:pt>
                <c:pt idx="3">
                  <c:v>11</c:v>
                </c:pt>
                <c:pt idx="4">
                  <c:v>14.2</c:v>
                </c:pt>
                <c:pt idx="5">
                  <c:v>14.9</c:v>
                </c:pt>
                <c:pt idx="6">
                  <c:v>17.899999999999999</c:v>
                </c:pt>
                <c:pt idx="7">
                  <c:v>14.5</c:v>
                </c:pt>
                <c:pt idx="8">
                  <c:v>22.8</c:v>
                </c:pt>
                <c:pt idx="9">
                  <c:v>10.7</c:v>
                </c:pt>
                <c:pt idx="10">
                  <c:v>11</c:v>
                </c:pt>
                <c:pt idx="11">
                  <c:v>14.7</c:v>
                </c:pt>
                <c:pt idx="12">
                  <c:v>16.899999999999999</c:v>
                </c:pt>
                <c:pt idx="13">
                  <c:v>11.2</c:v>
                </c:pt>
                <c:pt idx="14">
                  <c:v>20.5</c:v>
                </c:pt>
                <c:pt idx="15">
                  <c:v>20.100000000000001</c:v>
                </c:pt>
                <c:pt idx="16">
                  <c:v>18</c:v>
                </c:pt>
                <c:pt idx="17">
                  <c:v>15.2</c:v>
                </c:pt>
                <c:pt idx="18">
                  <c:v>11.5</c:v>
                </c:pt>
                <c:pt idx="19">
                  <c:v>20.7</c:v>
                </c:pt>
                <c:pt idx="20">
                  <c:v>18.5</c:v>
                </c:pt>
                <c:pt idx="21">
                  <c:v>19.3</c:v>
                </c:pt>
                <c:pt idx="22">
                  <c:v>17.5</c:v>
                </c:pt>
                <c:pt idx="23">
                  <c:v>13.8</c:v>
                </c:pt>
                <c:pt idx="24">
                  <c:v>16.100000000000001</c:v>
                </c:pt>
                <c:pt idx="25">
                  <c:v>17.5</c:v>
                </c:pt>
                <c:pt idx="26">
                  <c:v>17.399999999999999</c:v>
                </c:pt>
                <c:pt idx="27">
                  <c:v>12</c:v>
                </c:pt>
                <c:pt idx="28">
                  <c:v>18.3</c:v>
                </c:pt>
                <c:pt idx="29">
                  <c:v>17.899999999999999</c:v>
                </c:pt>
                <c:pt idx="30">
                  <c:v>13.1</c:v>
                </c:pt>
                <c:pt idx="31">
                  <c:v>15.9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452-42E6-8208-671FB0389C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2164352"/>
        <c:axId val="122165504"/>
      </c:scatterChart>
      <c:valAx>
        <c:axId val="122164352"/>
        <c:scaling>
          <c:orientation val="minMax"/>
          <c:min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2165504"/>
        <c:crosses val="autoZero"/>
        <c:crossBetween val="midCat"/>
      </c:valAx>
      <c:valAx>
        <c:axId val="12216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221643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80927384076991E-2"/>
          <c:y val="0.13425925925925927"/>
          <c:w val="0.890196850393701"/>
          <c:h val="0.75834135316418827"/>
        </c:manualLayout>
      </c:layout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2113298337707787E-2"/>
                  <c:y val="-0.2048173665791776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en-US" sz="1200" b="0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 sz="1200" b="0" i="0" u="none" strike="noStrike" baseline="0"/>
                      <a:t>Кп</a:t>
                    </a:r>
                    <a:r>
                      <a:rPr lang="ru-RU" sz="1200" b="0" i="0" u="none" strike="noStrike" baseline="30000"/>
                      <a:t>АК+ГК</a:t>
                    </a:r>
                    <a:r>
                      <a:rPr lang="en-US" sz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0.947</a:t>
                    </a:r>
                    <a:r>
                      <a:rPr lang="uk-UA" sz="1200" b="0" i="0" u="none" strike="noStrike" baseline="0"/>
                      <a:t>Кп</a:t>
                    </a:r>
                    <a:r>
                      <a:rPr lang="uk-UA" sz="1200" b="0" i="0" u="none" strike="noStrike" baseline="30000"/>
                      <a:t>керн</a:t>
                    </a:r>
                    <a:r>
                      <a:rPr lang="en-US" sz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+ 0.9683, R = 0.94</a:t>
                    </a:r>
                    <a:endParaRPr lang="en-US" sz="1200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'Перевірка 1 св'!$J$2:$J$24</c:f>
              <c:numCache>
                <c:formatCode>General</c:formatCode>
                <c:ptCount val="23"/>
                <c:pt idx="0">
                  <c:v>14.5</c:v>
                </c:pt>
                <c:pt idx="1">
                  <c:v>15.7</c:v>
                </c:pt>
                <c:pt idx="2">
                  <c:v>17</c:v>
                </c:pt>
                <c:pt idx="3">
                  <c:v>15.2</c:v>
                </c:pt>
                <c:pt idx="4">
                  <c:v>24.8</c:v>
                </c:pt>
                <c:pt idx="5">
                  <c:v>21.3</c:v>
                </c:pt>
                <c:pt idx="6">
                  <c:v>13.7</c:v>
                </c:pt>
                <c:pt idx="7">
                  <c:v>19.8</c:v>
                </c:pt>
                <c:pt idx="8">
                  <c:v>16.3</c:v>
                </c:pt>
                <c:pt idx="9">
                  <c:v>18.8</c:v>
                </c:pt>
                <c:pt idx="10">
                  <c:v>21.3</c:v>
                </c:pt>
                <c:pt idx="11">
                  <c:v>22.4</c:v>
                </c:pt>
                <c:pt idx="12">
                  <c:v>14.2</c:v>
                </c:pt>
                <c:pt idx="13">
                  <c:v>14.7</c:v>
                </c:pt>
                <c:pt idx="14">
                  <c:v>11.2</c:v>
                </c:pt>
                <c:pt idx="15">
                  <c:v>11.5</c:v>
                </c:pt>
                <c:pt idx="16">
                  <c:v>18.5</c:v>
                </c:pt>
                <c:pt idx="17">
                  <c:v>19.3</c:v>
                </c:pt>
                <c:pt idx="18">
                  <c:v>17.5</c:v>
                </c:pt>
                <c:pt idx="19">
                  <c:v>13.8</c:v>
                </c:pt>
                <c:pt idx="20">
                  <c:v>16.100000000000001</c:v>
                </c:pt>
                <c:pt idx="21">
                  <c:v>17.5</c:v>
                </c:pt>
                <c:pt idx="22">
                  <c:v>17.399999999999999</c:v>
                </c:pt>
              </c:numCache>
            </c:numRef>
          </c:xVal>
          <c:yVal>
            <c:numRef>
              <c:f>'Перевірка 1 св'!$K$2:$K$24</c:f>
              <c:numCache>
                <c:formatCode>General</c:formatCode>
                <c:ptCount val="23"/>
                <c:pt idx="0">
                  <c:v>12.6</c:v>
                </c:pt>
                <c:pt idx="1">
                  <c:v>15.5</c:v>
                </c:pt>
                <c:pt idx="2" formatCode="0.00">
                  <c:v>16.567619047618994</c:v>
                </c:pt>
                <c:pt idx="3">
                  <c:v>16.600000000000001</c:v>
                </c:pt>
                <c:pt idx="4">
                  <c:v>23.6</c:v>
                </c:pt>
                <c:pt idx="5" formatCode="0.00">
                  <c:v>21.980281690140792</c:v>
                </c:pt>
                <c:pt idx="6">
                  <c:v>12.8</c:v>
                </c:pt>
                <c:pt idx="7">
                  <c:v>18.899999999999999</c:v>
                </c:pt>
                <c:pt idx="8">
                  <c:v>16.079999999999991</c:v>
                </c:pt>
                <c:pt idx="9">
                  <c:v>19.3</c:v>
                </c:pt>
                <c:pt idx="10">
                  <c:v>22.1</c:v>
                </c:pt>
                <c:pt idx="11">
                  <c:v>24.6</c:v>
                </c:pt>
                <c:pt idx="12">
                  <c:v>14.6</c:v>
                </c:pt>
                <c:pt idx="13">
                  <c:v>16</c:v>
                </c:pt>
                <c:pt idx="14">
                  <c:v>13.047500000000001</c:v>
                </c:pt>
                <c:pt idx="15">
                  <c:v>14.08</c:v>
                </c:pt>
                <c:pt idx="16" formatCode="0.00">
                  <c:v>17.059824561403516</c:v>
                </c:pt>
                <c:pt idx="17" formatCode="0.00">
                  <c:v>19.099729729729717</c:v>
                </c:pt>
                <c:pt idx="18" formatCode="0.00">
                  <c:v>16.853414634146336</c:v>
                </c:pt>
                <c:pt idx="19" formatCode="0.00">
                  <c:v>12.217142857142857</c:v>
                </c:pt>
                <c:pt idx="20" formatCode="0.00">
                  <c:v>15.561818181818175</c:v>
                </c:pt>
                <c:pt idx="21" formatCode="0.00">
                  <c:v>17.962571428571426</c:v>
                </c:pt>
                <c:pt idx="22">
                  <c:v>16.853000000000005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2D8-46BD-A4ED-DFFC698C4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856256"/>
        <c:axId val="123011840"/>
      </c:scatterChart>
      <c:valAx>
        <c:axId val="13385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011840"/>
        <c:crosses val="autoZero"/>
        <c:crossBetween val="midCat"/>
      </c:valAx>
      <c:valAx>
        <c:axId val="12301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8562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0.84531</cdr:x>
      <cdr:y>0.89219</cdr:y>
    </cdr:from>
    <cdr:to>
      <cdr:x>1</cdr:x>
      <cdr:y>1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64122" y="2093942"/>
          <a:ext cx="780318" cy="2530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lnSpc>
              <a:spcPct val="107000"/>
            </a:lnSpc>
            <a:spcAft>
              <a:spcPts val="800"/>
            </a:spcAft>
          </a:pPr>
          <a:r>
            <a:rPr lang="uk-UA" sz="11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∆</a:t>
          </a:r>
          <a:r>
            <a:rPr lang="en-US" sz="110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</a:t>
          </a:r>
          <a:r>
            <a:rPr lang="uk-UA" sz="1100">
              <a:effectLst/>
              <a:latin typeface="Times New Roman" panose="02020603050405020304" pitchFamily="18" charset="0"/>
              <a:ea typeface="Calibri" panose="020F0502020204030204" pitchFamily="34" charset="0"/>
              <a:cs typeface="Times New Roman" panose="02020603050405020304" pitchFamily="18" charset="0"/>
            </a:rPr>
            <a:t>, мкс/м</a:t>
          </a:r>
          <a:endParaRPr lang="en-US" sz="1100">
            <a:effectLst/>
            <a:latin typeface="Times New Roman" panose="02020603050405020304" pitchFamily="18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Skyline</dc:creator>
  <cp:keywords/>
  <dc:description/>
  <cp:lastModifiedBy>Skyline</cp:lastModifiedBy>
  <cp:revision>35</cp:revision>
  <dcterms:created xsi:type="dcterms:W3CDTF">2024-11-26T16:31:00Z</dcterms:created>
  <dcterms:modified xsi:type="dcterms:W3CDTF">2024-12-03T17:25:00Z</dcterms:modified>
</cp:coreProperties>
</file>