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B00350" w:rsidRDefault="00763D8D" w:rsidP="00D6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350" w:rsidRPr="00A83CC1" w:rsidRDefault="00D41FF8" w:rsidP="00B003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>
        <w:rPr>
          <w:rFonts w:ascii="Times New Roman" w:hAnsi="Times New Roman" w:cs="Times New Roman"/>
          <w:b/>
          <w:i/>
          <w:sz w:val="24"/>
          <w:szCs w:val="24"/>
        </w:rPr>
        <w:t>Корбан</w:t>
      </w:r>
      <w:proofErr w:type="spellEnd"/>
      <w:r w:rsidR="00403D5E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3A2BB9" w:rsidRDefault="003A2BB9" w:rsidP="00667AF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D41FF8" w:rsidRDefault="00D41FF8" w:rsidP="008357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A83CC1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0350" w:rsidRPr="00A83CC1" w:rsidRDefault="00B00350" w:rsidP="00F8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625" w:rsidRDefault="00C86625" w:rsidP="00C86625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C8662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ВПЛИВ УМОВ ОСВІТЛЕНОСТІ НА КОЛІРНЕ ВІДЧУТТЯ ХУДОЖН</w:t>
      </w:r>
      <w:bookmarkStart w:id="0" w:name="_GoBack"/>
      <w:bookmarkEnd w:id="0"/>
      <w:r w:rsidRPr="00C8662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ИКА ПІД ЧАС </w:t>
      </w:r>
      <w:r w:rsidR="001729FC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СТВОРЮВАННЯ ХУДОЖНЬОГО ВИТВОРУ</w:t>
      </w:r>
    </w:p>
    <w:p w:rsidR="00C86625" w:rsidRDefault="00F833D4" w:rsidP="00C8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625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З фізичної точки зору світло є носієм зорової інформації 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видимій ділянці оптичного діапазону електромагнітних коливань. Сонячне світло, яке необхі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дно розглядати як випромінюване і відбите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, містить весь спектр видимих </w:t>
      </w:r>
      <w:proofErr w:type="spellStart"/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випромінювань</w:t>
      </w:r>
      <w:proofErr w:type="spellEnd"/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з безлічі гармонійних коливань, характеристики яких є частота, ампліт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уда і поляризація. Випромінюване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певним джерелом світло має різну ступінь поляризації. При падінні сонячного світла на навколишні предмети відбувається поглинання і від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битт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я світла. Відбите світло є основним джерелом зорової інформації. При цьому відб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ається та довжина хвилі спектру, що відповідає кольору предмета, інша частина спектра поглинається поверхнею предмету. Тільки біла поверхня відбиває практично весь спектр падаючого на неї світла і тому ми бачимо поверхню білого кольору. Червона поверхня відбиває червоний колір, інші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 xml:space="preserve"> кольори поглинає, апельсин від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 xml:space="preserve">иває помаранчевий колір і </w:t>
      </w:r>
      <w:proofErr w:type="spellStart"/>
      <w:r w:rsidR="00C86625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., причому, чим яскравіше колір, тим в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е спект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ральний склад відбитого світла. З фізичної точки зору біле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світ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ло  неполяризоване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, зі ступенем поляризації близькою до нуля. Так як відсутність світла є для нас відсутністю інформації про навколишній світ, то ми це сприймаємо як чорний колір, при якому весь світловий спектр поглинається середов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ищем або поверхнею предмета [1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]. І хоча випромінюване світло є первинним, </w:t>
      </w:r>
      <w:r w:rsidR="00C86625">
        <w:rPr>
          <w:rFonts w:ascii="Times New Roman" w:hAnsi="Times New Roman" w:cs="Times New Roman"/>
          <w:sz w:val="28"/>
          <w:szCs w:val="28"/>
          <w:lang w:val="uk-UA"/>
        </w:rPr>
        <w:t>що викидається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сонцем, зірками, штучними джерелами, однак інформаційні можливості закладені саме у вторинному світлі, тобто у відбитому, який і являє собою різницю у спектрі поглиненого і випромінюваного світла. Однак ці два види світла становлять єдине ціле, оскільки відбитого світла не буває без випроміненого, за винятком появи інформаційних властивостей штучного випромінюваного світла в телебаченні, в комп'ютерній техніці та ін. Випромінювання світла тільки однієї </w:t>
      </w:r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певної частоти, що відповідає певної поляризації, є монохромним (одноколірним). Спектр монохромних світлових </w:t>
      </w:r>
      <w:proofErr w:type="spellStart"/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>випромінювань</w:t>
      </w:r>
      <w:proofErr w:type="spellEnd"/>
      <w:r w:rsidR="00C86625"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поліхромним (сонячне світло).</w:t>
      </w:r>
    </w:p>
    <w:p w:rsidR="00C86625" w:rsidRPr="0084284A" w:rsidRDefault="00C86625" w:rsidP="00C8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Сонячне світло грає найважливішу роль при врахуванні умов освітленості середовища, в якій створюється художній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твір, наприклад, під покровом зеленого листя, на тлі квіткової галявини або на узліссі. Умова освітленості визначається також і тим спектральним складом світла, що доходить до поверхні землі після його поглинання та розсіювання в атмосфері. В земній атмосфері поглинається від 17 % до 25 % сонячної енергії. Розсіювання сонячної радіації в атмосфері, в якій присутні аерозольні частинки, визначається її геометричною структурою з 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>ими параметрами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4564" w:rsidRPr="0032456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 розмір частинки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>, відстань між частинками,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 довжина хвилі сонячного світла. Фізичні властивості атмосфери з </w:t>
      </w:r>
      <w:proofErr w:type="spellStart"/>
      <w:r w:rsidRPr="00362CF3">
        <w:rPr>
          <w:rFonts w:ascii="Times New Roman" w:hAnsi="Times New Roman" w:cs="Times New Roman"/>
          <w:sz w:val="28"/>
          <w:szCs w:val="28"/>
          <w:lang w:val="uk-UA"/>
        </w:rPr>
        <w:t>розсіюючими</w:t>
      </w:r>
      <w:proofErr w:type="spellEnd"/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ками характеризуються комплексним показником заломлення 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>частинки та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поглинання частинки.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Спектральний склад природного світла включає хвилі різної довжини, які мають певні величини </w:t>
      </w:r>
      <w:proofErr w:type="spellStart"/>
      <w:r w:rsidRPr="0084284A">
        <w:rPr>
          <w:rFonts w:ascii="Times New Roman" w:hAnsi="Times New Roman" w:cs="Times New Roman"/>
          <w:sz w:val="28"/>
          <w:szCs w:val="28"/>
          <w:lang w:val="uk-UA"/>
        </w:rPr>
        <w:t>інтенсивностей</w:t>
      </w:r>
      <w:proofErr w:type="spellEnd"/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. Пряме сонячне світло змінюється за своїм складом протягом дня. Коли сонце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зеніті, при ясному небі переважає пряма сонячна радіація, на сході і заході сонця – розсіяна радіація. Природне сонячне світло є сумою всього видимого спектру, тобто всіх семи кольорів </w:t>
      </w:r>
      <w:r w:rsidR="00217CB8">
        <w:rPr>
          <w:rFonts w:ascii="Times New Roman" w:hAnsi="Times New Roman" w:cs="Times New Roman"/>
          <w:sz w:val="28"/>
          <w:szCs w:val="28"/>
          <w:lang w:val="uk-UA"/>
        </w:rPr>
        <w:t>райдуги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625" w:rsidRPr="0084284A" w:rsidRDefault="00C86625" w:rsidP="00C8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Умови освітленості при написанні картини змінюються залежно від стану атмосфери протягом світлого періоду доби. При наявності хмар умови освітленості одні, при ясному небі умови освітленості будуть змінюватися від сходу і до заходу сонця зі зміною спектрального складу сонячного світла. При цьому колірні відчуття художника визначаються також колірною гамою картини, яку він пише, забарвленням її поверхні, тобто коефіцієнтом спектрального відбиття цієї поверхні.</w:t>
      </w:r>
    </w:p>
    <w:p w:rsidR="009125B6" w:rsidRDefault="004251E8" w:rsidP="00C866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F148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3C720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217CB8" w:rsidRPr="00217CB8" w:rsidRDefault="00217CB8" w:rsidP="00217CB8">
      <w:pPr>
        <w:keepNext/>
        <w:widowControl w:val="0"/>
        <w:suppressLineNumbers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1 </w:t>
      </w:r>
      <w:proofErr w:type="spellStart"/>
      <w:r w:rsidRPr="00217CB8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Pr="00217CB8">
        <w:rPr>
          <w:rFonts w:ascii="Times New Roman" w:eastAsia="Times New Roman" w:hAnsi="Times New Roman" w:cs="Times New Roman"/>
          <w:sz w:val="24"/>
          <w:szCs w:val="24"/>
        </w:rPr>
        <w:t xml:space="preserve"> Ю.В. </w:t>
      </w:r>
      <w:r w:rsidRPr="00217CB8">
        <w:rPr>
          <w:rFonts w:ascii="Times New Roman" w:hAnsi="Times New Roman" w:cs="Times New Roman"/>
          <w:sz w:val="24"/>
          <w:szCs w:val="24"/>
        </w:rPr>
        <w:t xml:space="preserve">Психофизиологическое восприятие цвета, основанное на отражательной </w:t>
      </w:r>
      <w:proofErr w:type="spellStart"/>
      <w:r w:rsidRPr="00217CB8">
        <w:rPr>
          <w:rFonts w:ascii="Times New Roman" w:hAnsi="Times New Roman" w:cs="Times New Roman"/>
          <w:sz w:val="24"/>
          <w:szCs w:val="24"/>
        </w:rPr>
        <w:t>поляриметрии</w:t>
      </w:r>
      <w:proofErr w:type="spellEnd"/>
      <w:r w:rsidRPr="00217CB8">
        <w:rPr>
          <w:rFonts w:ascii="Times New Roman" w:hAnsi="Times New Roman" w:cs="Times New Roman"/>
          <w:sz w:val="24"/>
          <w:szCs w:val="24"/>
        </w:rPr>
        <w:t xml:space="preserve"> / Юрий Викторович </w:t>
      </w:r>
      <w:proofErr w:type="spellStart"/>
      <w:r w:rsidRPr="00217CB8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217CB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17CB8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217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CB8">
        <w:rPr>
          <w:rFonts w:ascii="Times New Roman" w:hAnsi="Times New Roman" w:cs="Times New Roman"/>
          <w:sz w:val="24"/>
          <w:szCs w:val="24"/>
        </w:rPr>
        <w:t>Могилевського</w:t>
      </w:r>
      <w:proofErr w:type="spellEnd"/>
      <w:r w:rsidRPr="00217CB8">
        <w:rPr>
          <w:rFonts w:ascii="Times New Roman" w:hAnsi="Times New Roman" w:cs="Times New Roman"/>
          <w:sz w:val="24"/>
          <w:szCs w:val="24"/>
        </w:rPr>
        <w:t xml:space="preserve"> гос. университета им. А.А. </w:t>
      </w:r>
      <w:proofErr w:type="spellStart"/>
      <w:r w:rsidRPr="00217CB8">
        <w:rPr>
          <w:rFonts w:ascii="Times New Roman" w:hAnsi="Times New Roman" w:cs="Times New Roman"/>
          <w:sz w:val="24"/>
          <w:szCs w:val="24"/>
        </w:rPr>
        <w:t>Куляшова</w:t>
      </w:r>
      <w:proofErr w:type="spellEnd"/>
      <w:r w:rsidRPr="00217CB8">
        <w:rPr>
          <w:rFonts w:ascii="Times New Roman" w:hAnsi="Times New Roman" w:cs="Times New Roman"/>
          <w:sz w:val="24"/>
          <w:szCs w:val="24"/>
        </w:rPr>
        <w:t>. – Могилев: МГУ им. А.А. Кулешова, 2015. – Т.2. – Вып.1(45). – С. 73-77.</w:t>
      </w:r>
    </w:p>
    <w:p w:rsidR="00217CB8" w:rsidRPr="00217CB8" w:rsidRDefault="00217CB8" w:rsidP="008B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CB8" w:rsidRPr="00217CB8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C3AC1"/>
    <w:rsid w:val="00305549"/>
    <w:rsid w:val="00324564"/>
    <w:rsid w:val="00337ECC"/>
    <w:rsid w:val="00363299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15612"/>
    <w:rsid w:val="00642F35"/>
    <w:rsid w:val="006438D8"/>
    <w:rsid w:val="00647538"/>
    <w:rsid w:val="00651CB1"/>
    <w:rsid w:val="006542D5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323F9"/>
    <w:rsid w:val="00760C12"/>
    <w:rsid w:val="0076208C"/>
    <w:rsid w:val="00763D8D"/>
    <w:rsid w:val="007E75E7"/>
    <w:rsid w:val="00810689"/>
    <w:rsid w:val="00821E1B"/>
    <w:rsid w:val="00835786"/>
    <w:rsid w:val="00847F68"/>
    <w:rsid w:val="00861FFD"/>
    <w:rsid w:val="00867CB2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B00350"/>
    <w:rsid w:val="00B2446C"/>
    <w:rsid w:val="00BC2E02"/>
    <w:rsid w:val="00BC3DB3"/>
    <w:rsid w:val="00C44318"/>
    <w:rsid w:val="00C50D76"/>
    <w:rsid w:val="00C65E68"/>
    <w:rsid w:val="00C86625"/>
    <w:rsid w:val="00CD10D1"/>
    <w:rsid w:val="00CD1B5A"/>
    <w:rsid w:val="00CE6461"/>
    <w:rsid w:val="00D01644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35CE"/>
    <w:rsid w:val="00EF4979"/>
    <w:rsid w:val="00F11F72"/>
    <w:rsid w:val="00F148ED"/>
    <w:rsid w:val="00F639A3"/>
    <w:rsid w:val="00F81E01"/>
    <w:rsid w:val="00F833D4"/>
    <w:rsid w:val="00F86497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4</cp:revision>
  <cp:lastPrinted>2022-06-04T09:57:00Z</cp:lastPrinted>
  <dcterms:created xsi:type="dcterms:W3CDTF">2023-04-01T13:05:00Z</dcterms:created>
  <dcterms:modified xsi:type="dcterms:W3CDTF">2023-04-01T16:53:00Z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